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18BFE206">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1701FC9" w:rsidR="003C0891" w:rsidRDefault="006D36C8" w:rsidP="00193533">
      <w:pPr>
        <w:pStyle w:val="APVMACoverSubtitle"/>
        <w:jc w:val="center"/>
      </w:pPr>
      <w:bookmarkStart w:id="1" w:name="_Hlk210299472"/>
      <w:r>
        <w:t xml:space="preserve">on </w:t>
      </w:r>
      <w:r w:rsidR="00A530BF">
        <w:t>f</w:t>
      </w:r>
      <w:r w:rsidR="000938B8">
        <w:t>lorfenicol</w:t>
      </w:r>
      <w:r>
        <w:t xml:space="preserve"> for </w:t>
      </w:r>
      <w:r w:rsidR="000938B8">
        <w:t xml:space="preserve">emergency </w:t>
      </w:r>
      <w:r>
        <w:t xml:space="preserve">use on </w:t>
      </w:r>
      <w:r w:rsidR="000938B8">
        <w:t xml:space="preserve">Atlantic </w:t>
      </w:r>
      <w:r w:rsidR="00A530BF">
        <w:t>s</w:t>
      </w:r>
      <w:r w:rsidR="000938B8">
        <w:t xml:space="preserve">almon </w:t>
      </w:r>
      <w:bookmarkEnd w:id="1"/>
    </w:p>
    <w:p w14:paraId="7FB897BF" w14:textId="09AC63BD" w:rsidR="006D36C8" w:rsidRDefault="006D36C8" w:rsidP="00193533">
      <w:pPr>
        <w:pStyle w:val="APVMACoverSubtitle"/>
        <w:jc w:val="center"/>
      </w:pPr>
      <w:r>
        <w:t xml:space="preserve">APVMA </w:t>
      </w:r>
      <w:r w:rsidR="00FE115C">
        <w:t>permit</w:t>
      </w:r>
      <w:r>
        <w:t xml:space="preserve"> number </w:t>
      </w:r>
      <w:r w:rsidR="000938B8" w:rsidRPr="000938B8">
        <w:t>96499</w:t>
      </w:r>
    </w:p>
    <w:p w14:paraId="5C6E8565" w14:textId="5A6E4B74" w:rsidR="00193533" w:rsidRPr="00E41FED" w:rsidRDefault="000938B8"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October</w:t>
      </w:r>
      <w:r w:rsidR="007B1953">
        <w:t xml:space="preserve"> </w:t>
      </w:r>
      <w:r>
        <w:t>2025</w:t>
      </w:r>
    </w:p>
    <w:p w14:paraId="170061D7" w14:textId="784F9E6C" w:rsidR="00862E63" w:rsidRPr="005C0ACC" w:rsidRDefault="00862E63" w:rsidP="00021A6A">
      <w:pPr>
        <w:pStyle w:val="Copyrightpage"/>
      </w:pPr>
      <w:r w:rsidRPr="005C0ACC">
        <w:lastRenderedPageBreak/>
        <w:t>© Australian Pesticides and Veterinary Medicines Authority</w:t>
      </w:r>
      <w:r w:rsidRPr="00842FA1">
        <w:rPr>
          <w:color w:val="353735" w:themeColor="text1"/>
        </w:rPr>
        <w:t xml:space="preserve"> </w:t>
      </w:r>
      <w:r w:rsidR="000938B8" w:rsidRPr="00842FA1">
        <w:rPr>
          <w:color w:val="353735" w:themeColor="text1"/>
        </w:rPr>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0AED4268"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r w:rsidR="00600757" w:rsidRPr="005C0ACC">
        <w:t>APVMA or</w:t>
      </w:r>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6FBFBBEA" w14:textId="2DF7D535" w:rsidR="008A31C1"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10810980" w:history="1">
        <w:r w:rsidR="008A31C1" w:rsidRPr="004C5E96">
          <w:rPr>
            <w:rStyle w:val="Hyperlink"/>
          </w:rPr>
          <w:t>Preface</w:t>
        </w:r>
        <w:r w:rsidR="008A31C1">
          <w:rPr>
            <w:webHidden/>
          </w:rPr>
          <w:tab/>
        </w:r>
        <w:r w:rsidR="008A31C1">
          <w:rPr>
            <w:webHidden/>
          </w:rPr>
          <w:fldChar w:fldCharType="begin"/>
        </w:r>
        <w:r w:rsidR="008A31C1">
          <w:rPr>
            <w:webHidden/>
          </w:rPr>
          <w:instrText xml:space="preserve"> PAGEREF _Toc210810980 \h </w:instrText>
        </w:r>
        <w:r w:rsidR="008A31C1">
          <w:rPr>
            <w:webHidden/>
          </w:rPr>
        </w:r>
        <w:r w:rsidR="008A31C1">
          <w:rPr>
            <w:webHidden/>
          </w:rPr>
          <w:fldChar w:fldCharType="separate"/>
        </w:r>
        <w:r w:rsidR="0031291D">
          <w:rPr>
            <w:webHidden/>
          </w:rPr>
          <w:t>1</w:t>
        </w:r>
        <w:r w:rsidR="008A31C1">
          <w:rPr>
            <w:webHidden/>
          </w:rPr>
          <w:fldChar w:fldCharType="end"/>
        </w:r>
      </w:hyperlink>
    </w:p>
    <w:p w14:paraId="2998F1D3" w14:textId="1C76AD59"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1" w:history="1">
        <w:r w:rsidRPr="004C5E96">
          <w:rPr>
            <w:rStyle w:val="Hyperlink"/>
          </w:rPr>
          <w:t>About this document</w:t>
        </w:r>
        <w:r>
          <w:rPr>
            <w:webHidden/>
          </w:rPr>
          <w:tab/>
        </w:r>
        <w:r>
          <w:rPr>
            <w:webHidden/>
          </w:rPr>
          <w:fldChar w:fldCharType="begin"/>
        </w:r>
        <w:r>
          <w:rPr>
            <w:webHidden/>
          </w:rPr>
          <w:instrText xml:space="preserve"> PAGEREF _Toc210810981 \h </w:instrText>
        </w:r>
        <w:r>
          <w:rPr>
            <w:webHidden/>
          </w:rPr>
        </w:r>
        <w:r>
          <w:rPr>
            <w:webHidden/>
          </w:rPr>
          <w:fldChar w:fldCharType="separate"/>
        </w:r>
        <w:r w:rsidR="0031291D">
          <w:rPr>
            <w:webHidden/>
          </w:rPr>
          <w:t>1</w:t>
        </w:r>
        <w:r>
          <w:rPr>
            <w:webHidden/>
          </w:rPr>
          <w:fldChar w:fldCharType="end"/>
        </w:r>
      </w:hyperlink>
    </w:p>
    <w:p w14:paraId="6B820231" w14:textId="5DFFECCA"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2" w:history="1">
        <w:r w:rsidRPr="004C5E96">
          <w:rPr>
            <w:rStyle w:val="Hyperlink"/>
          </w:rPr>
          <w:t>Making a submission</w:t>
        </w:r>
        <w:r>
          <w:rPr>
            <w:webHidden/>
          </w:rPr>
          <w:tab/>
        </w:r>
        <w:r>
          <w:rPr>
            <w:webHidden/>
          </w:rPr>
          <w:fldChar w:fldCharType="begin"/>
        </w:r>
        <w:r>
          <w:rPr>
            <w:webHidden/>
          </w:rPr>
          <w:instrText xml:space="preserve"> PAGEREF _Toc210810982 \h </w:instrText>
        </w:r>
        <w:r>
          <w:rPr>
            <w:webHidden/>
          </w:rPr>
        </w:r>
        <w:r>
          <w:rPr>
            <w:webHidden/>
          </w:rPr>
          <w:fldChar w:fldCharType="separate"/>
        </w:r>
        <w:r w:rsidR="0031291D">
          <w:rPr>
            <w:webHidden/>
          </w:rPr>
          <w:t>1</w:t>
        </w:r>
        <w:r>
          <w:rPr>
            <w:webHidden/>
          </w:rPr>
          <w:fldChar w:fldCharType="end"/>
        </w:r>
      </w:hyperlink>
    </w:p>
    <w:p w14:paraId="759B0A22" w14:textId="339FCA37"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3" w:history="1">
        <w:r w:rsidRPr="004C5E96">
          <w:rPr>
            <w:rStyle w:val="Hyperlink"/>
          </w:rPr>
          <w:t>Further information</w:t>
        </w:r>
        <w:r>
          <w:rPr>
            <w:webHidden/>
          </w:rPr>
          <w:tab/>
        </w:r>
        <w:r>
          <w:rPr>
            <w:webHidden/>
          </w:rPr>
          <w:fldChar w:fldCharType="begin"/>
        </w:r>
        <w:r>
          <w:rPr>
            <w:webHidden/>
          </w:rPr>
          <w:instrText xml:space="preserve"> PAGEREF _Toc210810983 \h </w:instrText>
        </w:r>
        <w:r>
          <w:rPr>
            <w:webHidden/>
          </w:rPr>
        </w:r>
        <w:r>
          <w:rPr>
            <w:webHidden/>
          </w:rPr>
          <w:fldChar w:fldCharType="separate"/>
        </w:r>
        <w:r w:rsidR="0031291D">
          <w:rPr>
            <w:webHidden/>
          </w:rPr>
          <w:t>2</w:t>
        </w:r>
        <w:r>
          <w:rPr>
            <w:webHidden/>
          </w:rPr>
          <w:fldChar w:fldCharType="end"/>
        </w:r>
      </w:hyperlink>
    </w:p>
    <w:p w14:paraId="57E0AFC3" w14:textId="49F6DD8A" w:rsidR="008A31C1" w:rsidRDefault="008A31C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810984" w:history="1">
        <w:r w:rsidRPr="004C5E96">
          <w:rPr>
            <w:rStyle w:val="Hyperlink"/>
          </w:rPr>
          <w:t>Introduction</w:t>
        </w:r>
        <w:r>
          <w:rPr>
            <w:webHidden/>
          </w:rPr>
          <w:tab/>
        </w:r>
        <w:r>
          <w:rPr>
            <w:webHidden/>
          </w:rPr>
          <w:fldChar w:fldCharType="begin"/>
        </w:r>
        <w:r>
          <w:rPr>
            <w:webHidden/>
          </w:rPr>
          <w:instrText xml:space="preserve"> PAGEREF _Toc210810984 \h </w:instrText>
        </w:r>
        <w:r>
          <w:rPr>
            <w:webHidden/>
          </w:rPr>
        </w:r>
        <w:r>
          <w:rPr>
            <w:webHidden/>
          </w:rPr>
          <w:fldChar w:fldCharType="separate"/>
        </w:r>
        <w:r w:rsidR="0031291D">
          <w:rPr>
            <w:webHidden/>
          </w:rPr>
          <w:t>3</w:t>
        </w:r>
        <w:r>
          <w:rPr>
            <w:webHidden/>
          </w:rPr>
          <w:fldChar w:fldCharType="end"/>
        </w:r>
      </w:hyperlink>
    </w:p>
    <w:p w14:paraId="61C3BDF4" w14:textId="264A1EEF" w:rsidR="008A31C1" w:rsidRDefault="008A31C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810985" w:history="1">
        <w:r w:rsidRPr="004C5E96">
          <w:rPr>
            <w:rStyle w:val="Hyperlink"/>
          </w:rPr>
          <w:t>Trade considerations</w:t>
        </w:r>
        <w:r>
          <w:rPr>
            <w:webHidden/>
          </w:rPr>
          <w:tab/>
        </w:r>
        <w:r>
          <w:rPr>
            <w:webHidden/>
          </w:rPr>
          <w:fldChar w:fldCharType="begin"/>
        </w:r>
        <w:r>
          <w:rPr>
            <w:webHidden/>
          </w:rPr>
          <w:instrText xml:space="preserve"> PAGEREF _Toc210810985 \h </w:instrText>
        </w:r>
        <w:r>
          <w:rPr>
            <w:webHidden/>
          </w:rPr>
        </w:r>
        <w:r>
          <w:rPr>
            <w:webHidden/>
          </w:rPr>
          <w:fldChar w:fldCharType="separate"/>
        </w:r>
        <w:r w:rsidR="0031291D">
          <w:rPr>
            <w:webHidden/>
          </w:rPr>
          <w:t>4</w:t>
        </w:r>
        <w:r>
          <w:rPr>
            <w:webHidden/>
          </w:rPr>
          <w:fldChar w:fldCharType="end"/>
        </w:r>
      </w:hyperlink>
    </w:p>
    <w:p w14:paraId="2D5B2BFC" w14:textId="5D3CD463"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6" w:history="1">
        <w:r w:rsidRPr="004C5E96">
          <w:rPr>
            <w:rStyle w:val="Hyperlink"/>
          </w:rPr>
          <w:t>Commodities exported</w:t>
        </w:r>
        <w:r>
          <w:rPr>
            <w:webHidden/>
          </w:rPr>
          <w:tab/>
        </w:r>
        <w:r>
          <w:rPr>
            <w:webHidden/>
          </w:rPr>
          <w:fldChar w:fldCharType="begin"/>
        </w:r>
        <w:r>
          <w:rPr>
            <w:webHidden/>
          </w:rPr>
          <w:instrText xml:space="preserve"> PAGEREF _Toc210810986 \h </w:instrText>
        </w:r>
        <w:r>
          <w:rPr>
            <w:webHidden/>
          </w:rPr>
        </w:r>
        <w:r>
          <w:rPr>
            <w:webHidden/>
          </w:rPr>
          <w:fldChar w:fldCharType="separate"/>
        </w:r>
        <w:r w:rsidR="0031291D">
          <w:rPr>
            <w:webHidden/>
          </w:rPr>
          <w:t>4</w:t>
        </w:r>
        <w:r>
          <w:rPr>
            <w:webHidden/>
          </w:rPr>
          <w:fldChar w:fldCharType="end"/>
        </w:r>
      </w:hyperlink>
    </w:p>
    <w:p w14:paraId="1DB31D11" w14:textId="5D9F67C9"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7" w:history="1">
        <w:r w:rsidRPr="004C5E96">
          <w:rPr>
            <w:rStyle w:val="Hyperlink"/>
          </w:rPr>
          <w:t>Destination and value of exports</w:t>
        </w:r>
        <w:r>
          <w:rPr>
            <w:webHidden/>
          </w:rPr>
          <w:tab/>
        </w:r>
        <w:r>
          <w:rPr>
            <w:webHidden/>
          </w:rPr>
          <w:fldChar w:fldCharType="begin"/>
        </w:r>
        <w:r>
          <w:rPr>
            <w:webHidden/>
          </w:rPr>
          <w:instrText xml:space="preserve"> PAGEREF _Toc210810987 \h </w:instrText>
        </w:r>
        <w:r>
          <w:rPr>
            <w:webHidden/>
          </w:rPr>
        </w:r>
        <w:r>
          <w:rPr>
            <w:webHidden/>
          </w:rPr>
          <w:fldChar w:fldCharType="separate"/>
        </w:r>
        <w:r w:rsidR="0031291D">
          <w:rPr>
            <w:webHidden/>
          </w:rPr>
          <w:t>4</w:t>
        </w:r>
        <w:r>
          <w:rPr>
            <w:webHidden/>
          </w:rPr>
          <w:fldChar w:fldCharType="end"/>
        </w:r>
      </w:hyperlink>
    </w:p>
    <w:p w14:paraId="7B6EE9B1" w14:textId="66CF6072"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8" w:history="1">
        <w:r w:rsidRPr="004C5E96">
          <w:rPr>
            <w:rStyle w:val="Hyperlink"/>
          </w:rPr>
          <w:t>Australian use pattern</w:t>
        </w:r>
        <w:r>
          <w:rPr>
            <w:webHidden/>
          </w:rPr>
          <w:tab/>
        </w:r>
        <w:r>
          <w:rPr>
            <w:webHidden/>
          </w:rPr>
          <w:fldChar w:fldCharType="begin"/>
        </w:r>
        <w:r>
          <w:rPr>
            <w:webHidden/>
          </w:rPr>
          <w:instrText xml:space="preserve"> PAGEREF _Toc210810988 \h </w:instrText>
        </w:r>
        <w:r>
          <w:rPr>
            <w:webHidden/>
          </w:rPr>
        </w:r>
        <w:r>
          <w:rPr>
            <w:webHidden/>
          </w:rPr>
          <w:fldChar w:fldCharType="separate"/>
        </w:r>
        <w:r w:rsidR="0031291D">
          <w:rPr>
            <w:webHidden/>
          </w:rPr>
          <w:t>4</w:t>
        </w:r>
        <w:r>
          <w:rPr>
            <w:webHidden/>
          </w:rPr>
          <w:fldChar w:fldCharType="end"/>
        </w:r>
      </w:hyperlink>
    </w:p>
    <w:p w14:paraId="6908274E" w14:textId="5C251FA0"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89" w:history="1">
        <w:r w:rsidRPr="004C5E96">
          <w:rPr>
            <w:rStyle w:val="Hyperlink"/>
          </w:rPr>
          <w:t>Results from residues trials presented to the APVMA</w:t>
        </w:r>
        <w:r>
          <w:rPr>
            <w:webHidden/>
          </w:rPr>
          <w:tab/>
        </w:r>
        <w:r>
          <w:rPr>
            <w:webHidden/>
          </w:rPr>
          <w:fldChar w:fldCharType="begin"/>
        </w:r>
        <w:r>
          <w:rPr>
            <w:webHidden/>
          </w:rPr>
          <w:instrText xml:space="preserve"> PAGEREF _Toc210810989 \h </w:instrText>
        </w:r>
        <w:r>
          <w:rPr>
            <w:webHidden/>
          </w:rPr>
        </w:r>
        <w:r>
          <w:rPr>
            <w:webHidden/>
          </w:rPr>
          <w:fldChar w:fldCharType="separate"/>
        </w:r>
        <w:r w:rsidR="0031291D">
          <w:rPr>
            <w:webHidden/>
          </w:rPr>
          <w:t>5</w:t>
        </w:r>
        <w:r>
          <w:rPr>
            <w:webHidden/>
          </w:rPr>
          <w:fldChar w:fldCharType="end"/>
        </w:r>
      </w:hyperlink>
    </w:p>
    <w:p w14:paraId="78D8CCD9" w14:textId="52120636"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90" w:history="1">
        <w:r w:rsidRPr="004C5E96">
          <w:rPr>
            <w:rStyle w:val="Hyperlink"/>
          </w:rPr>
          <w:t>Overseas registration and approved label instructions</w:t>
        </w:r>
        <w:r>
          <w:rPr>
            <w:webHidden/>
          </w:rPr>
          <w:tab/>
        </w:r>
        <w:r>
          <w:rPr>
            <w:webHidden/>
          </w:rPr>
          <w:fldChar w:fldCharType="begin"/>
        </w:r>
        <w:r>
          <w:rPr>
            <w:webHidden/>
          </w:rPr>
          <w:instrText xml:space="preserve"> PAGEREF _Toc210810990 \h </w:instrText>
        </w:r>
        <w:r>
          <w:rPr>
            <w:webHidden/>
          </w:rPr>
        </w:r>
        <w:r>
          <w:rPr>
            <w:webHidden/>
          </w:rPr>
          <w:fldChar w:fldCharType="separate"/>
        </w:r>
        <w:r w:rsidR="0031291D">
          <w:rPr>
            <w:webHidden/>
          </w:rPr>
          <w:t>6</w:t>
        </w:r>
        <w:r>
          <w:rPr>
            <w:webHidden/>
          </w:rPr>
          <w:fldChar w:fldCharType="end"/>
        </w:r>
      </w:hyperlink>
    </w:p>
    <w:p w14:paraId="3037A827" w14:textId="46429B1B"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91" w:history="1">
        <w:r w:rsidRPr="004C5E96">
          <w:rPr>
            <w:rStyle w:val="Hyperlink"/>
          </w:rPr>
          <w:t>Codex Alimentarius Commission and overseas MRLs</w:t>
        </w:r>
        <w:r>
          <w:rPr>
            <w:webHidden/>
          </w:rPr>
          <w:tab/>
        </w:r>
        <w:r>
          <w:rPr>
            <w:webHidden/>
          </w:rPr>
          <w:fldChar w:fldCharType="begin"/>
        </w:r>
        <w:r>
          <w:rPr>
            <w:webHidden/>
          </w:rPr>
          <w:instrText xml:space="preserve"> PAGEREF _Toc210810991 \h </w:instrText>
        </w:r>
        <w:r>
          <w:rPr>
            <w:webHidden/>
          </w:rPr>
        </w:r>
        <w:r>
          <w:rPr>
            <w:webHidden/>
          </w:rPr>
          <w:fldChar w:fldCharType="separate"/>
        </w:r>
        <w:r w:rsidR="0031291D">
          <w:rPr>
            <w:webHidden/>
          </w:rPr>
          <w:t>6</w:t>
        </w:r>
        <w:r>
          <w:rPr>
            <w:webHidden/>
          </w:rPr>
          <w:fldChar w:fldCharType="end"/>
        </w:r>
      </w:hyperlink>
    </w:p>
    <w:p w14:paraId="623ABBCE" w14:textId="6F8E4421"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92" w:history="1">
        <w:r w:rsidRPr="004C5E96">
          <w:rPr>
            <w:rStyle w:val="Hyperlink"/>
          </w:rPr>
          <w:t>Current and proposed Australian MRLs for florfenicol</w:t>
        </w:r>
        <w:r>
          <w:rPr>
            <w:webHidden/>
          </w:rPr>
          <w:tab/>
        </w:r>
        <w:r>
          <w:rPr>
            <w:webHidden/>
          </w:rPr>
          <w:fldChar w:fldCharType="begin"/>
        </w:r>
        <w:r>
          <w:rPr>
            <w:webHidden/>
          </w:rPr>
          <w:instrText xml:space="preserve"> PAGEREF _Toc210810992 \h </w:instrText>
        </w:r>
        <w:r>
          <w:rPr>
            <w:webHidden/>
          </w:rPr>
        </w:r>
        <w:r>
          <w:rPr>
            <w:webHidden/>
          </w:rPr>
          <w:fldChar w:fldCharType="separate"/>
        </w:r>
        <w:r w:rsidR="0031291D">
          <w:rPr>
            <w:webHidden/>
          </w:rPr>
          <w:t>7</w:t>
        </w:r>
        <w:r>
          <w:rPr>
            <w:webHidden/>
          </w:rPr>
          <w:fldChar w:fldCharType="end"/>
        </w:r>
      </w:hyperlink>
    </w:p>
    <w:p w14:paraId="0243AD4C" w14:textId="709E2EE5" w:rsidR="008A31C1" w:rsidRDefault="008A31C1">
      <w:pPr>
        <w:pStyle w:val="TOC2"/>
        <w:rPr>
          <w:rFonts w:asciiTheme="minorHAnsi" w:eastAsiaTheme="minorEastAsia" w:hAnsiTheme="minorHAnsi" w:cstheme="minorBidi"/>
          <w:b w:val="0"/>
          <w:color w:val="auto"/>
          <w:kern w:val="2"/>
          <w:sz w:val="24"/>
          <w:lang w:eastAsia="en-AU"/>
          <w14:ligatures w14:val="standardContextual"/>
        </w:rPr>
      </w:pPr>
      <w:hyperlink w:anchor="_Toc210810993" w:history="1">
        <w:r w:rsidRPr="004C5E96">
          <w:rPr>
            <w:rStyle w:val="Hyperlink"/>
          </w:rPr>
          <w:t>Potential risk to trade</w:t>
        </w:r>
        <w:r>
          <w:rPr>
            <w:webHidden/>
          </w:rPr>
          <w:tab/>
        </w:r>
        <w:r>
          <w:rPr>
            <w:webHidden/>
          </w:rPr>
          <w:fldChar w:fldCharType="begin"/>
        </w:r>
        <w:r>
          <w:rPr>
            <w:webHidden/>
          </w:rPr>
          <w:instrText xml:space="preserve"> PAGEREF _Toc210810993 \h </w:instrText>
        </w:r>
        <w:r>
          <w:rPr>
            <w:webHidden/>
          </w:rPr>
        </w:r>
        <w:r>
          <w:rPr>
            <w:webHidden/>
          </w:rPr>
          <w:fldChar w:fldCharType="separate"/>
        </w:r>
        <w:r w:rsidR="0031291D">
          <w:rPr>
            <w:webHidden/>
          </w:rPr>
          <w:t>7</w:t>
        </w:r>
        <w:r>
          <w:rPr>
            <w:webHidden/>
          </w:rPr>
          <w:fldChar w:fldCharType="end"/>
        </w:r>
      </w:hyperlink>
    </w:p>
    <w:p w14:paraId="795BFFD1" w14:textId="085215D1" w:rsidR="008A31C1" w:rsidRDefault="008A31C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810994" w:history="1">
        <w:r w:rsidRPr="004C5E96">
          <w:rPr>
            <w:rStyle w:val="Hyperlink"/>
          </w:rPr>
          <w:t>Conclusion</w:t>
        </w:r>
        <w:r>
          <w:rPr>
            <w:webHidden/>
          </w:rPr>
          <w:tab/>
        </w:r>
        <w:r>
          <w:rPr>
            <w:webHidden/>
          </w:rPr>
          <w:fldChar w:fldCharType="begin"/>
        </w:r>
        <w:r>
          <w:rPr>
            <w:webHidden/>
          </w:rPr>
          <w:instrText xml:space="preserve"> PAGEREF _Toc210810994 \h </w:instrText>
        </w:r>
        <w:r>
          <w:rPr>
            <w:webHidden/>
          </w:rPr>
        </w:r>
        <w:r>
          <w:rPr>
            <w:webHidden/>
          </w:rPr>
          <w:fldChar w:fldCharType="separate"/>
        </w:r>
        <w:r w:rsidR="0031291D">
          <w:rPr>
            <w:webHidden/>
          </w:rPr>
          <w:t>9</w:t>
        </w:r>
        <w:r>
          <w:rPr>
            <w:webHidden/>
          </w:rPr>
          <w:fldChar w:fldCharType="end"/>
        </w:r>
      </w:hyperlink>
    </w:p>
    <w:p w14:paraId="567BA018" w14:textId="5971F282" w:rsidR="00B94833"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6D0A4BB0" w14:textId="26A3B30F" w:rsidR="00B94833" w:rsidRDefault="00B94833">
      <w:pPr>
        <w:pStyle w:val="TableofFigures"/>
        <w:rPr>
          <w:rFonts w:asciiTheme="minorHAnsi" w:eastAsiaTheme="minorEastAsia" w:hAnsiTheme="minorHAnsi" w:cstheme="minorBidi"/>
          <w:kern w:val="2"/>
          <w:sz w:val="24"/>
          <w:lang w:eastAsia="en-AU"/>
          <w14:ligatures w14:val="standardContextual"/>
        </w:rPr>
      </w:pPr>
      <w:hyperlink w:anchor="_Toc209792701" w:history="1">
        <w:r w:rsidRPr="003878C7">
          <w:rPr>
            <w:rStyle w:val="Hyperlink"/>
          </w:rPr>
          <w:t>Table 1:</w:t>
        </w:r>
        <w:r>
          <w:rPr>
            <w:rFonts w:asciiTheme="minorHAnsi" w:eastAsiaTheme="minorEastAsia" w:hAnsiTheme="minorHAnsi" w:cstheme="minorBidi"/>
            <w:kern w:val="2"/>
            <w:sz w:val="24"/>
            <w:lang w:eastAsia="en-AU"/>
            <w14:ligatures w14:val="standardContextual"/>
          </w:rPr>
          <w:tab/>
        </w:r>
        <w:r w:rsidRPr="003878C7">
          <w:rPr>
            <w:rStyle w:val="Hyperlink"/>
          </w:rPr>
          <w:t>Proposed use pattern</w:t>
        </w:r>
        <w:r>
          <w:rPr>
            <w:webHidden/>
          </w:rPr>
          <w:tab/>
        </w:r>
        <w:r>
          <w:rPr>
            <w:webHidden/>
          </w:rPr>
          <w:fldChar w:fldCharType="begin"/>
        </w:r>
        <w:r>
          <w:rPr>
            <w:webHidden/>
          </w:rPr>
          <w:instrText xml:space="preserve"> PAGEREF _Toc209792701 \h </w:instrText>
        </w:r>
        <w:r>
          <w:rPr>
            <w:webHidden/>
          </w:rPr>
        </w:r>
        <w:r>
          <w:rPr>
            <w:webHidden/>
          </w:rPr>
          <w:fldChar w:fldCharType="separate"/>
        </w:r>
        <w:r w:rsidR="0031291D">
          <w:rPr>
            <w:webHidden/>
          </w:rPr>
          <w:t>4</w:t>
        </w:r>
        <w:r>
          <w:rPr>
            <w:webHidden/>
          </w:rPr>
          <w:fldChar w:fldCharType="end"/>
        </w:r>
      </w:hyperlink>
    </w:p>
    <w:p w14:paraId="3F0693E7" w14:textId="6A3AFC99" w:rsidR="00B94833" w:rsidRDefault="00B94833">
      <w:pPr>
        <w:pStyle w:val="TableofFigures"/>
        <w:rPr>
          <w:rFonts w:asciiTheme="minorHAnsi" w:eastAsiaTheme="minorEastAsia" w:hAnsiTheme="minorHAnsi" w:cstheme="minorBidi"/>
          <w:kern w:val="2"/>
          <w:sz w:val="24"/>
          <w:lang w:eastAsia="en-AU"/>
          <w14:ligatures w14:val="standardContextual"/>
        </w:rPr>
      </w:pPr>
      <w:hyperlink w:anchor="_Toc209792702" w:history="1">
        <w:r w:rsidRPr="003878C7">
          <w:rPr>
            <w:rStyle w:val="Hyperlink"/>
          </w:rPr>
          <w:t>Table 2.</w:t>
        </w:r>
        <w:r w:rsidRPr="003878C7">
          <w:rPr>
            <w:rStyle w:val="Hyperlink"/>
            <w:i/>
          </w:rPr>
          <w:t xml:space="preserve"> </w:t>
        </w:r>
        <w:r>
          <w:rPr>
            <w:rFonts w:asciiTheme="minorHAnsi" w:eastAsiaTheme="minorEastAsia" w:hAnsiTheme="minorHAnsi" w:cstheme="minorBidi"/>
            <w:kern w:val="2"/>
            <w:sz w:val="24"/>
            <w:lang w:eastAsia="en-AU"/>
            <w14:ligatures w14:val="standardContextual"/>
          </w:rPr>
          <w:tab/>
        </w:r>
        <w:r w:rsidRPr="003878C7">
          <w:rPr>
            <w:rStyle w:val="Hyperlink"/>
            <w:iCs/>
          </w:rPr>
          <w:t xml:space="preserve">Florfenicol amine (FAA) concentrations in fillet tissue from Rainbow Trout treated with </w:t>
        </w:r>
        <w:r w:rsidR="00842FA1">
          <w:rPr>
            <w:rStyle w:val="Hyperlink"/>
            <w:iCs/>
          </w:rPr>
          <w:br/>
        </w:r>
        <w:r w:rsidRPr="003878C7">
          <w:rPr>
            <w:rStyle w:val="Hyperlink"/>
            <w:iCs/>
          </w:rPr>
          <w:t xml:space="preserve">florfenicol-medicated feed at 20 mg/kg bw for 10 days in recirculating and flow-through </w:t>
        </w:r>
        <w:r w:rsidR="00842FA1">
          <w:rPr>
            <w:rStyle w:val="Hyperlink"/>
            <w:iCs/>
          </w:rPr>
          <w:br/>
        </w:r>
        <w:r w:rsidRPr="003878C7">
          <w:rPr>
            <w:rStyle w:val="Hyperlink"/>
            <w:iCs/>
          </w:rPr>
          <w:t xml:space="preserve">systems with water temperatures of </w:t>
        </w:r>
        <w:r w:rsidRPr="003878C7">
          <w:rPr>
            <w:rStyle w:val="Hyperlink"/>
            <w:rFonts w:ascii="Cambria Math" w:hAnsi="Cambria Math" w:cs="Cambria Math"/>
            <w:iCs/>
          </w:rPr>
          <w:t>∼</w:t>
        </w:r>
        <w:r w:rsidRPr="003878C7">
          <w:rPr>
            <w:rStyle w:val="Hyperlink"/>
            <w:iCs/>
          </w:rPr>
          <w:t>13°C.</w:t>
        </w:r>
        <w:r w:rsidR="00842FA1">
          <w:rPr>
            <w:rStyle w:val="Hyperlink"/>
            <w:iCs/>
          </w:rPr>
          <w:tab/>
        </w:r>
        <w:r>
          <w:rPr>
            <w:webHidden/>
          </w:rPr>
          <w:fldChar w:fldCharType="begin"/>
        </w:r>
        <w:r>
          <w:rPr>
            <w:webHidden/>
          </w:rPr>
          <w:instrText xml:space="preserve"> PAGEREF _Toc209792702 \h </w:instrText>
        </w:r>
        <w:r>
          <w:rPr>
            <w:webHidden/>
          </w:rPr>
        </w:r>
        <w:r>
          <w:rPr>
            <w:webHidden/>
          </w:rPr>
          <w:fldChar w:fldCharType="separate"/>
        </w:r>
        <w:r w:rsidR="0031291D">
          <w:rPr>
            <w:webHidden/>
          </w:rPr>
          <w:t>5</w:t>
        </w:r>
        <w:r>
          <w:rPr>
            <w:webHidden/>
          </w:rPr>
          <w:fldChar w:fldCharType="end"/>
        </w:r>
      </w:hyperlink>
    </w:p>
    <w:p w14:paraId="7A64CD38" w14:textId="42B0FD7D" w:rsidR="00B94833" w:rsidRDefault="00B94833">
      <w:pPr>
        <w:pStyle w:val="TableofFigures"/>
        <w:rPr>
          <w:rFonts w:asciiTheme="minorHAnsi" w:eastAsiaTheme="minorEastAsia" w:hAnsiTheme="minorHAnsi" w:cstheme="minorBidi"/>
          <w:kern w:val="2"/>
          <w:sz w:val="24"/>
          <w:lang w:eastAsia="en-AU"/>
          <w14:ligatures w14:val="standardContextual"/>
        </w:rPr>
      </w:pPr>
      <w:hyperlink w:anchor="_Toc209792703" w:history="1">
        <w:r w:rsidRPr="003878C7">
          <w:rPr>
            <w:rStyle w:val="Hyperlink"/>
          </w:rPr>
          <w:t>Table 3:</w:t>
        </w:r>
        <w:r>
          <w:rPr>
            <w:rFonts w:asciiTheme="minorHAnsi" w:eastAsiaTheme="minorEastAsia" w:hAnsiTheme="minorHAnsi" w:cstheme="minorBidi"/>
            <w:kern w:val="2"/>
            <w:sz w:val="24"/>
            <w:lang w:eastAsia="en-AU"/>
            <w14:ligatures w14:val="standardContextual"/>
          </w:rPr>
          <w:tab/>
        </w:r>
        <w:r w:rsidRPr="003878C7">
          <w:rPr>
            <w:rStyle w:val="Hyperlink"/>
          </w:rPr>
          <w:t>Codex and international MRLs</w:t>
        </w:r>
        <w:r>
          <w:rPr>
            <w:webHidden/>
          </w:rPr>
          <w:tab/>
        </w:r>
        <w:r>
          <w:rPr>
            <w:webHidden/>
          </w:rPr>
          <w:fldChar w:fldCharType="begin"/>
        </w:r>
        <w:r>
          <w:rPr>
            <w:webHidden/>
          </w:rPr>
          <w:instrText xml:space="preserve"> PAGEREF _Toc209792703 \h </w:instrText>
        </w:r>
        <w:r>
          <w:rPr>
            <w:webHidden/>
          </w:rPr>
        </w:r>
        <w:r>
          <w:rPr>
            <w:webHidden/>
          </w:rPr>
          <w:fldChar w:fldCharType="separate"/>
        </w:r>
        <w:r w:rsidR="0031291D">
          <w:rPr>
            <w:webHidden/>
          </w:rPr>
          <w:t>6</w:t>
        </w:r>
        <w:r>
          <w:rPr>
            <w:webHidden/>
          </w:rPr>
          <w:fldChar w:fldCharType="end"/>
        </w:r>
      </w:hyperlink>
    </w:p>
    <w:p w14:paraId="0821E86A" w14:textId="6F08BEF5" w:rsidR="00B94833" w:rsidRDefault="00B94833">
      <w:pPr>
        <w:pStyle w:val="TableofFigures"/>
        <w:rPr>
          <w:rFonts w:asciiTheme="minorHAnsi" w:eastAsiaTheme="minorEastAsia" w:hAnsiTheme="minorHAnsi" w:cstheme="minorBidi"/>
          <w:kern w:val="2"/>
          <w:sz w:val="24"/>
          <w:lang w:eastAsia="en-AU"/>
          <w14:ligatures w14:val="standardContextual"/>
        </w:rPr>
      </w:pPr>
      <w:hyperlink w:anchor="_Toc209792704" w:history="1">
        <w:r w:rsidRPr="003878C7">
          <w:rPr>
            <w:rStyle w:val="Hyperlink"/>
          </w:rPr>
          <w:t>Table 4:</w:t>
        </w:r>
        <w:r>
          <w:rPr>
            <w:rFonts w:asciiTheme="minorHAnsi" w:eastAsiaTheme="minorEastAsia" w:hAnsiTheme="minorHAnsi" w:cstheme="minorBidi"/>
            <w:kern w:val="2"/>
            <w:sz w:val="24"/>
            <w:lang w:eastAsia="en-AU"/>
            <w14:ligatures w14:val="standardContextual"/>
          </w:rPr>
          <w:tab/>
        </w:r>
        <w:r w:rsidRPr="003878C7">
          <w:rPr>
            <w:rStyle w:val="Hyperlink"/>
          </w:rPr>
          <w:t>Current MRL Standard—Table1</w:t>
        </w:r>
        <w:r>
          <w:rPr>
            <w:webHidden/>
          </w:rPr>
          <w:tab/>
        </w:r>
        <w:r>
          <w:rPr>
            <w:webHidden/>
          </w:rPr>
          <w:fldChar w:fldCharType="begin"/>
        </w:r>
        <w:r>
          <w:rPr>
            <w:webHidden/>
          </w:rPr>
          <w:instrText xml:space="preserve"> PAGEREF _Toc209792704 \h </w:instrText>
        </w:r>
        <w:r>
          <w:rPr>
            <w:webHidden/>
          </w:rPr>
        </w:r>
        <w:r>
          <w:rPr>
            <w:webHidden/>
          </w:rPr>
          <w:fldChar w:fldCharType="separate"/>
        </w:r>
        <w:r w:rsidR="0031291D">
          <w:rPr>
            <w:webHidden/>
          </w:rPr>
          <w:t>7</w:t>
        </w:r>
        <w:r>
          <w:rPr>
            <w:webHidden/>
          </w:rPr>
          <w:fldChar w:fldCharType="end"/>
        </w:r>
      </w:hyperlink>
    </w:p>
    <w:p w14:paraId="17DDE2C8" w14:textId="3D77D9C8" w:rsidR="00B94833" w:rsidRDefault="00B94833">
      <w:pPr>
        <w:pStyle w:val="TableofFigures"/>
        <w:rPr>
          <w:rFonts w:asciiTheme="minorHAnsi" w:eastAsiaTheme="minorEastAsia" w:hAnsiTheme="minorHAnsi" w:cstheme="minorBidi"/>
          <w:kern w:val="2"/>
          <w:sz w:val="24"/>
          <w:lang w:eastAsia="en-AU"/>
          <w14:ligatures w14:val="standardContextual"/>
        </w:rPr>
      </w:pPr>
      <w:hyperlink w:anchor="_Toc209792705" w:history="1">
        <w:r w:rsidRPr="003878C7">
          <w:rPr>
            <w:rStyle w:val="Hyperlink"/>
          </w:rPr>
          <w:t>Table 5:</w:t>
        </w:r>
        <w:r>
          <w:rPr>
            <w:rFonts w:asciiTheme="minorHAnsi" w:eastAsiaTheme="minorEastAsia" w:hAnsiTheme="minorHAnsi" w:cstheme="minorBidi"/>
            <w:kern w:val="2"/>
            <w:sz w:val="24"/>
            <w:lang w:eastAsia="en-AU"/>
            <w14:ligatures w14:val="standardContextual"/>
          </w:rPr>
          <w:tab/>
        </w:r>
        <w:r w:rsidRPr="003878C7">
          <w:rPr>
            <w:rStyle w:val="Hyperlink"/>
          </w:rPr>
          <w:t>Proposed MRL Standard—Table1</w:t>
        </w:r>
        <w:r>
          <w:rPr>
            <w:webHidden/>
          </w:rPr>
          <w:tab/>
        </w:r>
        <w:r>
          <w:rPr>
            <w:webHidden/>
          </w:rPr>
          <w:fldChar w:fldCharType="begin"/>
        </w:r>
        <w:r>
          <w:rPr>
            <w:webHidden/>
          </w:rPr>
          <w:instrText xml:space="preserve"> PAGEREF _Toc209792705 \h </w:instrText>
        </w:r>
        <w:r>
          <w:rPr>
            <w:webHidden/>
          </w:rPr>
        </w:r>
        <w:r>
          <w:rPr>
            <w:webHidden/>
          </w:rPr>
          <w:fldChar w:fldCharType="separate"/>
        </w:r>
        <w:r w:rsidR="0031291D">
          <w:rPr>
            <w:webHidden/>
          </w:rPr>
          <w:t>7</w:t>
        </w:r>
        <w:r>
          <w:rPr>
            <w:webHidden/>
          </w:rPr>
          <w:fldChar w:fldCharType="end"/>
        </w:r>
      </w:hyperlink>
    </w:p>
    <w:p w14:paraId="16215860" w14:textId="31639CDE" w:rsidR="00116540" w:rsidRDefault="005D00D1" w:rsidP="00B94833">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r w:rsidR="00116540" w:rsidRPr="00FB0015">
        <w:rPr>
          <w:noProof/>
        </w:rPr>
        <w:t xml:space="preserve"> </w:t>
      </w:r>
    </w:p>
    <w:p w14:paraId="014E858C" w14:textId="77777777" w:rsidR="002E20AC" w:rsidRDefault="002E20AC" w:rsidP="00032787">
      <w:pPr>
        <w:pStyle w:val="APVMAPreliminariesH1"/>
      </w:pPr>
      <w:bookmarkStart w:id="2" w:name="_Toc234063054"/>
      <w:bookmarkStart w:id="3" w:name="_Toc414373831"/>
      <w:bookmarkStart w:id="4" w:name="_Toc210810980"/>
      <w:r>
        <w:lastRenderedPageBreak/>
        <w:t>Preface</w:t>
      </w:r>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210810981"/>
      <w:r>
        <w:t>About this document</w:t>
      </w:r>
      <w:bookmarkEnd w:id="5"/>
      <w:bookmarkEnd w:id="6"/>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7" w:name="_Toc210810982"/>
      <w:r>
        <w:t>Making a submission</w:t>
      </w:r>
      <w:bookmarkEnd w:id="7"/>
    </w:p>
    <w:p w14:paraId="5DCD1FC6" w14:textId="28F1876C" w:rsidR="006D36C8" w:rsidRDefault="006D36C8" w:rsidP="006D36C8">
      <w:pPr>
        <w:pStyle w:val="APVMAText"/>
        <w:rPr>
          <w:b/>
          <w:bCs/>
        </w:rPr>
      </w:pPr>
      <w:r>
        <w:t xml:space="preserve">The APVMA invites any person to submit a relevant written submission as to whether the application </w:t>
      </w:r>
      <w:r w:rsidR="000938B8">
        <w:t xml:space="preserve">for the emergency use of </w:t>
      </w:r>
      <w:proofErr w:type="spellStart"/>
      <w:r w:rsidR="000938B8" w:rsidRPr="000938B8">
        <w:t>Abb</w:t>
      </w:r>
      <w:r w:rsidR="00950C7A">
        <w:t>e</w:t>
      </w:r>
      <w:r w:rsidR="000938B8" w:rsidRPr="000938B8">
        <w:t>yFlor</w:t>
      </w:r>
      <w:proofErr w:type="spellEnd"/>
      <w:r w:rsidR="000938B8" w:rsidRPr="000938B8">
        <w:t xml:space="preserve"> Premix Concentrate for Pigs</w:t>
      </w:r>
      <w:r w:rsidR="008A31C1">
        <w:t xml:space="preserve"> </w:t>
      </w:r>
      <w:r w:rsidR="008A31C1" w:rsidRPr="008A31C1">
        <w:t>containing florfenicol for use on Atlantic salmon</w:t>
      </w:r>
      <w:r w:rsidR="007B1953">
        <w:rPr>
          <w:rFonts w:ascii="Arial Bold" w:hAnsi="Arial Bold"/>
          <w:b/>
        </w:rPr>
        <w:t xml:space="preserve"> </w:t>
      </w:r>
      <w:r>
        <w:t>should be granted.</w:t>
      </w:r>
      <w:r w:rsidR="00BA67F0">
        <w:t xml:space="preserve"> </w:t>
      </w:r>
      <w:r>
        <w:t xml:space="preserve">Submissions should relate only to matters that the APVMA is required by legislation to </w:t>
      </w:r>
      <w:proofErr w:type="gramStart"/>
      <w:r>
        <w:t>take into account</w:t>
      </w:r>
      <w:proofErr w:type="gramEnd"/>
      <w:r>
        <w:t xml:space="preserve">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34C7707D" w:rsidR="006D36C8" w:rsidRDefault="006D36C8" w:rsidP="006D36C8">
      <w:pPr>
        <w:pStyle w:val="APVMAText"/>
      </w:pPr>
      <w:r>
        <w:t xml:space="preserve">Submissions must be received by the APVMA by close of business on </w:t>
      </w:r>
      <w:r w:rsidR="00DB40CE">
        <w:rPr>
          <w:rFonts w:ascii="Arial Bold" w:hAnsi="Arial Bold"/>
          <w:b/>
        </w:rPr>
        <w:t>Wednesday</w:t>
      </w:r>
      <w:r w:rsidR="00950C7A">
        <w:rPr>
          <w:rFonts w:ascii="Arial Bold" w:hAnsi="Arial Bold"/>
          <w:b/>
        </w:rPr>
        <w:t>, 2</w:t>
      </w:r>
      <w:r w:rsidR="008A31C1">
        <w:rPr>
          <w:rFonts w:ascii="Arial Bold" w:hAnsi="Arial Bold"/>
          <w:b/>
        </w:rPr>
        <w:t>2</w:t>
      </w:r>
      <w:r w:rsidR="00950C7A">
        <w:rPr>
          <w:rFonts w:ascii="Arial Bold" w:hAnsi="Arial Bold"/>
          <w:b/>
        </w:rPr>
        <w:t xml:space="preserve"> October 2025</w:t>
      </w:r>
      <w:r>
        <w:t xml:space="preserve"> and be directed to the contact listed below. All submissions to the APVMA will be acknowledged in writing via email or by post.</w:t>
      </w:r>
    </w:p>
    <w:p w14:paraId="00425FA1" w14:textId="0632A94A"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w:t>
      </w:r>
      <w:r w:rsidR="003472E2">
        <w:rPr>
          <w:lang w:val="en-US"/>
        </w:rPr>
        <w:t>permit</w:t>
      </w:r>
      <w:r>
        <w:rPr>
          <w:lang w:val="en-US"/>
        </w:rPr>
        <w:t xml:space="preserve">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lastRenderedPageBreak/>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23083B2B" w14:textId="15F2C518" w:rsidR="003472E2" w:rsidRPr="003472E2" w:rsidRDefault="000938B8" w:rsidP="008A31C1">
      <w:pPr>
        <w:pStyle w:val="APVMAAddress"/>
        <w:tabs>
          <w:tab w:val="clear" w:pos="1361"/>
          <w:tab w:val="left" w:pos="851"/>
        </w:tabs>
        <w:ind w:left="0"/>
      </w:pPr>
      <w:r>
        <w:t>Residues and Trade</w:t>
      </w:r>
      <w:r w:rsidR="008A31C1">
        <w:br/>
      </w:r>
      <w:r>
        <w:t>Veterinary Medicines</w:t>
      </w:r>
      <w:r w:rsidR="008A31C1">
        <w:br/>
      </w:r>
      <w:r w:rsidR="006D36C8">
        <w:t>Australian Pesticides and Veterinary Medicines Authority</w:t>
      </w:r>
      <w:r w:rsidR="008A31C1">
        <w:br/>
      </w:r>
      <w:r w:rsidR="003472E2" w:rsidRPr="003472E2">
        <w:t>GPO Box 574</w:t>
      </w:r>
      <w:r w:rsidR="008A31C1">
        <w:br/>
      </w:r>
      <w:r w:rsidR="003472E2" w:rsidRPr="003472E2">
        <w:t>Canberra ACT 2601 Australia</w:t>
      </w:r>
    </w:p>
    <w:p w14:paraId="6EDED567" w14:textId="4F2FE37F" w:rsidR="006D36C8" w:rsidRPr="006D36C8" w:rsidRDefault="006D36C8" w:rsidP="008A31C1">
      <w:pPr>
        <w:pStyle w:val="APVMAAddress"/>
        <w:tabs>
          <w:tab w:val="clear" w:pos="1361"/>
          <w:tab w:val="left" w:pos="851"/>
        </w:tabs>
        <w:spacing w:before="240"/>
        <w:ind w:left="0"/>
      </w:pPr>
      <w:r>
        <w:rPr>
          <w:b/>
        </w:rPr>
        <w:t>Phone:</w:t>
      </w:r>
      <w:r>
        <w:tab/>
        <w:t xml:space="preserve">+61 2 </w:t>
      </w:r>
      <w:r w:rsidR="00BD0287">
        <w:t>6770 2300</w:t>
      </w:r>
      <w:r w:rsidR="008A31C1">
        <w:br/>
      </w:r>
      <w:r>
        <w:rPr>
          <w:b/>
        </w:rPr>
        <w:t>Email:</w:t>
      </w:r>
      <w:r>
        <w:tab/>
      </w:r>
      <w:hyperlink r:id="rId21" w:history="1">
        <w:r w:rsidR="000938B8" w:rsidRPr="00A408D2">
          <w:rPr>
            <w:rStyle w:val="Hyperlink"/>
          </w:rPr>
          <w:t>enquiries@apvma.gov.au</w:t>
        </w:r>
      </w:hyperlink>
      <w:r w:rsidR="000938B8">
        <w:t xml:space="preserve"> </w:t>
      </w:r>
    </w:p>
    <w:p w14:paraId="75ADC83A" w14:textId="77777777" w:rsidR="006D36C8" w:rsidRDefault="006D36C8" w:rsidP="00032787">
      <w:pPr>
        <w:pStyle w:val="APVMAPreliminariesH2"/>
      </w:pPr>
      <w:bookmarkStart w:id="8" w:name="_Toc2243844"/>
      <w:bookmarkStart w:id="9" w:name="_Toc210810983"/>
      <w:r>
        <w:t>Further information</w:t>
      </w:r>
      <w:bookmarkEnd w:id="8"/>
      <w:bookmarkEnd w:id="9"/>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Pr>
          <w:rStyle w:val="Hyperlink"/>
        </w:rPr>
        <w:t>.</w:t>
      </w:r>
    </w:p>
    <w:p w14:paraId="5181B9C2" w14:textId="70DA256D" w:rsidR="002E20AC" w:rsidRDefault="007B1953" w:rsidP="007B1953">
      <w:pPr>
        <w:pStyle w:val="Heading1"/>
        <w:ind w:left="680" w:hanging="680"/>
      </w:pPr>
      <w:bookmarkStart w:id="10" w:name="_Toc210810984"/>
      <w:r>
        <w:lastRenderedPageBreak/>
        <w:t>I</w:t>
      </w:r>
      <w:r w:rsidR="006D36C8">
        <w:t>ntroduction</w:t>
      </w:r>
      <w:bookmarkEnd w:id="10"/>
    </w:p>
    <w:p w14:paraId="7CBCBE40" w14:textId="16E14F09" w:rsidR="00704C88" w:rsidRDefault="006D36C8" w:rsidP="007B1953">
      <w:pPr>
        <w:pStyle w:val="APVMAText"/>
      </w:pPr>
      <w:bookmarkStart w:id="11" w:name="_Toc414373835"/>
      <w:r>
        <w:t xml:space="preserve">The APVMA has before it an application from </w:t>
      </w:r>
      <w:r w:rsidR="00FE115C" w:rsidRPr="00FE115C">
        <w:t>Abbey Laboratories Pty Ltd</w:t>
      </w:r>
      <w:r w:rsidR="00FE115C">
        <w:t xml:space="preserve"> for an emergency permit for </w:t>
      </w:r>
      <w:bookmarkStart w:id="12" w:name="_Hlk210299571"/>
      <w:r w:rsidR="00FE115C">
        <w:t xml:space="preserve">use of </w:t>
      </w:r>
      <w:proofErr w:type="spellStart"/>
      <w:r w:rsidR="00FE115C" w:rsidRPr="00FE115C">
        <w:t>Abb</w:t>
      </w:r>
      <w:r w:rsidR="00950C7A">
        <w:t>e</w:t>
      </w:r>
      <w:r w:rsidR="00FE115C" w:rsidRPr="00FE115C">
        <w:t>yFlor</w:t>
      </w:r>
      <w:proofErr w:type="spellEnd"/>
      <w:r w:rsidR="00FE115C" w:rsidRPr="00FE115C">
        <w:t xml:space="preserve"> Premix Concentrate for Pigs</w:t>
      </w:r>
      <w:r w:rsidR="00FE115C">
        <w:t xml:space="preserve"> (81128)</w:t>
      </w:r>
      <w:r>
        <w:t xml:space="preserve"> </w:t>
      </w:r>
      <w:r w:rsidR="00FE115C">
        <w:t xml:space="preserve">containing </w:t>
      </w:r>
      <w:bookmarkEnd w:id="11"/>
      <w:r w:rsidR="00FE115C">
        <w:t xml:space="preserve">florfenicol </w:t>
      </w:r>
      <w:r w:rsidR="001F6774">
        <w:t xml:space="preserve">for use on </w:t>
      </w:r>
      <w:r w:rsidR="00413D39">
        <w:t xml:space="preserve">Atlantic </w:t>
      </w:r>
      <w:r w:rsidR="001F6774">
        <w:t>salmon</w:t>
      </w:r>
      <w:bookmarkEnd w:id="12"/>
      <w:r w:rsidR="001F6774">
        <w:t xml:space="preserve">. The permit will be for the treatment and control of </w:t>
      </w:r>
      <w:r w:rsidR="006D4A1B">
        <w:t>bacterial</w:t>
      </w:r>
      <w:r w:rsidR="001F6774">
        <w:t xml:space="preserve"> infection</w:t>
      </w:r>
      <w:r w:rsidR="00BB3998">
        <w:t>s</w:t>
      </w:r>
      <w:r w:rsidR="001F6774">
        <w:t xml:space="preserve"> caused by </w:t>
      </w:r>
      <w:proofErr w:type="spellStart"/>
      <w:r w:rsidR="001F6774" w:rsidRPr="00AA47CB">
        <w:rPr>
          <w:i/>
          <w:iCs/>
        </w:rPr>
        <w:t>Piscirickettsia</w:t>
      </w:r>
      <w:proofErr w:type="spellEnd"/>
      <w:r w:rsidR="001F6774" w:rsidRPr="00AA47CB">
        <w:rPr>
          <w:i/>
          <w:iCs/>
        </w:rPr>
        <w:t xml:space="preserve"> </w:t>
      </w:r>
      <w:proofErr w:type="spellStart"/>
      <w:r w:rsidR="001F6774" w:rsidRPr="00AA47CB">
        <w:rPr>
          <w:i/>
          <w:iCs/>
        </w:rPr>
        <w:t>salmonis</w:t>
      </w:r>
      <w:proofErr w:type="spellEnd"/>
      <w:r w:rsidR="001F6774">
        <w:rPr>
          <w:i/>
          <w:iCs/>
        </w:rPr>
        <w:t xml:space="preserve"> </w:t>
      </w:r>
      <w:r w:rsidR="006D4A1B">
        <w:t>in</w:t>
      </w:r>
      <w:r w:rsidR="001F6774">
        <w:t xml:space="preserve"> </w:t>
      </w:r>
      <w:r w:rsidR="00BB3998">
        <w:t xml:space="preserve">sea-penned </w:t>
      </w:r>
      <w:r w:rsidR="001F6774">
        <w:t>Atlantic salmon (</w:t>
      </w:r>
      <w:r w:rsidR="001F6774" w:rsidRPr="001F6774">
        <w:rPr>
          <w:i/>
          <w:iCs/>
        </w:rPr>
        <w:t xml:space="preserve">Salmo </w:t>
      </w:r>
      <w:proofErr w:type="spellStart"/>
      <w:r w:rsidR="001F6774" w:rsidRPr="001F6774">
        <w:rPr>
          <w:i/>
          <w:iCs/>
        </w:rPr>
        <w:t>salar</w:t>
      </w:r>
      <w:proofErr w:type="spellEnd"/>
      <w:r w:rsidR="001F6774">
        <w:t>)</w:t>
      </w:r>
      <w:r w:rsidR="006D4A1B">
        <w:t>.</w:t>
      </w:r>
    </w:p>
    <w:p w14:paraId="231E93AD" w14:textId="5C43FD9F" w:rsidR="003472E2" w:rsidRDefault="003472E2" w:rsidP="007B1953">
      <w:pPr>
        <w:pStyle w:val="APVMAText"/>
      </w:pPr>
      <w:r w:rsidRPr="003472E2">
        <w:t xml:space="preserve">The permit is proposed for one year in the state of Tasmania only. Up to 75% of the state’s production volume </w:t>
      </w:r>
      <w:r>
        <w:t xml:space="preserve">(approximately 56 kt </w:t>
      </w:r>
      <w:r w:rsidRPr="003472E2">
        <w:t>of salmon) located in the south-eastern biosecurity zone has been considered for this assessment. It is likely that usage would be biased towards periods of higher temperature</w:t>
      </w:r>
      <w:r>
        <w:t>.</w:t>
      </w:r>
    </w:p>
    <w:p w14:paraId="20CF3DA7" w14:textId="5CA1D27A" w:rsidR="001A1F2F" w:rsidRDefault="001A1F2F" w:rsidP="007B1953">
      <w:pPr>
        <w:pStyle w:val="APVMAText"/>
        <w:rPr>
          <w:lang w:val="en-US"/>
        </w:rPr>
      </w:pPr>
      <w:r>
        <w:t xml:space="preserve">As the proposed emergency use allows for finite residues of florfenicol in salmon, the establishment of a temporary MRL </w:t>
      </w:r>
      <w:r w:rsidR="00616DF0">
        <w:t>and a trade consideration is required.</w:t>
      </w:r>
    </w:p>
    <w:p w14:paraId="6FDBA0BF" w14:textId="1F2CDA12" w:rsidR="006D36C8" w:rsidRDefault="006D36C8" w:rsidP="007B1953">
      <w:pPr>
        <w:pStyle w:val="Heading1"/>
        <w:ind w:left="680" w:hanging="680"/>
      </w:pPr>
      <w:bookmarkStart w:id="13" w:name="_Toc2243846"/>
      <w:bookmarkStart w:id="14" w:name="_Toc210810985"/>
      <w:r w:rsidRPr="00032787">
        <w:lastRenderedPageBreak/>
        <w:t>Trade</w:t>
      </w:r>
      <w:r w:rsidR="007B1953">
        <w:t xml:space="preserve"> c</w:t>
      </w:r>
      <w:r>
        <w:t>onsiderations</w:t>
      </w:r>
      <w:bookmarkEnd w:id="13"/>
      <w:bookmarkEnd w:id="14"/>
    </w:p>
    <w:p w14:paraId="57B2B732" w14:textId="77777777" w:rsidR="006D36C8" w:rsidRDefault="006D36C8" w:rsidP="007B1953">
      <w:pPr>
        <w:pStyle w:val="Heading2"/>
        <w:numPr>
          <w:ilvl w:val="0"/>
          <w:numId w:val="0"/>
        </w:numPr>
      </w:pPr>
      <w:bookmarkStart w:id="15" w:name="_Toc2243847"/>
      <w:bookmarkStart w:id="16" w:name="_Toc210810986"/>
      <w:r>
        <w:t xml:space="preserve">Commodities </w:t>
      </w:r>
      <w:r w:rsidRPr="00753ED8">
        <w:t>exported</w:t>
      </w:r>
      <w:bookmarkEnd w:id="15"/>
      <w:bookmarkEnd w:id="16"/>
    </w:p>
    <w:p w14:paraId="7E2AE415" w14:textId="48BEFFE3" w:rsidR="006D36C8" w:rsidRDefault="00801167" w:rsidP="006D36C8">
      <w:pPr>
        <w:pStyle w:val="APVMAText"/>
      </w:pPr>
      <w:r w:rsidRPr="00801167">
        <w:t xml:space="preserve">Finfish, including salmonids, </w:t>
      </w:r>
      <w:proofErr w:type="gramStart"/>
      <w:r w:rsidRPr="00801167">
        <w:t>are considered to be</w:t>
      </w:r>
      <w:proofErr w:type="gramEnd"/>
      <w:r w:rsidRPr="00801167">
        <w:t xml:space="preserve"> a major export commodity</w:t>
      </w:r>
      <w:r>
        <w:rPr>
          <w:rStyle w:val="FootnoteReference"/>
        </w:rPr>
        <w:footnoteReference w:id="2"/>
      </w:r>
      <w:r w:rsidRPr="00801167">
        <w:t xml:space="preserve">. Residues in these commodities resulting from the use of </w:t>
      </w:r>
      <w:proofErr w:type="spellStart"/>
      <w:r w:rsidRPr="00801167">
        <w:t>Abb</w:t>
      </w:r>
      <w:r w:rsidR="008C6A2D">
        <w:t>e</w:t>
      </w:r>
      <w:r w:rsidRPr="00801167">
        <w:t>yFlor</w:t>
      </w:r>
      <w:proofErr w:type="spellEnd"/>
      <w:r w:rsidRPr="00801167">
        <w:t xml:space="preserve"> Premix Concentrate for Pigs or similarly registered florfenicol products may have the potential to unduly prejudice international trade.</w:t>
      </w:r>
    </w:p>
    <w:p w14:paraId="4E7D018C" w14:textId="77777777" w:rsidR="006D36C8" w:rsidRDefault="006D36C8" w:rsidP="007B1953">
      <w:pPr>
        <w:pStyle w:val="Heading2"/>
        <w:numPr>
          <w:ilvl w:val="0"/>
          <w:numId w:val="0"/>
        </w:numPr>
      </w:pPr>
      <w:bookmarkStart w:id="17" w:name="_Toc231889745"/>
      <w:bookmarkStart w:id="18" w:name="_Toc2243848"/>
      <w:bookmarkStart w:id="19" w:name="_Toc210810987"/>
      <w:r>
        <w:t>Destination and value of exports</w:t>
      </w:r>
      <w:bookmarkEnd w:id="17"/>
      <w:bookmarkEnd w:id="18"/>
      <w:bookmarkEnd w:id="19"/>
    </w:p>
    <w:p w14:paraId="2CB144E2" w14:textId="6E9FD32E" w:rsidR="006D36C8" w:rsidRDefault="00AB5B7E" w:rsidP="006D36C8">
      <w:pPr>
        <w:pStyle w:val="APVMAText"/>
      </w:pPr>
      <w:r>
        <w:t xml:space="preserve">In </w:t>
      </w:r>
      <w:r w:rsidR="00801167" w:rsidRPr="00801167">
        <w:t>2024</w:t>
      </w:r>
      <w:r w:rsidR="008A31C1">
        <w:t>–</w:t>
      </w:r>
      <w:r w:rsidR="00801167" w:rsidRPr="00801167">
        <w:t>25 (Jul</w:t>
      </w:r>
      <w:r w:rsidR="008A31C1">
        <w:t>–</w:t>
      </w:r>
      <w:r w:rsidR="00801167" w:rsidRPr="00801167">
        <w:t>Jun)</w:t>
      </w:r>
      <w:r w:rsidR="00801167">
        <w:rPr>
          <w:rStyle w:val="FootnoteReference"/>
        </w:rPr>
        <w:footnoteReference w:id="3"/>
      </w:r>
      <w:r w:rsidR="00801167" w:rsidRPr="00801167">
        <w:t>, the Australian salmon industry exported a total 21,799 tons of salmon valued at $343.4 million (</w:t>
      </w:r>
      <w:proofErr w:type="gramStart"/>
      <w:r w:rsidR="00801167" w:rsidRPr="00801167">
        <w:t>ABARES )</w:t>
      </w:r>
      <w:proofErr w:type="gramEnd"/>
      <w:r w:rsidR="00801167" w:rsidRPr="00801167">
        <w:t>. Significant export markets for Australian salmon fish meat (fresh, chilled or frozen), as well as live, prepared and preserved fish included China (13,343t), Indonesia (1,680t), Japan (2,020t), Taiwan (184t), Thailand (392t), The United States (1,133t) and Vietnam (1,567t).</w:t>
      </w:r>
    </w:p>
    <w:p w14:paraId="3EC6D648" w14:textId="4067B945" w:rsidR="006D36C8" w:rsidRDefault="007B1953" w:rsidP="00032787">
      <w:pPr>
        <w:pStyle w:val="Heading2"/>
      </w:pPr>
      <w:bookmarkStart w:id="20" w:name="_Toc231889746"/>
      <w:bookmarkStart w:id="21" w:name="_Toc2243849"/>
      <w:bookmarkStart w:id="22" w:name="_Toc210810988"/>
      <w:r>
        <w:t xml:space="preserve">Australian use </w:t>
      </w:r>
      <w:r w:rsidR="006D36C8">
        <w:t>pattern</w:t>
      </w:r>
      <w:bookmarkEnd w:id="20"/>
      <w:bookmarkEnd w:id="21"/>
      <w:bookmarkEnd w:id="22"/>
    </w:p>
    <w:p w14:paraId="57C04E27" w14:textId="04756C4C" w:rsidR="00C80F15" w:rsidRDefault="00C80F15" w:rsidP="008A31C1">
      <w:pPr>
        <w:pStyle w:val="APVMAText"/>
      </w:pPr>
      <w:bookmarkStart w:id="23" w:name="_Toc209790570"/>
      <w:bookmarkStart w:id="24" w:name="_Toc209792700"/>
      <w:bookmarkStart w:id="25" w:name="_Toc252955168"/>
      <w:proofErr w:type="spellStart"/>
      <w:r w:rsidRPr="00C80F15">
        <w:t>AbbeyFlor</w:t>
      </w:r>
      <w:proofErr w:type="spellEnd"/>
      <w:r w:rsidRPr="00C80F15">
        <w:t xml:space="preserve"> Premix Concentrate for Pigs (1000 g/kg florfenicol)</w:t>
      </w:r>
      <w:bookmarkEnd w:id="23"/>
      <w:bookmarkEnd w:id="24"/>
    </w:p>
    <w:p w14:paraId="0F7C22E0" w14:textId="60666F14" w:rsidR="006D36C8" w:rsidRDefault="006D36C8" w:rsidP="00C80F15">
      <w:pPr>
        <w:pStyle w:val="Caption"/>
      </w:pPr>
      <w:bookmarkStart w:id="26" w:name="_Toc209792701"/>
      <w:r>
        <w:t xml:space="preserve">Table </w:t>
      </w:r>
      <w:r w:rsidR="00CF3BFD">
        <w:t>1</w:t>
      </w:r>
      <w:r>
        <w:t>:</w:t>
      </w:r>
      <w:r>
        <w:tab/>
        <w:t>Proposed use pattern</w:t>
      </w:r>
      <w:bookmarkEnd w:id="26"/>
      <w:r>
        <w:t xml:space="preserve"> </w:t>
      </w:r>
      <w:bookmarkEnd w:id="25"/>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557"/>
        <w:gridCol w:w="8081"/>
      </w:tblGrid>
      <w:tr w:rsidR="00C80F15" w:rsidRPr="008601A6" w14:paraId="768492AC" w14:textId="77777777" w:rsidTr="00084518">
        <w:tc>
          <w:tcPr>
            <w:tcW w:w="1557" w:type="dxa"/>
            <w:shd w:val="clear" w:color="auto" w:fill="008080"/>
          </w:tcPr>
          <w:p w14:paraId="354FD318" w14:textId="77777777" w:rsidR="00C80F15" w:rsidRPr="008601A6" w:rsidRDefault="00C80F15" w:rsidP="00C80F15">
            <w:pPr>
              <w:pStyle w:val="APVMATableHead"/>
              <w:rPr>
                <w:color w:val="FFFFFF"/>
                <w:szCs w:val="18"/>
              </w:rPr>
            </w:pPr>
            <w:r w:rsidRPr="008601A6">
              <w:rPr>
                <w:color w:val="FFFFFF"/>
                <w:szCs w:val="18"/>
              </w:rPr>
              <w:t>Claims:</w:t>
            </w:r>
          </w:p>
        </w:tc>
        <w:tc>
          <w:tcPr>
            <w:tcW w:w="8081" w:type="dxa"/>
          </w:tcPr>
          <w:p w14:paraId="0BF2A3DA" w14:textId="3FA12853" w:rsidR="00C80F15" w:rsidRPr="008601A6" w:rsidRDefault="00084518" w:rsidP="00C80F15">
            <w:pPr>
              <w:pStyle w:val="APVMATableText"/>
            </w:pPr>
            <w:r w:rsidRPr="00084518">
              <w:t xml:space="preserve">Treatment of TRLO-EC infection caused by </w:t>
            </w:r>
            <w:proofErr w:type="spellStart"/>
            <w:r w:rsidRPr="008C6A2D">
              <w:rPr>
                <w:i/>
                <w:iCs/>
              </w:rPr>
              <w:t>Piscirickettsia</w:t>
            </w:r>
            <w:proofErr w:type="spellEnd"/>
            <w:r w:rsidRPr="008C6A2D">
              <w:rPr>
                <w:i/>
                <w:iCs/>
              </w:rPr>
              <w:t xml:space="preserve"> </w:t>
            </w:r>
            <w:proofErr w:type="spellStart"/>
            <w:r w:rsidRPr="008C6A2D">
              <w:rPr>
                <w:i/>
                <w:iCs/>
              </w:rPr>
              <w:t>salmonis</w:t>
            </w:r>
            <w:proofErr w:type="spellEnd"/>
            <w:r w:rsidRPr="00084518">
              <w:t xml:space="preserve"> and/or aid in management of </w:t>
            </w:r>
            <w:proofErr w:type="spellStart"/>
            <w:proofErr w:type="gramStart"/>
            <w:r w:rsidRPr="008C6A2D">
              <w:rPr>
                <w:i/>
                <w:iCs/>
              </w:rPr>
              <w:t>P.salmonis</w:t>
            </w:r>
            <w:proofErr w:type="spellEnd"/>
            <w:proofErr w:type="gramEnd"/>
            <w:r w:rsidRPr="00084518">
              <w:t xml:space="preserve"> in Atlantic Salmon</w:t>
            </w:r>
          </w:p>
        </w:tc>
      </w:tr>
      <w:tr w:rsidR="00C80F15" w:rsidRPr="008601A6" w14:paraId="4AD5CBBD" w14:textId="77777777" w:rsidTr="00084518">
        <w:tc>
          <w:tcPr>
            <w:tcW w:w="1557" w:type="dxa"/>
            <w:shd w:val="clear" w:color="auto" w:fill="008080"/>
          </w:tcPr>
          <w:p w14:paraId="2E0CAC12" w14:textId="77777777" w:rsidR="00C80F15" w:rsidRPr="008601A6" w:rsidRDefault="00C80F15" w:rsidP="00C80F15">
            <w:pPr>
              <w:pStyle w:val="BODYTEXT"/>
              <w:spacing w:before="60" w:after="60"/>
              <w:rPr>
                <w:rFonts w:ascii="Franklin Gothic Medium" w:hAnsi="Franklin Gothic Medium" w:cs="Arial"/>
                <w:bCs/>
                <w:color w:val="FFFFFF"/>
                <w:sz w:val="18"/>
                <w:szCs w:val="18"/>
              </w:rPr>
            </w:pPr>
            <w:r w:rsidRPr="008601A6">
              <w:rPr>
                <w:rFonts w:ascii="Franklin Gothic Medium" w:hAnsi="Franklin Gothic Medium" w:cs="Arial"/>
                <w:bCs/>
                <w:color w:val="FFFFFF"/>
                <w:sz w:val="18"/>
                <w:szCs w:val="18"/>
              </w:rPr>
              <w:t xml:space="preserve">Dosage and </w:t>
            </w:r>
            <w:r>
              <w:rPr>
                <w:rFonts w:ascii="Franklin Gothic Medium" w:hAnsi="Franklin Gothic Medium" w:cs="Arial"/>
                <w:bCs/>
                <w:color w:val="FFFFFF"/>
                <w:sz w:val="18"/>
                <w:szCs w:val="18"/>
              </w:rPr>
              <w:t>a</w:t>
            </w:r>
            <w:r w:rsidRPr="008601A6">
              <w:rPr>
                <w:rFonts w:ascii="Franklin Gothic Medium" w:hAnsi="Franklin Gothic Medium" w:cs="Arial"/>
                <w:bCs/>
                <w:color w:val="FFFFFF"/>
                <w:sz w:val="18"/>
                <w:szCs w:val="18"/>
              </w:rPr>
              <w:t>dministration:</w:t>
            </w:r>
          </w:p>
        </w:tc>
        <w:tc>
          <w:tcPr>
            <w:tcW w:w="8081" w:type="dxa"/>
          </w:tcPr>
          <w:p w14:paraId="015A790E" w14:textId="77777777" w:rsidR="00C80F15" w:rsidRDefault="00C80F15" w:rsidP="00C80F15">
            <w:pPr>
              <w:pStyle w:val="APVMATableText"/>
            </w:pPr>
            <w:r w:rsidRPr="007D1C01">
              <w:t>Incorporate into fish feed to deliver a dose of 10-20 mg florfenicol per kg body weight per day for 10 consecutive days.</w:t>
            </w:r>
          </w:p>
          <w:p w14:paraId="38EEF990" w14:textId="77777777" w:rsidR="00C80F15" w:rsidRDefault="00C80F15" w:rsidP="00C80F15">
            <w:pPr>
              <w:pStyle w:val="APVMATableText"/>
            </w:pPr>
            <w:r w:rsidRPr="007D1C01">
              <w:t>Mixing Instructions:</w:t>
            </w:r>
          </w:p>
          <w:p w14:paraId="35885947" w14:textId="48804CE5" w:rsidR="00C80F15" w:rsidRPr="008601A6" w:rsidRDefault="00C80F15" w:rsidP="00C80F15">
            <w:pPr>
              <w:pStyle w:val="APVMATableText"/>
            </w:pPr>
            <w:r w:rsidRPr="00C80F15">
              <w:t xml:space="preserve">Thoroughly mix </w:t>
            </w:r>
            <w:proofErr w:type="spellStart"/>
            <w:r w:rsidRPr="00C80F15">
              <w:t>AbbeyFlor</w:t>
            </w:r>
            <w:proofErr w:type="spellEnd"/>
            <w:r w:rsidRPr="00C80F15">
              <w:t xml:space="preserve"> Premix Concentrate with feed to ensure uniform distribution. Coating with an oil-based binder is recommended to improve adherence and palatability.</w:t>
            </w:r>
          </w:p>
        </w:tc>
      </w:tr>
      <w:tr w:rsidR="00C80F15" w:rsidRPr="008601A6" w14:paraId="34170D02" w14:textId="77777777" w:rsidTr="00084518">
        <w:tc>
          <w:tcPr>
            <w:tcW w:w="1557" w:type="dxa"/>
            <w:shd w:val="clear" w:color="auto" w:fill="008080"/>
          </w:tcPr>
          <w:p w14:paraId="06F5EE6D" w14:textId="77777777" w:rsidR="00C80F15" w:rsidRPr="008601A6" w:rsidRDefault="00C80F15" w:rsidP="00C80F15">
            <w:pPr>
              <w:pStyle w:val="APVMATableHead"/>
              <w:rPr>
                <w:color w:val="FFFFFF"/>
                <w:szCs w:val="18"/>
              </w:rPr>
            </w:pPr>
            <w:r w:rsidRPr="008601A6">
              <w:rPr>
                <w:color w:val="FFFFFF"/>
                <w:szCs w:val="18"/>
              </w:rPr>
              <w:t xml:space="preserve">Withholding </w:t>
            </w:r>
            <w:r>
              <w:rPr>
                <w:color w:val="FFFFFF"/>
                <w:szCs w:val="18"/>
              </w:rPr>
              <w:t>p</w:t>
            </w:r>
            <w:r w:rsidRPr="008601A6">
              <w:rPr>
                <w:color w:val="FFFFFF"/>
                <w:szCs w:val="18"/>
              </w:rPr>
              <w:t>eriods:</w:t>
            </w:r>
          </w:p>
        </w:tc>
        <w:tc>
          <w:tcPr>
            <w:tcW w:w="8081" w:type="dxa"/>
          </w:tcPr>
          <w:p w14:paraId="5D02161C" w14:textId="3CB967A1" w:rsidR="00C80F15" w:rsidRPr="008601A6" w:rsidRDefault="00C80F15" w:rsidP="00C80F15">
            <w:pPr>
              <w:pStyle w:val="APVMATableText"/>
            </w:pPr>
            <w:r w:rsidRPr="00C80F15">
              <w:t>DO NOT USE less than 300 degree-days before harvesting fish for human consumption.</w:t>
            </w:r>
          </w:p>
        </w:tc>
      </w:tr>
      <w:tr w:rsidR="00C80F15" w:rsidRPr="008601A6" w14:paraId="42D84DD8" w14:textId="77777777" w:rsidTr="00084518">
        <w:tc>
          <w:tcPr>
            <w:tcW w:w="1557" w:type="dxa"/>
            <w:shd w:val="clear" w:color="auto" w:fill="008080"/>
          </w:tcPr>
          <w:p w14:paraId="735AE196" w14:textId="77777777" w:rsidR="00C80F15" w:rsidRPr="008601A6" w:rsidRDefault="00C80F15" w:rsidP="00C80F15">
            <w:pPr>
              <w:pStyle w:val="APVMATableHead"/>
              <w:rPr>
                <w:color w:val="FFFFFF"/>
                <w:szCs w:val="18"/>
              </w:rPr>
            </w:pPr>
            <w:r w:rsidRPr="008601A6">
              <w:rPr>
                <w:color w:val="FFFFFF"/>
                <w:szCs w:val="18"/>
              </w:rPr>
              <w:t xml:space="preserve">Trade </w:t>
            </w:r>
            <w:r>
              <w:rPr>
                <w:color w:val="FFFFFF"/>
                <w:szCs w:val="18"/>
              </w:rPr>
              <w:t>a</w:t>
            </w:r>
            <w:r w:rsidRPr="008601A6">
              <w:rPr>
                <w:color w:val="FFFFFF"/>
                <w:szCs w:val="18"/>
              </w:rPr>
              <w:t>dvice:</w:t>
            </w:r>
          </w:p>
        </w:tc>
        <w:tc>
          <w:tcPr>
            <w:tcW w:w="8081" w:type="dxa"/>
          </w:tcPr>
          <w:p w14:paraId="008D2BDC" w14:textId="28C214F7" w:rsidR="00C80F15" w:rsidRPr="008601A6" w:rsidRDefault="00C80F15" w:rsidP="00C80F15">
            <w:pPr>
              <w:pStyle w:val="APVMATableText"/>
            </w:pPr>
            <w:r w:rsidRPr="00C80F15">
              <w:t xml:space="preserve">EXPORT SLAUGHTER INTERVAL (ESI): DO NOT USE less than </w:t>
            </w:r>
            <w:r w:rsidR="008C6A2D">
              <w:t>500</w:t>
            </w:r>
            <w:r w:rsidRPr="00C80F15">
              <w:t xml:space="preserve"> degree-days before slaughter for export. Before using this product, confirm the current ESI from [registration holder/distributor name] on [insert telephone contact number] or the APVMA website (apvma.gov.au/residues).</w:t>
            </w:r>
          </w:p>
        </w:tc>
      </w:tr>
    </w:tbl>
    <w:p w14:paraId="4DD31169" w14:textId="77777777" w:rsidR="00C80F15" w:rsidRPr="00C80F15" w:rsidRDefault="00C80F15" w:rsidP="00C80F15">
      <w:pPr>
        <w:pStyle w:val="NormalText"/>
      </w:pPr>
    </w:p>
    <w:p w14:paraId="28529C15" w14:textId="77777777" w:rsidR="006D36C8" w:rsidRDefault="006D36C8" w:rsidP="00032787">
      <w:pPr>
        <w:pStyle w:val="Heading2"/>
      </w:pPr>
      <w:bookmarkStart w:id="27" w:name="_Toc231889747"/>
      <w:bookmarkStart w:id="28" w:name="_Toc2243850"/>
      <w:bookmarkStart w:id="29" w:name="_Toc210810989"/>
      <w:r>
        <w:lastRenderedPageBreak/>
        <w:t>Results from residues trials presented to the APVMA</w:t>
      </w:r>
      <w:bookmarkEnd w:id="27"/>
      <w:bookmarkEnd w:id="28"/>
      <w:bookmarkEnd w:id="29"/>
    </w:p>
    <w:p w14:paraId="043A87A8" w14:textId="4BF17B9C" w:rsidR="006D36C8" w:rsidRDefault="002E0321" w:rsidP="006D36C8">
      <w:pPr>
        <w:pStyle w:val="APVMAText"/>
      </w:pPr>
      <w:r>
        <w:t>Publicly available data was provided demonstrating residue</w:t>
      </w:r>
      <w:r w:rsidR="00F9222F">
        <w:t>s</w:t>
      </w:r>
      <w:r>
        <w:t xml:space="preserve"> of florfenicol in edible tissues of Rainbow trout (</w:t>
      </w:r>
      <w:r w:rsidRPr="00197E5C">
        <w:rPr>
          <w:i/>
          <w:iCs/>
        </w:rPr>
        <w:t>Oncorhynchus mykiss</w:t>
      </w:r>
      <w:r>
        <w:t xml:space="preserve">) following treatment </w:t>
      </w:r>
      <w:r w:rsidRPr="002E0321">
        <w:t>with florfenicol</w:t>
      </w:r>
      <w:r>
        <w:t>-</w:t>
      </w:r>
      <w:r w:rsidRPr="002E0321">
        <w:t>medicated feed</w:t>
      </w:r>
      <w:r>
        <w:t xml:space="preserve"> administered </w:t>
      </w:r>
      <w:r w:rsidRPr="002E0321">
        <w:t xml:space="preserve">at 20 mg/kg </w:t>
      </w:r>
      <w:r>
        <w:t>bodyweight</w:t>
      </w:r>
      <w:r w:rsidRPr="002E0321">
        <w:t xml:space="preserve"> for 10</w:t>
      </w:r>
      <w:r>
        <w:t xml:space="preserve"> consecutive days.</w:t>
      </w:r>
      <w:r w:rsidRPr="002E0321">
        <w:t xml:space="preserve"> </w:t>
      </w:r>
      <w:r w:rsidR="007868E2">
        <w:t>Treatment f</w:t>
      </w:r>
      <w:r>
        <w:t xml:space="preserve">ish were housed in </w:t>
      </w:r>
      <w:r w:rsidR="008A31C1">
        <w:t>2</w:t>
      </w:r>
      <w:r>
        <w:t xml:space="preserve"> aquaculture systems; a flow-through </w:t>
      </w:r>
      <w:r w:rsidRPr="002E0321">
        <w:t xml:space="preserve">(FTS) </w:t>
      </w:r>
      <w:r w:rsidR="000426FB">
        <w:t>or</w:t>
      </w:r>
      <w:r w:rsidRPr="002E0321">
        <w:t xml:space="preserve"> a recirculating system (RAS)</w:t>
      </w:r>
      <w:r w:rsidR="00A01E75">
        <w:t>,</w:t>
      </w:r>
      <w:r w:rsidRPr="002E0321">
        <w:t xml:space="preserve"> each with water temperatures </w:t>
      </w:r>
      <w:r>
        <w:t xml:space="preserve">maintained at approximately </w:t>
      </w:r>
      <w:r w:rsidRPr="002E0321">
        <w:t>13°C.</w:t>
      </w:r>
      <w:r>
        <w:t xml:space="preserve"> </w:t>
      </w:r>
      <w:r w:rsidR="007868E2">
        <w:t>Skin-on fillets were taken</w:t>
      </w:r>
      <w:r w:rsidR="007868E2" w:rsidRPr="002E0321">
        <w:t xml:space="preserve"> </w:t>
      </w:r>
      <w:r w:rsidR="007868E2">
        <w:t>from treat</w:t>
      </w:r>
      <w:r w:rsidR="00A01E75">
        <w:t>ed fish from each tank (n=16)</w:t>
      </w:r>
      <w:r w:rsidRPr="002E0321">
        <w:t xml:space="preserve"> </w:t>
      </w:r>
      <w:r w:rsidR="00F9222F">
        <w:t xml:space="preserve">and </w:t>
      </w:r>
      <w:r w:rsidRPr="002E0321">
        <w:t xml:space="preserve">nontreated </w:t>
      </w:r>
      <w:r w:rsidR="00F9222F">
        <w:t>fish (</w:t>
      </w:r>
      <w:r w:rsidRPr="002E0321">
        <w:t>n = 8) at 6, 12, 24, 48, 72, 120, 240, 360 and 480 hours post final treatment.</w:t>
      </w:r>
    </w:p>
    <w:p w14:paraId="292603B1" w14:textId="07FFF93A" w:rsidR="00D02DD1" w:rsidRDefault="00413D39" w:rsidP="006D36C8">
      <w:pPr>
        <w:pStyle w:val="APVMAText"/>
      </w:pPr>
      <w:r w:rsidRPr="00413D39">
        <w:t>Analysis of florfenicol amine (FFA) in trout fillets were determined</w:t>
      </w:r>
      <w:r w:rsidR="00D02DD1">
        <w:t xml:space="preserve"> by HPLC and ultraviolet detection,</w:t>
      </w:r>
      <w:r w:rsidRPr="00413D39">
        <w:t xml:space="preserve"> using a common moiety method</w:t>
      </w:r>
      <w:r w:rsidR="00D02DD1">
        <w:t xml:space="preserve">, </w:t>
      </w:r>
      <w:r w:rsidR="00D02DD1" w:rsidRPr="002D286C">
        <w:t xml:space="preserve">converting all </w:t>
      </w:r>
      <w:r w:rsidR="00D02DD1">
        <w:t>florfenicol</w:t>
      </w:r>
      <w:r w:rsidR="00D02DD1" w:rsidRPr="002D286C">
        <w:t xml:space="preserve"> residues</w:t>
      </w:r>
      <w:r w:rsidR="00D02DD1">
        <w:t xml:space="preserve"> </w:t>
      </w:r>
      <w:r w:rsidR="00D02DD1" w:rsidRPr="002D286C">
        <w:t xml:space="preserve">to </w:t>
      </w:r>
      <w:r w:rsidR="00D02DD1">
        <w:t>florfenicol-amine</w:t>
      </w:r>
      <w:r w:rsidR="00D02DD1" w:rsidRPr="002D286C">
        <w:t xml:space="preserve"> by acid-catalysed hydrolysis</w:t>
      </w:r>
      <w:r w:rsidR="00D02DD1">
        <w:t xml:space="preserve">. </w:t>
      </w:r>
      <w:r w:rsidR="00D02DD1" w:rsidRPr="00D02DD1">
        <w:t xml:space="preserve">The method reporting limit was 0.05 </w:t>
      </w:r>
      <w:r w:rsidR="00D02DD1">
        <w:t>mg/kg.</w:t>
      </w:r>
    </w:p>
    <w:p w14:paraId="2E8CBB15" w14:textId="6C5D2E7C" w:rsidR="000426FB" w:rsidRDefault="000426FB" w:rsidP="003C2CB7">
      <w:pPr>
        <w:pStyle w:val="Caption"/>
        <w:tabs>
          <w:tab w:val="clear" w:pos="907"/>
          <w:tab w:val="left" w:pos="0"/>
        </w:tabs>
        <w:ind w:left="851" w:hanging="851"/>
        <w:rPr>
          <w:i/>
        </w:rPr>
      </w:pPr>
      <w:bookmarkStart w:id="30" w:name="_Toc209792702"/>
      <w:r w:rsidRPr="000426FB">
        <w:t xml:space="preserve">Table </w:t>
      </w:r>
      <w:r w:rsidR="00CF3BFD">
        <w:t>2</w:t>
      </w:r>
      <w:r w:rsidRPr="000426FB">
        <w:t>.</w:t>
      </w:r>
      <w:r w:rsidRPr="000426FB">
        <w:rPr>
          <w:i/>
        </w:rPr>
        <w:t xml:space="preserve"> </w:t>
      </w:r>
      <w:r w:rsidR="003C2CB7">
        <w:rPr>
          <w:i/>
        </w:rPr>
        <w:tab/>
      </w:r>
      <w:r w:rsidRPr="003C2CB7">
        <w:rPr>
          <w:iCs/>
        </w:rPr>
        <w:t>Florfenicol amine</w:t>
      </w:r>
      <w:r w:rsidR="00603C0A" w:rsidRPr="003C2CB7">
        <w:rPr>
          <w:iCs/>
        </w:rPr>
        <w:t xml:space="preserve"> (FAA)</w:t>
      </w:r>
      <w:r w:rsidRPr="003C2CB7">
        <w:rPr>
          <w:iCs/>
        </w:rPr>
        <w:t xml:space="preserve"> concentrations in fillet tissue from Rainbow Trout treated with florfenicol-medicated feed at 20 mg/kg </w:t>
      </w:r>
      <w:proofErr w:type="spellStart"/>
      <w:r w:rsidRPr="003C2CB7">
        <w:rPr>
          <w:iCs/>
        </w:rPr>
        <w:t>bw</w:t>
      </w:r>
      <w:proofErr w:type="spellEnd"/>
      <w:r w:rsidRPr="003C2CB7">
        <w:rPr>
          <w:iCs/>
        </w:rPr>
        <w:t xml:space="preserve"> for 10 days in recirculating and flow-through systems with water temperatures of </w:t>
      </w:r>
      <w:r w:rsidRPr="003C2CB7">
        <w:rPr>
          <w:rFonts w:ascii="Cambria Math" w:hAnsi="Cambria Math" w:cs="Cambria Math"/>
          <w:iCs/>
        </w:rPr>
        <w:t>∼</w:t>
      </w:r>
      <w:r w:rsidRPr="003C2CB7">
        <w:rPr>
          <w:iCs/>
        </w:rPr>
        <w:t>13°C.</w:t>
      </w:r>
      <w:r w:rsidR="003C2CB7">
        <w:rPr>
          <w:iCs/>
        </w:rPr>
        <w:t xml:space="preserve"> (Adapted from </w:t>
      </w:r>
      <w:r w:rsidR="003C2CB7">
        <w:t xml:space="preserve">Meinertz JR </w:t>
      </w:r>
      <w:r w:rsidR="003C2CB7" w:rsidRPr="00EE18D2">
        <w:rPr>
          <w:i/>
          <w:iCs/>
        </w:rPr>
        <w:t>et al.</w:t>
      </w:r>
      <w:r w:rsidR="003C2CB7">
        <w:t xml:space="preserve"> 2014</w:t>
      </w:r>
      <w:r w:rsidR="003C2CB7">
        <w:rPr>
          <w:rStyle w:val="FootnoteReference"/>
        </w:rPr>
        <w:footnoteReference w:id="4"/>
      </w:r>
      <w:r w:rsidR="003C2CB7">
        <w:t>)</w:t>
      </w:r>
      <w:bookmarkEnd w:id="30"/>
    </w:p>
    <w:tbl>
      <w:tblPr>
        <w:tblW w:w="5000" w:type="pct"/>
        <w:tblLook w:val="04A0" w:firstRow="1" w:lastRow="0" w:firstColumn="1" w:lastColumn="0" w:noHBand="0" w:noVBand="1"/>
      </w:tblPr>
      <w:tblGrid>
        <w:gridCol w:w="1662"/>
        <w:gridCol w:w="397"/>
        <w:gridCol w:w="868"/>
        <w:gridCol w:w="868"/>
        <w:gridCol w:w="868"/>
        <w:gridCol w:w="791"/>
        <w:gridCol w:w="327"/>
        <w:gridCol w:w="397"/>
        <w:gridCol w:w="868"/>
        <w:gridCol w:w="868"/>
        <w:gridCol w:w="868"/>
        <w:gridCol w:w="856"/>
      </w:tblGrid>
      <w:tr w:rsidR="00603C0A" w:rsidRPr="00603C0A" w14:paraId="50D95BD7" w14:textId="77777777" w:rsidTr="003C2CB7">
        <w:trPr>
          <w:trHeight w:val="300"/>
        </w:trPr>
        <w:tc>
          <w:tcPr>
            <w:tcW w:w="1340" w:type="dxa"/>
            <w:vMerge w:val="restart"/>
            <w:tcBorders>
              <w:top w:val="nil"/>
              <w:left w:val="nil"/>
              <w:bottom w:val="nil"/>
              <w:right w:val="nil"/>
            </w:tcBorders>
            <w:shd w:val="clear" w:color="000000" w:fill="008080"/>
            <w:vAlign w:val="center"/>
            <w:hideMark/>
          </w:tcPr>
          <w:p w14:paraId="3A45C897" w14:textId="3BE58D15" w:rsidR="00603C0A" w:rsidRPr="00603C0A" w:rsidRDefault="00603C0A" w:rsidP="003C2CB7">
            <w:pPr>
              <w:spacing w:line="210" w:lineRule="exact"/>
              <w:rPr>
                <w:rFonts w:cs="Arial"/>
                <w:b/>
                <w:bCs/>
                <w:color w:val="FFFFFF"/>
                <w:sz w:val="17"/>
                <w:szCs w:val="17"/>
                <w:lang w:eastAsia="en-AU"/>
              </w:rPr>
            </w:pPr>
            <w:r w:rsidRPr="00603C0A">
              <w:rPr>
                <w:rFonts w:cs="Arial"/>
                <w:b/>
                <w:bCs/>
                <w:color w:val="FFFFFF"/>
                <w:sz w:val="17"/>
                <w:szCs w:val="17"/>
                <w:lang w:eastAsia="en-AU"/>
              </w:rPr>
              <w:t xml:space="preserve">Time after treatment, </w:t>
            </w:r>
            <w:r w:rsidR="003C2CB7">
              <w:rPr>
                <w:rFonts w:cs="Arial"/>
                <w:b/>
                <w:bCs/>
                <w:color w:val="FFFFFF"/>
                <w:sz w:val="17"/>
                <w:szCs w:val="17"/>
                <w:lang w:eastAsia="en-AU"/>
              </w:rPr>
              <w:br/>
            </w:r>
            <w:r w:rsidRPr="00603C0A">
              <w:rPr>
                <w:rFonts w:cs="Arial"/>
                <w:b/>
                <w:bCs/>
                <w:color w:val="FFFFFF"/>
                <w:sz w:val="17"/>
                <w:szCs w:val="17"/>
                <w:lang w:eastAsia="en-AU"/>
              </w:rPr>
              <w:t>hours (days)</w:t>
            </w:r>
          </w:p>
        </w:tc>
        <w:tc>
          <w:tcPr>
            <w:tcW w:w="2380" w:type="dxa"/>
            <w:gridSpan w:val="5"/>
            <w:tcBorders>
              <w:top w:val="nil"/>
              <w:left w:val="nil"/>
              <w:bottom w:val="single" w:sz="4" w:space="0" w:color="auto"/>
              <w:right w:val="nil"/>
            </w:tcBorders>
            <w:shd w:val="clear" w:color="000000" w:fill="008080"/>
            <w:vAlign w:val="center"/>
            <w:hideMark/>
          </w:tcPr>
          <w:p w14:paraId="222D0C11" w14:textId="64DF586C"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Recirculating system FFA (mg</w:t>
            </w:r>
            <w:r w:rsidR="0047632E">
              <w:rPr>
                <w:rFonts w:cs="Arial"/>
                <w:b/>
                <w:bCs/>
                <w:color w:val="FFFFFF"/>
                <w:sz w:val="17"/>
                <w:szCs w:val="17"/>
                <w:lang w:eastAsia="en-AU"/>
              </w:rPr>
              <w:t xml:space="preserve"> eq.</w:t>
            </w:r>
            <w:r w:rsidRPr="00603C0A">
              <w:rPr>
                <w:rFonts w:cs="Arial"/>
                <w:b/>
                <w:bCs/>
                <w:color w:val="FFFFFF"/>
                <w:sz w:val="17"/>
                <w:szCs w:val="17"/>
                <w:lang w:eastAsia="en-AU"/>
              </w:rPr>
              <w:t>/kg)</w:t>
            </w:r>
          </w:p>
        </w:tc>
        <w:tc>
          <w:tcPr>
            <w:tcW w:w="220" w:type="dxa"/>
            <w:tcBorders>
              <w:top w:val="nil"/>
              <w:left w:val="nil"/>
              <w:bottom w:val="nil"/>
              <w:right w:val="nil"/>
            </w:tcBorders>
            <w:shd w:val="clear" w:color="000000" w:fill="008080"/>
            <w:vAlign w:val="center"/>
            <w:hideMark/>
          </w:tcPr>
          <w:p w14:paraId="3534BF65"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 </w:t>
            </w:r>
          </w:p>
        </w:tc>
        <w:tc>
          <w:tcPr>
            <w:tcW w:w="2380" w:type="dxa"/>
            <w:gridSpan w:val="5"/>
            <w:tcBorders>
              <w:top w:val="nil"/>
              <w:left w:val="nil"/>
              <w:bottom w:val="single" w:sz="4" w:space="0" w:color="auto"/>
              <w:right w:val="nil"/>
            </w:tcBorders>
            <w:shd w:val="clear" w:color="000000" w:fill="008080"/>
            <w:noWrap/>
            <w:vAlign w:val="center"/>
            <w:hideMark/>
          </w:tcPr>
          <w:p w14:paraId="439F49A7" w14:textId="6C0C6D3F"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Flow-through system FFA (mg</w:t>
            </w:r>
            <w:r w:rsidR="0047632E">
              <w:rPr>
                <w:rFonts w:cs="Arial"/>
                <w:b/>
                <w:bCs/>
                <w:color w:val="FFFFFF"/>
                <w:sz w:val="17"/>
                <w:szCs w:val="17"/>
                <w:lang w:eastAsia="en-AU"/>
              </w:rPr>
              <w:t xml:space="preserve"> eq.</w:t>
            </w:r>
            <w:r w:rsidRPr="00603C0A">
              <w:rPr>
                <w:rFonts w:cs="Arial"/>
                <w:b/>
                <w:bCs/>
                <w:color w:val="FFFFFF"/>
                <w:sz w:val="17"/>
                <w:szCs w:val="17"/>
                <w:lang w:eastAsia="en-AU"/>
              </w:rPr>
              <w:t>/kg)</w:t>
            </w:r>
          </w:p>
        </w:tc>
      </w:tr>
      <w:tr w:rsidR="00603C0A" w:rsidRPr="00603C0A" w14:paraId="3F121C6A" w14:textId="77777777" w:rsidTr="003C2CB7">
        <w:trPr>
          <w:trHeight w:val="288"/>
        </w:trPr>
        <w:tc>
          <w:tcPr>
            <w:tcW w:w="1340" w:type="dxa"/>
            <w:vMerge/>
            <w:tcBorders>
              <w:top w:val="nil"/>
              <w:left w:val="nil"/>
              <w:bottom w:val="nil"/>
              <w:right w:val="nil"/>
            </w:tcBorders>
            <w:vAlign w:val="center"/>
            <w:hideMark/>
          </w:tcPr>
          <w:p w14:paraId="3DA52E95" w14:textId="77777777" w:rsidR="00603C0A" w:rsidRPr="00603C0A" w:rsidRDefault="00603C0A" w:rsidP="003C2CB7">
            <w:pPr>
              <w:spacing w:line="210" w:lineRule="exact"/>
              <w:rPr>
                <w:rFonts w:cs="Arial"/>
                <w:b/>
                <w:bCs/>
                <w:color w:val="FFFFFF"/>
                <w:sz w:val="17"/>
                <w:szCs w:val="17"/>
                <w:lang w:eastAsia="en-AU"/>
              </w:rPr>
            </w:pPr>
          </w:p>
        </w:tc>
        <w:tc>
          <w:tcPr>
            <w:tcW w:w="221" w:type="dxa"/>
            <w:tcBorders>
              <w:top w:val="single" w:sz="4" w:space="0" w:color="auto"/>
              <w:left w:val="nil"/>
              <w:bottom w:val="nil"/>
              <w:right w:val="nil"/>
            </w:tcBorders>
            <w:shd w:val="clear" w:color="000000" w:fill="008080"/>
            <w:noWrap/>
            <w:vAlign w:val="center"/>
            <w:hideMark/>
          </w:tcPr>
          <w:p w14:paraId="04F8DE0D"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n</w:t>
            </w:r>
          </w:p>
        </w:tc>
        <w:tc>
          <w:tcPr>
            <w:tcW w:w="618" w:type="dxa"/>
            <w:tcBorders>
              <w:top w:val="single" w:sz="4" w:space="0" w:color="auto"/>
              <w:left w:val="nil"/>
              <w:bottom w:val="nil"/>
              <w:right w:val="nil"/>
            </w:tcBorders>
            <w:shd w:val="clear" w:color="000000" w:fill="008080"/>
            <w:noWrap/>
            <w:vAlign w:val="center"/>
            <w:hideMark/>
          </w:tcPr>
          <w:p w14:paraId="5A6B5CFB"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Mean</w:t>
            </w:r>
          </w:p>
        </w:tc>
        <w:tc>
          <w:tcPr>
            <w:tcW w:w="399" w:type="dxa"/>
            <w:tcBorders>
              <w:top w:val="single" w:sz="4" w:space="0" w:color="auto"/>
              <w:left w:val="nil"/>
              <w:bottom w:val="nil"/>
              <w:right w:val="nil"/>
            </w:tcBorders>
            <w:shd w:val="clear" w:color="000000" w:fill="008080"/>
            <w:noWrap/>
            <w:vAlign w:val="center"/>
            <w:hideMark/>
          </w:tcPr>
          <w:p w14:paraId="63DAF53A"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Min</w:t>
            </w:r>
          </w:p>
        </w:tc>
        <w:tc>
          <w:tcPr>
            <w:tcW w:w="504" w:type="dxa"/>
            <w:tcBorders>
              <w:top w:val="single" w:sz="4" w:space="0" w:color="auto"/>
              <w:left w:val="nil"/>
              <w:bottom w:val="nil"/>
              <w:right w:val="nil"/>
            </w:tcBorders>
            <w:shd w:val="clear" w:color="000000" w:fill="008080"/>
            <w:noWrap/>
            <w:vAlign w:val="center"/>
            <w:hideMark/>
          </w:tcPr>
          <w:p w14:paraId="61FEAF6C"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Max</w:t>
            </w:r>
          </w:p>
        </w:tc>
        <w:tc>
          <w:tcPr>
            <w:tcW w:w="638" w:type="dxa"/>
            <w:tcBorders>
              <w:top w:val="single" w:sz="4" w:space="0" w:color="auto"/>
              <w:left w:val="nil"/>
              <w:bottom w:val="nil"/>
              <w:right w:val="nil"/>
            </w:tcBorders>
            <w:shd w:val="clear" w:color="000000" w:fill="008080"/>
            <w:noWrap/>
            <w:vAlign w:val="center"/>
            <w:hideMark/>
          </w:tcPr>
          <w:p w14:paraId="029CBE05"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CV (%)</w:t>
            </w:r>
          </w:p>
        </w:tc>
        <w:tc>
          <w:tcPr>
            <w:tcW w:w="220" w:type="dxa"/>
            <w:tcBorders>
              <w:top w:val="nil"/>
              <w:left w:val="nil"/>
              <w:bottom w:val="nil"/>
              <w:right w:val="nil"/>
            </w:tcBorders>
            <w:shd w:val="clear" w:color="000000" w:fill="008080"/>
            <w:noWrap/>
            <w:vAlign w:val="center"/>
            <w:hideMark/>
          </w:tcPr>
          <w:p w14:paraId="52327BFD" w14:textId="5A49B3B6" w:rsidR="00603C0A" w:rsidRPr="00603C0A" w:rsidRDefault="00603C0A" w:rsidP="003C2CB7">
            <w:pPr>
              <w:spacing w:line="210" w:lineRule="exact"/>
              <w:jc w:val="center"/>
              <w:rPr>
                <w:rFonts w:cs="Arial"/>
                <w:b/>
                <w:bCs/>
                <w:color w:val="FFFFFF"/>
                <w:sz w:val="17"/>
                <w:szCs w:val="17"/>
                <w:lang w:eastAsia="en-AU"/>
              </w:rPr>
            </w:pPr>
          </w:p>
        </w:tc>
        <w:tc>
          <w:tcPr>
            <w:tcW w:w="160" w:type="dxa"/>
            <w:tcBorders>
              <w:top w:val="single" w:sz="4" w:space="0" w:color="auto"/>
              <w:left w:val="nil"/>
              <w:bottom w:val="nil"/>
              <w:right w:val="nil"/>
            </w:tcBorders>
            <w:shd w:val="clear" w:color="000000" w:fill="008080"/>
            <w:noWrap/>
            <w:vAlign w:val="center"/>
            <w:hideMark/>
          </w:tcPr>
          <w:p w14:paraId="75CB7F43"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n</w:t>
            </w:r>
          </w:p>
        </w:tc>
        <w:tc>
          <w:tcPr>
            <w:tcW w:w="555" w:type="dxa"/>
            <w:tcBorders>
              <w:top w:val="single" w:sz="4" w:space="0" w:color="auto"/>
              <w:left w:val="nil"/>
              <w:bottom w:val="nil"/>
              <w:right w:val="nil"/>
            </w:tcBorders>
            <w:shd w:val="clear" w:color="000000" w:fill="008080"/>
            <w:noWrap/>
            <w:vAlign w:val="center"/>
            <w:hideMark/>
          </w:tcPr>
          <w:p w14:paraId="1ADE22D4"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Mean</w:t>
            </w:r>
          </w:p>
        </w:tc>
        <w:tc>
          <w:tcPr>
            <w:tcW w:w="431" w:type="dxa"/>
            <w:tcBorders>
              <w:top w:val="single" w:sz="4" w:space="0" w:color="auto"/>
              <w:left w:val="nil"/>
              <w:bottom w:val="nil"/>
              <w:right w:val="nil"/>
            </w:tcBorders>
            <w:shd w:val="clear" w:color="000000" w:fill="008080"/>
            <w:noWrap/>
            <w:vAlign w:val="center"/>
            <w:hideMark/>
          </w:tcPr>
          <w:p w14:paraId="56EAF1A9"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Min</w:t>
            </w:r>
          </w:p>
        </w:tc>
        <w:tc>
          <w:tcPr>
            <w:tcW w:w="544" w:type="dxa"/>
            <w:tcBorders>
              <w:top w:val="single" w:sz="4" w:space="0" w:color="auto"/>
              <w:left w:val="nil"/>
              <w:bottom w:val="nil"/>
              <w:right w:val="nil"/>
            </w:tcBorders>
            <w:shd w:val="clear" w:color="000000" w:fill="008080"/>
            <w:noWrap/>
            <w:vAlign w:val="center"/>
            <w:hideMark/>
          </w:tcPr>
          <w:p w14:paraId="0E45C7A6"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Max</w:t>
            </w:r>
          </w:p>
        </w:tc>
        <w:tc>
          <w:tcPr>
            <w:tcW w:w="690" w:type="dxa"/>
            <w:tcBorders>
              <w:top w:val="single" w:sz="4" w:space="0" w:color="auto"/>
              <w:left w:val="nil"/>
              <w:bottom w:val="nil"/>
              <w:right w:val="nil"/>
            </w:tcBorders>
            <w:shd w:val="clear" w:color="000000" w:fill="008080"/>
            <w:noWrap/>
            <w:vAlign w:val="center"/>
            <w:hideMark/>
          </w:tcPr>
          <w:p w14:paraId="2608EA52" w14:textId="77777777" w:rsidR="00603C0A" w:rsidRPr="00603C0A" w:rsidRDefault="00603C0A" w:rsidP="003C2CB7">
            <w:pPr>
              <w:spacing w:line="210" w:lineRule="exact"/>
              <w:jc w:val="center"/>
              <w:rPr>
                <w:rFonts w:cs="Arial"/>
                <w:b/>
                <w:bCs/>
                <w:color w:val="FFFFFF"/>
                <w:sz w:val="17"/>
                <w:szCs w:val="17"/>
                <w:lang w:eastAsia="en-AU"/>
              </w:rPr>
            </w:pPr>
            <w:r w:rsidRPr="00603C0A">
              <w:rPr>
                <w:rFonts w:cs="Arial"/>
                <w:b/>
                <w:bCs/>
                <w:color w:val="FFFFFF"/>
                <w:sz w:val="17"/>
                <w:szCs w:val="17"/>
                <w:lang w:eastAsia="en-AU"/>
              </w:rPr>
              <w:t>CV (%)</w:t>
            </w:r>
          </w:p>
        </w:tc>
      </w:tr>
      <w:tr w:rsidR="00603C0A" w:rsidRPr="00603C0A" w14:paraId="1C316EFA" w14:textId="77777777" w:rsidTr="00603C0A">
        <w:trPr>
          <w:trHeight w:val="288"/>
        </w:trPr>
        <w:tc>
          <w:tcPr>
            <w:tcW w:w="1340" w:type="dxa"/>
            <w:tcBorders>
              <w:top w:val="nil"/>
              <w:left w:val="nil"/>
              <w:bottom w:val="nil"/>
              <w:right w:val="nil"/>
            </w:tcBorders>
            <w:vAlign w:val="center"/>
            <w:hideMark/>
          </w:tcPr>
          <w:p w14:paraId="34D8D311"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6 (0.25)</w:t>
            </w:r>
          </w:p>
        </w:tc>
        <w:tc>
          <w:tcPr>
            <w:tcW w:w="221" w:type="dxa"/>
            <w:tcBorders>
              <w:top w:val="nil"/>
              <w:left w:val="nil"/>
              <w:bottom w:val="nil"/>
              <w:right w:val="nil"/>
            </w:tcBorders>
            <w:vAlign w:val="center"/>
            <w:hideMark/>
          </w:tcPr>
          <w:p w14:paraId="7D2614BB"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38F636CE"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9.82</w:t>
            </w:r>
          </w:p>
        </w:tc>
        <w:tc>
          <w:tcPr>
            <w:tcW w:w="399" w:type="dxa"/>
            <w:tcBorders>
              <w:top w:val="nil"/>
              <w:left w:val="nil"/>
              <w:bottom w:val="nil"/>
              <w:right w:val="nil"/>
            </w:tcBorders>
            <w:noWrap/>
            <w:vAlign w:val="center"/>
            <w:hideMark/>
          </w:tcPr>
          <w:p w14:paraId="58A153D4"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5.33</w:t>
            </w:r>
          </w:p>
        </w:tc>
        <w:tc>
          <w:tcPr>
            <w:tcW w:w="504" w:type="dxa"/>
            <w:tcBorders>
              <w:top w:val="nil"/>
              <w:left w:val="nil"/>
              <w:bottom w:val="nil"/>
              <w:right w:val="nil"/>
            </w:tcBorders>
            <w:noWrap/>
            <w:vAlign w:val="center"/>
            <w:hideMark/>
          </w:tcPr>
          <w:p w14:paraId="4019C16F"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15.75</w:t>
            </w:r>
          </w:p>
        </w:tc>
        <w:tc>
          <w:tcPr>
            <w:tcW w:w="638" w:type="dxa"/>
            <w:tcBorders>
              <w:top w:val="nil"/>
              <w:left w:val="nil"/>
              <w:bottom w:val="nil"/>
              <w:right w:val="nil"/>
            </w:tcBorders>
            <w:noWrap/>
            <w:vAlign w:val="center"/>
            <w:hideMark/>
          </w:tcPr>
          <w:p w14:paraId="371E9BD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23</w:t>
            </w:r>
          </w:p>
        </w:tc>
        <w:tc>
          <w:tcPr>
            <w:tcW w:w="220" w:type="dxa"/>
            <w:tcBorders>
              <w:top w:val="nil"/>
              <w:left w:val="nil"/>
              <w:bottom w:val="nil"/>
              <w:right w:val="nil"/>
            </w:tcBorders>
            <w:noWrap/>
            <w:vAlign w:val="center"/>
            <w:hideMark/>
          </w:tcPr>
          <w:p w14:paraId="2C4E2D47"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4E2BB4EA"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7DC850B7"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11.09</w:t>
            </w:r>
          </w:p>
        </w:tc>
        <w:tc>
          <w:tcPr>
            <w:tcW w:w="431" w:type="dxa"/>
            <w:tcBorders>
              <w:top w:val="nil"/>
              <w:left w:val="nil"/>
              <w:bottom w:val="nil"/>
              <w:right w:val="nil"/>
            </w:tcBorders>
            <w:noWrap/>
            <w:vAlign w:val="center"/>
            <w:hideMark/>
          </w:tcPr>
          <w:p w14:paraId="08CD894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7.76</w:t>
            </w:r>
          </w:p>
        </w:tc>
        <w:tc>
          <w:tcPr>
            <w:tcW w:w="544" w:type="dxa"/>
            <w:tcBorders>
              <w:top w:val="nil"/>
              <w:left w:val="nil"/>
              <w:bottom w:val="nil"/>
              <w:right w:val="nil"/>
            </w:tcBorders>
            <w:noWrap/>
            <w:vAlign w:val="center"/>
            <w:hideMark/>
          </w:tcPr>
          <w:p w14:paraId="50180198"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16.89</w:t>
            </w:r>
          </w:p>
        </w:tc>
        <w:tc>
          <w:tcPr>
            <w:tcW w:w="690" w:type="dxa"/>
            <w:tcBorders>
              <w:top w:val="nil"/>
              <w:left w:val="nil"/>
              <w:bottom w:val="nil"/>
              <w:right w:val="nil"/>
            </w:tcBorders>
            <w:noWrap/>
            <w:vAlign w:val="center"/>
            <w:hideMark/>
          </w:tcPr>
          <w:p w14:paraId="440202C7"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23</w:t>
            </w:r>
          </w:p>
        </w:tc>
      </w:tr>
      <w:tr w:rsidR="00603C0A" w:rsidRPr="00603C0A" w14:paraId="0BB79114" w14:textId="77777777" w:rsidTr="00603C0A">
        <w:trPr>
          <w:trHeight w:val="288"/>
        </w:trPr>
        <w:tc>
          <w:tcPr>
            <w:tcW w:w="1340" w:type="dxa"/>
            <w:tcBorders>
              <w:top w:val="nil"/>
              <w:left w:val="nil"/>
              <w:bottom w:val="nil"/>
              <w:right w:val="nil"/>
            </w:tcBorders>
            <w:vAlign w:val="center"/>
            <w:hideMark/>
          </w:tcPr>
          <w:p w14:paraId="2F7B28C4"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12 (0.5)</w:t>
            </w:r>
          </w:p>
        </w:tc>
        <w:tc>
          <w:tcPr>
            <w:tcW w:w="221" w:type="dxa"/>
            <w:tcBorders>
              <w:top w:val="nil"/>
              <w:left w:val="nil"/>
              <w:bottom w:val="nil"/>
              <w:right w:val="nil"/>
            </w:tcBorders>
            <w:vAlign w:val="center"/>
            <w:hideMark/>
          </w:tcPr>
          <w:p w14:paraId="22D7A6AB"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4621C231"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11.6</w:t>
            </w:r>
          </w:p>
        </w:tc>
        <w:tc>
          <w:tcPr>
            <w:tcW w:w="399" w:type="dxa"/>
            <w:tcBorders>
              <w:top w:val="nil"/>
              <w:left w:val="nil"/>
              <w:bottom w:val="nil"/>
              <w:right w:val="nil"/>
            </w:tcBorders>
            <w:noWrap/>
            <w:vAlign w:val="center"/>
            <w:hideMark/>
          </w:tcPr>
          <w:p w14:paraId="1823A40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5.39</w:t>
            </w:r>
          </w:p>
        </w:tc>
        <w:tc>
          <w:tcPr>
            <w:tcW w:w="504" w:type="dxa"/>
            <w:tcBorders>
              <w:top w:val="nil"/>
              <w:left w:val="nil"/>
              <w:bottom w:val="nil"/>
              <w:right w:val="nil"/>
            </w:tcBorders>
            <w:noWrap/>
            <w:vAlign w:val="center"/>
            <w:hideMark/>
          </w:tcPr>
          <w:p w14:paraId="2A575171"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15.24</w:t>
            </w:r>
          </w:p>
        </w:tc>
        <w:tc>
          <w:tcPr>
            <w:tcW w:w="638" w:type="dxa"/>
            <w:tcBorders>
              <w:top w:val="nil"/>
              <w:left w:val="nil"/>
              <w:bottom w:val="nil"/>
              <w:right w:val="nil"/>
            </w:tcBorders>
            <w:noWrap/>
            <w:vAlign w:val="center"/>
            <w:hideMark/>
          </w:tcPr>
          <w:p w14:paraId="72DC33CA"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24</w:t>
            </w:r>
          </w:p>
        </w:tc>
        <w:tc>
          <w:tcPr>
            <w:tcW w:w="220" w:type="dxa"/>
            <w:tcBorders>
              <w:top w:val="nil"/>
              <w:left w:val="nil"/>
              <w:bottom w:val="nil"/>
              <w:right w:val="nil"/>
            </w:tcBorders>
            <w:noWrap/>
            <w:vAlign w:val="center"/>
            <w:hideMark/>
          </w:tcPr>
          <w:p w14:paraId="04BBC120"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31EC9C1A"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5D2D631E"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11.02</w:t>
            </w:r>
          </w:p>
        </w:tc>
        <w:tc>
          <w:tcPr>
            <w:tcW w:w="431" w:type="dxa"/>
            <w:tcBorders>
              <w:top w:val="nil"/>
              <w:left w:val="nil"/>
              <w:bottom w:val="nil"/>
              <w:right w:val="nil"/>
            </w:tcBorders>
            <w:noWrap/>
            <w:vAlign w:val="center"/>
            <w:hideMark/>
          </w:tcPr>
          <w:p w14:paraId="31404F4A" w14:textId="58803F28"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7.4</w:t>
            </w:r>
            <w:r w:rsidR="003C2CB7">
              <w:rPr>
                <w:rFonts w:cs="Arial"/>
                <w:color w:val="000000"/>
                <w:sz w:val="17"/>
                <w:szCs w:val="17"/>
                <w:lang w:eastAsia="en-AU"/>
              </w:rPr>
              <w:t>0</w:t>
            </w:r>
          </w:p>
        </w:tc>
        <w:tc>
          <w:tcPr>
            <w:tcW w:w="544" w:type="dxa"/>
            <w:tcBorders>
              <w:top w:val="nil"/>
              <w:left w:val="nil"/>
              <w:bottom w:val="nil"/>
              <w:right w:val="nil"/>
            </w:tcBorders>
            <w:noWrap/>
            <w:vAlign w:val="center"/>
            <w:hideMark/>
          </w:tcPr>
          <w:p w14:paraId="0B2E981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15.05</w:t>
            </w:r>
          </w:p>
        </w:tc>
        <w:tc>
          <w:tcPr>
            <w:tcW w:w="690" w:type="dxa"/>
            <w:tcBorders>
              <w:top w:val="nil"/>
              <w:left w:val="nil"/>
              <w:bottom w:val="nil"/>
              <w:right w:val="nil"/>
            </w:tcBorders>
            <w:noWrap/>
            <w:vAlign w:val="center"/>
            <w:hideMark/>
          </w:tcPr>
          <w:p w14:paraId="158E35E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24</w:t>
            </w:r>
          </w:p>
        </w:tc>
      </w:tr>
      <w:tr w:rsidR="00603C0A" w:rsidRPr="00603C0A" w14:paraId="3FE0D1B7" w14:textId="77777777" w:rsidTr="00603C0A">
        <w:trPr>
          <w:trHeight w:val="288"/>
        </w:trPr>
        <w:tc>
          <w:tcPr>
            <w:tcW w:w="1340" w:type="dxa"/>
            <w:tcBorders>
              <w:top w:val="nil"/>
              <w:left w:val="nil"/>
              <w:bottom w:val="nil"/>
              <w:right w:val="nil"/>
            </w:tcBorders>
            <w:vAlign w:val="center"/>
            <w:hideMark/>
          </w:tcPr>
          <w:p w14:paraId="1C4566CA"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24 (1)</w:t>
            </w:r>
          </w:p>
        </w:tc>
        <w:tc>
          <w:tcPr>
            <w:tcW w:w="221" w:type="dxa"/>
            <w:tcBorders>
              <w:top w:val="nil"/>
              <w:left w:val="nil"/>
              <w:bottom w:val="nil"/>
              <w:right w:val="nil"/>
            </w:tcBorders>
            <w:vAlign w:val="center"/>
            <w:hideMark/>
          </w:tcPr>
          <w:p w14:paraId="2D85018A"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6298E0C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7.07</w:t>
            </w:r>
          </w:p>
        </w:tc>
        <w:tc>
          <w:tcPr>
            <w:tcW w:w="399" w:type="dxa"/>
            <w:tcBorders>
              <w:top w:val="nil"/>
              <w:left w:val="nil"/>
              <w:bottom w:val="nil"/>
              <w:right w:val="nil"/>
            </w:tcBorders>
            <w:noWrap/>
            <w:vAlign w:val="center"/>
            <w:hideMark/>
          </w:tcPr>
          <w:p w14:paraId="1DF3FD6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3.73</w:t>
            </w:r>
          </w:p>
        </w:tc>
        <w:tc>
          <w:tcPr>
            <w:tcW w:w="504" w:type="dxa"/>
            <w:tcBorders>
              <w:top w:val="nil"/>
              <w:left w:val="nil"/>
              <w:bottom w:val="nil"/>
              <w:right w:val="nil"/>
            </w:tcBorders>
            <w:noWrap/>
            <w:vAlign w:val="center"/>
            <w:hideMark/>
          </w:tcPr>
          <w:p w14:paraId="344BFF8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10.61</w:t>
            </w:r>
          </w:p>
        </w:tc>
        <w:tc>
          <w:tcPr>
            <w:tcW w:w="638" w:type="dxa"/>
            <w:tcBorders>
              <w:top w:val="nil"/>
              <w:left w:val="nil"/>
              <w:bottom w:val="nil"/>
              <w:right w:val="nil"/>
            </w:tcBorders>
            <w:noWrap/>
            <w:vAlign w:val="center"/>
            <w:hideMark/>
          </w:tcPr>
          <w:p w14:paraId="6295B11B"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41</w:t>
            </w:r>
          </w:p>
        </w:tc>
        <w:tc>
          <w:tcPr>
            <w:tcW w:w="220" w:type="dxa"/>
            <w:tcBorders>
              <w:top w:val="nil"/>
              <w:left w:val="nil"/>
              <w:bottom w:val="nil"/>
              <w:right w:val="nil"/>
            </w:tcBorders>
            <w:noWrap/>
            <w:vAlign w:val="center"/>
            <w:hideMark/>
          </w:tcPr>
          <w:p w14:paraId="23B85052"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70EE28C3"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7B9EABE9"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7.7</w:t>
            </w:r>
          </w:p>
        </w:tc>
        <w:tc>
          <w:tcPr>
            <w:tcW w:w="431" w:type="dxa"/>
            <w:tcBorders>
              <w:top w:val="nil"/>
              <w:left w:val="nil"/>
              <w:bottom w:val="nil"/>
              <w:right w:val="nil"/>
            </w:tcBorders>
            <w:noWrap/>
            <w:vAlign w:val="center"/>
            <w:hideMark/>
          </w:tcPr>
          <w:p w14:paraId="1135F937" w14:textId="4B03CCE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2.9</w:t>
            </w:r>
            <w:r w:rsidR="003C2CB7">
              <w:rPr>
                <w:rFonts w:cs="Arial"/>
                <w:color w:val="000000"/>
                <w:sz w:val="17"/>
                <w:szCs w:val="17"/>
                <w:lang w:eastAsia="en-AU"/>
              </w:rPr>
              <w:t>0</w:t>
            </w:r>
          </w:p>
        </w:tc>
        <w:tc>
          <w:tcPr>
            <w:tcW w:w="544" w:type="dxa"/>
            <w:tcBorders>
              <w:top w:val="nil"/>
              <w:left w:val="nil"/>
              <w:bottom w:val="nil"/>
              <w:right w:val="nil"/>
            </w:tcBorders>
            <w:noWrap/>
            <w:vAlign w:val="center"/>
            <w:hideMark/>
          </w:tcPr>
          <w:p w14:paraId="5EA6784A"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13.95</w:t>
            </w:r>
          </w:p>
        </w:tc>
        <w:tc>
          <w:tcPr>
            <w:tcW w:w="690" w:type="dxa"/>
            <w:tcBorders>
              <w:top w:val="nil"/>
              <w:left w:val="nil"/>
              <w:bottom w:val="nil"/>
              <w:right w:val="nil"/>
            </w:tcBorders>
            <w:noWrap/>
            <w:vAlign w:val="center"/>
            <w:hideMark/>
          </w:tcPr>
          <w:p w14:paraId="3361896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41</w:t>
            </w:r>
          </w:p>
        </w:tc>
      </w:tr>
      <w:tr w:rsidR="00603C0A" w:rsidRPr="00603C0A" w14:paraId="0FCEA97E" w14:textId="77777777" w:rsidTr="00603C0A">
        <w:trPr>
          <w:trHeight w:val="288"/>
        </w:trPr>
        <w:tc>
          <w:tcPr>
            <w:tcW w:w="1340" w:type="dxa"/>
            <w:tcBorders>
              <w:top w:val="nil"/>
              <w:left w:val="nil"/>
              <w:bottom w:val="nil"/>
              <w:right w:val="nil"/>
            </w:tcBorders>
            <w:vAlign w:val="center"/>
            <w:hideMark/>
          </w:tcPr>
          <w:p w14:paraId="2EDA3425"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48 (2)</w:t>
            </w:r>
          </w:p>
        </w:tc>
        <w:tc>
          <w:tcPr>
            <w:tcW w:w="221" w:type="dxa"/>
            <w:tcBorders>
              <w:top w:val="nil"/>
              <w:left w:val="nil"/>
              <w:bottom w:val="nil"/>
              <w:right w:val="nil"/>
            </w:tcBorders>
            <w:vAlign w:val="center"/>
            <w:hideMark/>
          </w:tcPr>
          <w:p w14:paraId="040F410B"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583EEF0E" w14:textId="6BD89EEB"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2.5</w:t>
            </w:r>
            <w:r w:rsidR="003C2CB7">
              <w:rPr>
                <w:rFonts w:cs="Arial"/>
                <w:color w:val="000000"/>
                <w:sz w:val="17"/>
                <w:szCs w:val="17"/>
                <w:lang w:eastAsia="en-AU"/>
              </w:rPr>
              <w:t>0</w:t>
            </w:r>
          </w:p>
        </w:tc>
        <w:tc>
          <w:tcPr>
            <w:tcW w:w="399" w:type="dxa"/>
            <w:tcBorders>
              <w:top w:val="nil"/>
              <w:left w:val="nil"/>
              <w:bottom w:val="nil"/>
              <w:right w:val="nil"/>
            </w:tcBorders>
            <w:noWrap/>
            <w:vAlign w:val="center"/>
            <w:hideMark/>
          </w:tcPr>
          <w:p w14:paraId="0165BE7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0.66</w:t>
            </w:r>
          </w:p>
        </w:tc>
        <w:tc>
          <w:tcPr>
            <w:tcW w:w="504" w:type="dxa"/>
            <w:tcBorders>
              <w:top w:val="nil"/>
              <w:left w:val="nil"/>
              <w:bottom w:val="nil"/>
              <w:right w:val="nil"/>
            </w:tcBorders>
            <w:noWrap/>
            <w:vAlign w:val="center"/>
            <w:hideMark/>
          </w:tcPr>
          <w:p w14:paraId="374773B4"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3.64</w:t>
            </w:r>
          </w:p>
        </w:tc>
        <w:tc>
          <w:tcPr>
            <w:tcW w:w="638" w:type="dxa"/>
            <w:tcBorders>
              <w:top w:val="nil"/>
              <w:left w:val="nil"/>
              <w:bottom w:val="nil"/>
              <w:right w:val="nil"/>
            </w:tcBorders>
            <w:noWrap/>
            <w:vAlign w:val="center"/>
            <w:hideMark/>
          </w:tcPr>
          <w:p w14:paraId="4B2E8FE4"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46</w:t>
            </w:r>
          </w:p>
        </w:tc>
        <w:tc>
          <w:tcPr>
            <w:tcW w:w="220" w:type="dxa"/>
            <w:tcBorders>
              <w:top w:val="nil"/>
              <w:left w:val="nil"/>
              <w:bottom w:val="nil"/>
              <w:right w:val="nil"/>
            </w:tcBorders>
            <w:noWrap/>
            <w:vAlign w:val="center"/>
            <w:hideMark/>
          </w:tcPr>
          <w:p w14:paraId="5452F86A"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0E10EB81"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3A27640B"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2.54</w:t>
            </w:r>
          </w:p>
        </w:tc>
        <w:tc>
          <w:tcPr>
            <w:tcW w:w="431" w:type="dxa"/>
            <w:tcBorders>
              <w:top w:val="nil"/>
              <w:left w:val="nil"/>
              <w:bottom w:val="nil"/>
              <w:right w:val="nil"/>
            </w:tcBorders>
            <w:noWrap/>
            <w:vAlign w:val="center"/>
            <w:hideMark/>
          </w:tcPr>
          <w:p w14:paraId="1435CBF8"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1.35</w:t>
            </w:r>
          </w:p>
        </w:tc>
        <w:tc>
          <w:tcPr>
            <w:tcW w:w="544" w:type="dxa"/>
            <w:tcBorders>
              <w:top w:val="nil"/>
              <w:left w:val="nil"/>
              <w:bottom w:val="nil"/>
              <w:right w:val="nil"/>
            </w:tcBorders>
            <w:noWrap/>
            <w:vAlign w:val="center"/>
            <w:hideMark/>
          </w:tcPr>
          <w:p w14:paraId="6EDEB7FE"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5.4</w:t>
            </w:r>
          </w:p>
        </w:tc>
        <w:tc>
          <w:tcPr>
            <w:tcW w:w="690" w:type="dxa"/>
            <w:tcBorders>
              <w:top w:val="nil"/>
              <w:left w:val="nil"/>
              <w:bottom w:val="nil"/>
              <w:right w:val="nil"/>
            </w:tcBorders>
            <w:noWrap/>
            <w:vAlign w:val="center"/>
            <w:hideMark/>
          </w:tcPr>
          <w:p w14:paraId="71456F6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46</w:t>
            </w:r>
          </w:p>
        </w:tc>
      </w:tr>
      <w:tr w:rsidR="00603C0A" w:rsidRPr="00603C0A" w14:paraId="1FC88812" w14:textId="77777777" w:rsidTr="00603C0A">
        <w:trPr>
          <w:trHeight w:val="288"/>
        </w:trPr>
        <w:tc>
          <w:tcPr>
            <w:tcW w:w="1340" w:type="dxa"/>
            <w:tcBorders>
              <w:top w:val="nil"/>
              <w:left w:val="nil"/>
              <w:bottom w:val="nil"/>
              <w:right w:val="nil"/>
            </w:tcBorders>
            <w:vAlign w:val="center"/>
            <w:hideMark/>
          </w:tcPr>
          <w:p w14:paraId="064904BE"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72 (3)</w:t>
            </w:r>
          </w:p>
        </w:tc>
        <w:tc>
          <w:tcPr>
            <w:tcW w:w="221" w:type="dxa"/>
            <w:tcBorders>
              <w:top w:val="nil"/>
              <w:left w:val="nil"/>
              <w:bottom w:val="nil"/>
              <w:right w:val="nil"/>
            </w:tcBorders>
            <w:vAlign w:val="center"/>
            <w:hideMark/>
          </w:tcPr>
          <w:p w14:paraId="3A47A8D1"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6A2431D0" w14:textId="705597E0"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w:t>
            </w:r>
            <w:r w:rsidR="003C2CB7">
              <w:rPr>
                <w:rFonts w:cs="Arial"/>
                <w:color w:val="000000"/>
                <w:sz w:val="17"/>
                <w:szCs w:val="17"/>
                <w:lang w:eastAsia="en-AU"/>
              </w:rPr>
              <w:t>.00</w:t>
            </w:r>
          </w:p>
        </w:tc>
        <w:tc>
          <w:tcPr>
            <w:tcW w:w="399" w:type="dxa"/>
            <w:tcBorders>
              <w:top w:val="nil"/>
              <w:left w:val="nil"/>
              <w:bottom w:val="nil"/>
              <w:right w:val="nil"/>
            </w:tcBorders>
            <w:noWrap/>
            <w:vAlign w:val="center"/>
            <w:hideMark/>
          </w:tcPr>
          <w:p w14:paraId="0997FB3E"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0.66</w:t>
            </w:r>
          </w:p>
        </w:tc>
        <w:tc>
          <w:tcPr>
            <w:tcW w:w="504" w:type="dxa"/>
            <w:tcBorders>
              <w:top w:val="nil"/>
              <w:left w:val="nil"/>
              <w:bottom w:val="nil"/>
              <w:right w:val="nil"/>
            </w:tcBorders>
            <w:noWrap/>
            <w:vAlign w:val="center"/>
            <w:hideMark/>
          </w:tcPr>
          <w:p w14:paraId="268E249C"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1.85</w:t>
            </w:r>
          </w:p>
        </w:tc>
        <w:tc>
          <w:tcPr>
            <w:tcW w:w="638" w:type="dxa"/>
            <w:tcBorders>
              <w:top w:val="nil"/>
              <w:left w:val="nil"/>
              <w:bottom w:val="nil"/>
              <w:right w:val="nil"/>
            </w:tcBorders>
            <w:noWrap/>
            <w:vAlign w:val="center"/>
            <w:hideMark/>
          </w:tcPr>
          <w:p w14:paraId="361F3928"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32</w:t>
            </w:r>
          </w:p>
        </w:tc>
        <w:tc>
          <w:tcPr>
            <w:tcW w:w="220" w:type="dxa"/>
            <w:tcBorders>
              <w:top w:val="nil"/>
              <w:left w:val="nil"/>
              <w:bottom w:val="nil"/>
              <w:right w:val="nil"/>
            </w:tcBorders>
            <w:noWrap/>
            <w:vAlign w:val="center"/>
            <w:hideMark/>
          </w:tcPr>
          <w:p w14:paraId="66E08E1E"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4FB905E4"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0823D260"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1.21</w:t>
            </w:r>
          </w:p>
        </w:tc>
        <w:tc>
          <w:tcPr>
            <w:tcW w:w="431" w:type="dxa"/>
            <w:tcBorders>
              <w:top w:val="nil"/>
              <w:left w:val="nil"/>
              <w:bottom w:val="nil"/>
              <w:right w:val="nil"/>
            </w:tcBorders>
            <w:noWrap/>
            <w:vAlign w:val="center"/>
            <w:hideMark/>
          </w:tcPr>
          <w:p w14:paraId="614A587B"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0.65</w:t>
            </w:r>
          </w:p>
        </w:tc>
        <w:tc>
          <w:tcPr>
            <w:tcW w:w="544" w:type="dxa"/>
            <w:tcBorders>
              <w:top w:val="nil"/>
              <w:left w:val="nil"/>
              <w:bottom w:val="nil"/>
              <w:right w:val="nil"/>
            </w:tcBorders>
            <w:noWrap/>
            <w:vAlign w:val="center"/>
            <w:hideMark/>
          </w:tcPr>
          <w:p w14:paraId="7C315BF1"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2.03</w:t>
            </w:r>
          </w:p>
        </w:tc>
        <w:tc>
          <w:tcPr>
            <w:tcW w:w="690" w:type="dxa"/>
            <w:tcBorders>
              <w:top w:val="nil"/>
              <w:left w:val="nil"/>
              <w:bottom w:val="nil"/>
              <w:right w:val="nil"/>
            </w:tcBorders>
            <w:noWrap/>
            <w:vAlign w:val="center"/>
            <w:hideMark/>
          </w:tcPr>
          <w:p w14:paraId="0CA1370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32</w:t>
            </w:r>
          </w:p>
        </w:tc>
      </w:tr>
      <w:tr w:rsidR="00603C0A" w:rsidRPr="00603C0A" w14:paraId="79FED9E5" w14:textId="77777777" w:rsidTr="00603C0A">
        <w:trPr>
          <w:trHeight w:val="288"/>
        </w:trPr>
        <w:tc>
          <w:tcPr>
            <w:tcW w:w="1340" w:type="dxa"/>
            <w:tcBorders>
              <w:top w:val="nil"/>
              <w:left w:val="nil"/>
              <w:bottom w:val="nil"/>
              <w:right w:val="nil"/>
            </w:tcBorders>
            <w:vAlign w:val="center"/>
            <w:hideMark/>
          </w:tcPr>
          <w:p w14:paraId="6B18D86D"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120 (5)</w:t>
            </w:r>
          </w:p>
        </w:tc>
        <w:tc>
          <w:tcPr>
            <w:tcW w:w="221" w:type="dxa"/>
            <w:tcBorders>
              <w:top w:val="nil"/>
              <w:left w:val="nil"/>
              <w:bottom w:val="nil"/>
              <w:right w:val="nil"/>
            </w:tcBorders>
            <w:vAlign w:val="center"/>
            <w:hideMark/>
          </w:tcPr>
          <w:p w14:paraId="3333CF26"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659EC0E4"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0.43</w:t>
            </w:r>
          </w:p>
        </w:tc>
        <w:tc>
          <w:tcPr>
            <w:tcW w:w="399" w:type="dxa"/>
            <w:tcBorders>
              <w:top w:val="nil"/>
              <w:left w:val="nil"/>
              <w:bottom w:val="nil"/>
              <w:right w:val="nil"/>
            </w:tcBorders>
            <w:noWrap/>
            <w:vAlign w:val="center"/>
            <w:hideMark/>
          </w:tcPr>
          <w:p w14:paraId="165ACDB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0.17</w:t>
            </w:r>
          </w:p>
        </w:tc>
        <w:tc>
          <w:tcPr>
            <w:tcW w:w="504" w:type="dxa"/>
            <w:tcBorders>
              <w:top w:val="nil"/>
              <w:left w:val="nil"/>
              <w:bottom w:val="nil"/>
              <w:right w:val="nil"/>
            </w:tcBorders>
            <w:noWrap/>
            <w:vAlign w:val="center"/>
            <w:hideMark/>
          </w:tcPr>
          <w:p w14:paraId="34937625"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0.64</w:t>
            </w:r>
          </w:p>
        </w:tc>
        <w:tc>
          <w:tcPr>
            <w:tcW w:w="638" w:type="dxa"/>
            <w:tcBorders>
              <w:top w:val="nil"/>
              <w:left w:val="nil"/>
              <w:bottom w:val="nil"/>
              <w:right w:val="nil"/>
            </w:tcBorders>
            <w:noWrap/>
            <w:vAlign w:val="center"/>
            <w:hideMark/>
          </w:tcPr>
          <w:p w14:paraId="182842E9"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57</w:t>
            </w:r>
          </w:p>
        </w:tc>
        <w:tc>
          <w:tcPr>
            <w:tcW w:w="220" w:type="dxa"/>
            <w:tcBorders>
              <w:top w:val="nil"/>
              <w:left w:val="nil"/>
              <w:bottom w:val="nil"/>
              <w:right w:val="nil"/>
            </w:tcBorders>
            <w:noWrap/>
            <w:vAlign w:val="center"/>
            <w:hideMark/>
          </w:tcPr>
          <w:p w14:paraId="5B9B9379"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7A7576F3"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07613AFF"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0.49</w:t>
            </w:r>
          </w:p>
        </w:tc>
        <w:tc>
          <w:tcPr>
            <w:tcW w:w="431" w:type="dxa"/>
            <w:tcBorders>
              <w:top w:val="nil"/>
              <w:left w:val="nil"/>
              <w:bottom w:val="nil"/>
              <w:right w:val="nil"/>
            </w:tcBorders>
            <w:noWrap/>
            <w:vAlign w:val="center"/>
            <w:hideMark/>
          </w:tcPr>
          <w:p w14:paraId="3820FFB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0.16</w:t>
            </w:r>
          </w:p>
        </w:tc>
        <w:tc>
          <w:tcPr>
            <w:tcW w:w="544" w:type="dxa"/>
            <w:tcBorders>
              <w:top w:val="nil"/>
              <w:left w:val="nil"/>
              <w:bottom w:val="nil"/>
              <w:right w:val="nil"/>
            </w:tcBorders>
            <w:noWrap/>
            <w:vAlign w:val="center"/>
            <w:hideMark/>
          </w:tcPr>
          <w:p w14:paraId="64FEAFFF"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1.32</w:t>
            </w:r>
          </w:p>
        </w:tc>
        <w:tc>
          <w:tcPr>
            <w:tcW w:w="690" w:type="dxa"/>
            <w:tcBorders>
              <w:top w:val="nil"/>
              <w:left w:val="nil"/>
              <w:bottom w:val="nil"/>
              <w:right w:val="nil"/>
            </w:tcBorders>
            <w:noWrap/>
            <w:vAlign w:val="center"/>
            <w:hideMark/>
          </w:tcPr>
          <w:p w14:paraId="19B2C36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57</w:t>
            </w:r>
          </w:p>
        </w:tc>
      </w:tr>
      <w:tr w:rsidR="00603C0A" w:rsidRPr="00603C0A" w14:paraId="6537AA4A" w14:textId="77777777" w:rsidTr="00603C0A">
        <w:trPr>
          <w:trHeight w:val="288"/>
        </w:trPr>
        <w:tc>
          <w:tcPr>
            <w:tcW w:w="1340" w:type="dxa"/>
            <w:tcBorders>
              <w:top w:val="nil"/>
              <w:left w:val="nil"/>
              <w:bottom w:val="nil"/>
              <w:right w:val="nil"/>
            </w:tcBorders>
            <w:vAlign w:val="center"/>
            <w:hideMark/>
          </w:tcPr>
          <w:p w14:paraId="40FA2F16"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240 (10)</w:t>
            </w:r>
          </w:p>
        </w:tc>
        <w:tc>
          <w:tcPr>
            <w:tcW w:w="221" w:type="dxa"/>
            <w:tcBorders>
              <w:top w:val="nil"/>
              <w:left w:val="nil"/>
              <w:bottom w:val="nil"/>
              <w:right w:val="nil"/>
            </w:tcBorders>
            <w:vAlign w:val="center"/>
            <w:hideMark/>
          </w:tcPr>
          <w:p w14:paraId="58ED336F"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1EDB1E5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0.25</w:t>
            </w:r>
          </w:p>
        </w:tc>
        <w:tc>
          <w:tcPr>
            <w:tcW w:w="399" w:type="dxa"/>
            <w:tcBorders>
              <w:top w:val="nil"/>
              <w:left w:val="nil"/>
              <w:bottom w:val="nil"/>
              <w:right w:val="nil"/>
            </w:tcBorders>
            <w:noWrap/>
            <w:vAlign w:val="center"/>
            <w:hideMark/>
          </w:tcPr>
          <w:p w14:paraId="5728A4FC" w14:textId="77777777" w:rsidR="00603C0A" w:rsidRPr="00603C0A" w:rsidRDefault="00603C0A" w:rsidP="003C2CB7">
            <w:pPr>
              <w:tabs>
                <w:tab w:val="decimal" w:pos="247"/>
              </w:tabs>
              <w:spacing w:line="210" w:lineRule="exact"/>
              <w:jc w:val="center"/>
              <w:rPr>
                <w:rFonts w:cs="Arial"/>
                <w:color w:val="000000"/>
                <w:sz w:val="17"/>
                <w:szCs w:val="17"/>
                <w:lang w:eastAsia="en-AU"/>
              </w:rPr>
            </w:pPr>
            <w:r w:rsidRPr="00603C0A">
              <w:rPr>
                <w:rFonts w:cs="Arial"/>
                <w:color w:val="000000"/>
                <w:sz w:val="17"/>
                <w:szCs w:val="17"/>
                <w:lang w:eastAsia="en-AU"/>
              </w:rPr>
              <w:t>ND</w:t>
            </w:r>
          </w:p>
        </w:tc>
        <w:tc>
          <w:tcPr>
            <w:tcW w:w="504" w:type="dxa"/>
            <w:tcBorders>
              <w:top w:val="nil"/>
              <w:left w:val="nil"/>
              <w:bottom w:val="nil"/>
              <w:right w:val="nil"/>
            </w:tcBorders>
            <w:noWrap/>
            <w:vAlign w:val="center"/>
            <w:hideMark/>
          </w:tcPr>
          <w:p w14:paraId="4D4E3129"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1.42</w:t>
            </w:r>
          </w:p>
        </w:tc>
        <w:tc>
          <w:tcPr>
            <w:tcW w:w="638" w:type="dxa"/>
            <w:tcBorders>
              <w:top w:val="nil"/>
              <w:left w:val="nil"/>
              <w:bottom w:val="nil"/>
              <w:right w:val="nil"/>
            </w:tcBorders>
            <w:noWrap/>
            <w:vAlign w:val="center"/>
            <w:hideMark/>
          </w:tcPr>
          <w:p w14:paraId="4BC0D506"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33</w:t>
            </w:r>
          </w:p>
        </w:tc>
        <w:tc>
          <w:tcPr>
            <w:tcW w:w="220" w:type="dxa"/>
            <w:tcBorders>
              <w:top w:val="nil"/>
              <w:left w:val="nil"/>
              <w:bottom w:val="nil"/>
              <w:right w:val="nil"/>
            </w:tcBorders>
            <w:noWrap/>
            <w:vAlign w:val="center"/>
            <w:hideMark/>
          </w:tcPr>
          <w:p w14:paraId="3FB92CEF"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3DFD99ED"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4506EF6A"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0.26</w:t>
            </w:r>
          </w:p>
        </w:tc>
        <w:tc>
          <w:tcPr>
            <w:tcW w:w="431" w:type="dxa"/>
            <w:tcBorders>
              <w:top w:val="nil"/>
              <w:left w:val="nil"/>
              <w:bottom w:val="nil"/>
              <w:right w:val="nil"/>
            </w:tcBorders>
            <w:noWrap/>
            <w:vAlign w:val="center"/>
            <w:hideMark/>
          </w:tcPr>
          <w:p w14:paraId="361B98F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0.15</w:t>
            </w:r>
          </w:p>
        </w:tc>
        <w:tc>
          <w:tcPr>
            <w:tcW w:w="544" w:type="dxa"/>
            <w:tcBorders>
              <w:top w:val="nil"/>
              <w:left w:val="nil"/>
              <w:bottom w:val="nil"/>
              <w:right w:val="nil"/>
            </w:tcBorders>
            <w:noWrap/>
            <w:vAlign w:val="center"/>
            <w:hideMark/>
          </w:tcPr>
          <w:p w14:paraId="5BC70A73"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0.43</w:t>
            </w:r>
          </w:p>
        </w:tc>
        <w:tc>
          <w:tcPr>
            <w:tcW w:w="690" w:type="dxa"/>
            <w:tcBorders>
              <w:top w:val="nil"/>
              <w:left w:val="nil"/>
              <w:bottom w:val="nil"/>
              <w:right w:val="nil"/>
            </w:tcBorders>
            <w:noWrap/>
            <w:vAlign w:val="center"/>
            <w:hideMark/>
          </w:tcPr>
          <w:p w14:paraId="7DE8C0C1"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33</w:t>
            </w:r>
          </w:p>
        </w:tc>
      </w:tr>
      <w:tr w:rsidR="00603C0A" w:rsidRPr="00603C0A" w14:paraId="5249E6BF" w14:textId="77777777" w:rsidTr="00603C0A">
        <w:trPr>
          <w:trHeight w:val="288"/>
        </w:trPr>
        <w:tc>
          <w:tcPr>
            <w:tcW w:w="1340" w:type="dxa"/>
            <w:tcBorders>
              <w:top w:val="nil"/>
              <w:left w:val="nil"/>
              <w:bottom w:val="nil"/>
              <w:right w:val="nil"/>
            </w:tcBorders>
            <w:vAlign w:val="center"/>
            <w:hideMark/>
          </w:tcPr>
          <w:p w14:paraId="238CD497"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360 (15)</w:t>
            </w:r>
          </w:p>
        </w:tc>
        <w:tc>
          <w:tcPr>
            <w:tcW w:w="221" w:type="dxa"/>
            <w:tcBorders>
              <w:top w:val="nil"/>
              <w:left w:val="nil"/>
              <w:bottom w:val="nil"/>
              <w:right w:val="nil"/>
            </w:tcBorders>
            <w:vAlign w:val="center"/>
            <w:hideMark/>
          </w:tcPr>
          <w:p w14:paraId="6CC47A6C"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nil"/>
              <w:right w:val="nil"/>
            </w:tcBorders>
            <w:vAlign w:val="center"/>
            <w:hideMark/>
          </w:tcPr>
          <w:p w14:paraId="48996BB5"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0.16</w:t>
            </w:r>
          </w:p>
        </w:tc>
        <w:tc>
          <w:tcPr>
            <w:tcW w:w="399" w:type="dxa"/>
            <w:tcBorders>
              <w:top w:val="nil"/>
              <w:left w:val="nil"/>
              <w:bottom w:val="nil"/>
              <w:right w:val="nil"/>
            </w:tcBorders>
            <w:noWrap/>
            <w:vAlign w:val="center"/>
            <w:hideMark/>
          </w:tcPr>
          <w:p w14:paraId="40C5DCF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0.05</w:t>
            </w:r>
          </w:p>
        </w:tc>
        <w:tc>
          <w:tcPr>
            <w:tcW w:w="504" w:type="dxa"/>
            <w:tcBorders>
              <w:top w:val="nil"/>
              <w:left w:val="nil"/>
              <w:bottom w:val="nil"/>
              <w:right w:val="nil"/>
            </w:tcBorders>
            <w:noWrap/>
            <w:vAlign w:val="center"/>
            <w:hideMark/>
          </w:tcPr>
          <w:p w14:paraId="01B9C965"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0.31</w:t>
            </w:r>
          </w:p>
        </w:tc>
        <w:tc>
          <w:tcPr>
            <w:tcW w:w="638" w:type="dxa"/>
            <w:tcBorders>
              <w:top w:val="nil"/>
              <w:left w:val="nil"/>
              <w:bottom w:val="nil"/>
              <w:right w:val="nil"/>
            </w:tcBorders>
            <w:noWrap/>
            <w:vAlign w:val="center"/>
            <w:hideMark/>
          </w:tcPr>
          <w:p w14:paraId="4F6FD1E0"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29</w:t>
            </w:r>
          </w:p>
        </w:tc>
        <w:tc>
          <w:tcPr>
            <w:tcW w:w="220" w:type="dxa"/>
            <w:tcBorders>
              <w:top w:val="nil"/>
              <w:left w:val="nil"/>
              <w:bottom w:val="nil"/>
              <w:right w:val="nil"/>
            </w:tcBorders>
            <w:noWrap/>
            <w:vAlign w:val="center"/>
            <w:hideMark/>
          </w:tcPr>
          <w:p w14:paraId="0FD36256" w14:textId="77777777" w:rsidR="00603C0A" w:rsidRPr="00603C0A" w:rsidRDefault="00603C0A" w:rsidP="003C2CB7">
            <w:pPr>
              <w:spacing w:line="210" w:lineRule="exact"/>
              <w:jc w:val="right"/>
              <w:rPr>
                <w:rFonts w:cs="Arial"/>
                <w:color w:val="000000"/>
                <w:sz w:val="17"/>
                <w:szCs w:val="17"/>
                <w:lang w:eastAsia="en-AU"/>
              </w:rPr>
            </w:pPr>
          </w:p>
        </w:tc>
        <w:tc>
          <w:tcPr>
            <w:tcW w:w="160" w:type="dxa"/>
            <w:tcBorders>
              <w:top w:val="nil"/>
              <w:left w:val="nil"/>
              <w:bottom w:val="nil"/>
              <w:right w:val="nil"/>
            </w:tcBorders>
            <w:noWrap/>
            <w:vAlign w:val="center"/>
            <w:hideMark/>
          </w:tcPr>
          <w:p w14:paraId="3B702D32"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nil"/>
              <w:right w:val="nil"/>
            </w:tcBorders>
            <w:noWrap/>
            <w:vAlign w:val="center"/>
            <w:hideMark/>
          </w:tcPr>
          <w:p w14:paraId="5982BA98"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0.16</w:t>
            </w:r>
          </w:p>
        </w:tc>
        <w:tc>
          <w:tcPr>
            <w:tcW w:w="431" w:type="dxa"/>
            <w:tcBorders>
              <w:top w:val="nil"/>
              <w:left w:val="nil"/>
              <w:bottom w:val="nil"/>
              <w:right w:val="nil"/>
            </w:tcBorders>
            <w:noWrap/>
            <w:vAlign w:val="center"/>
            <w:hideMark/>
          </w:tcPr>
          <w:p w14:paraId="073D347C"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0.07</w:t>
            </w:r>
          </w:p>
        </w:tc>
        <w:tc>
          <w:tcPr>
            <w:tcW w:w="544" w:type="dxa"/>
            <w:tcBorders>
              <w:top w:val="nil"/>
              <w:left w:val="nil"/>
              <w:bottom w:val="nil"/>
              <w:right w:val="nil"/>
            </w:tcBorders>
            <w:noWrap/>
            <w:vAlign w:val="center"/>
            <w:hideMark/>
          </w:tcPr>
          <w:p w14:paraId="521335AA"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0.26</w:t>
            </w:r>
          </w:p>
        </w:tc>
        <w:tc>
          <w:tcPr>
            <w:tcW w:w="690" w:type="dxa"/>
            <w:tcBorders>
              <w:top w:val="nil"/>
              <w:left w:val="nil"/>
              <w:bottom w:val="nil"/>
              <w:right w:val="nil"/>
            </w:tcBorders>
            <w:noWrap/>
            <w:vAlign w:val="center"/>
            <w:hideMark/>
          </w:tcPr>
          <w:p w14:paraId="45FE9293"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29</w:t>
            </w:r>
          </w:p>
        </w:tc>
      </w:tr>
      <w:tr w:rsidR="00603C0A" w:rsidRPr="00603C0A" w14:paraId="0CF067E1" w14:textId="77777777" w:rsidTr="00603C0A">
        <w:trPr>
          <w:trHeight w:val="288"/>
        </w:trPr>
        <w:tc>
          <w:tcPr>
            <w:tcW w:w="1340" w:type="dxa"/>
            <w:tcBorders>
              <w:top w:val="nil"/>
              <w:left w:val="nil"/>
              <w:bottom w:val="single" w:sz="4" w:space="0" w:color="auto"/>
              <w:right w:val="nil"/>
            </w:tcBorders>
            <w:vAlign w:val="center"/>
            <w:hideMark/>
          </w:tcPr>
          <w:p w14:paraId="782602F4"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480 (20)</w:t>
            </w:r>
          </w:p>
        </w:tc>
        <w:tc>
          <w:tcPr>
            <w:tcW w:w="221" w:type="dxa"/>
            <w:tcBorders>
              <w:top w:val="nil"/>
              <w:left w:val="nil"/>
              <w:bottom w:val="single" w:sz="4" w:space="0" w:color="auto"/>
              <w:right w:val="nil"/>
            </w:tcBorders>
            <w:vAlign w:val="center"/>
            <w:hideMark/>
          </w:tcPr>
          <w:p w14:paraId="654C351D"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618" w:type="dxa"/>
            <w:tcBorders>
              <w:top w:val="nil"/>
              <w:left w:val="nil"/>
              <w:bottom w:val="single" w:sz="4" w:space="0" w:color="auto"/>
              <w:right w:val="nil"/>
            </w:tcBorders>
            <w:vAlign w:val="center"/>
            <w:hideMark/>
          </w:tcPr>
          <w:p w14:paraId="379E77B9"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0.11</w:t>
            </w:r>
          </w:p>
        </w:tc>
        <w:tc>
          <w:tcPr>
            <w:tcW w:w="399" w:type="dxa"/>
            <w:tcBorders>
              <w:top w:val="nil"/>
              <w:left w:val="nil"/>
              <w:bottom w:val="single" w:sz="4" w:space="0" w:color="auto"/>
              <w:right w:val="nil"/>
            </w:tcBorders>
            <w:noWrap/>
            <w:vAlign w:val="center"/>
            <w:hideMark/>
          </w:tcPr>
          <w:p w14:paraId="5563B40C" w14:textId="77777777" w:rsidR="00603C0A" w:rsidRPr="00603C0A" w:rsidRDefault="00603C0A" w:rsidP="003C2CB7">
            <w:pPr>
              <w:tabs>
                <w:tab w:val="decimal" w:pos="247"/>
              </w:tabs>
              <w:spacing w:line="210" w:lineRule="exact"/>
              <w:jc w:val="center"/>
              <w:rPr>
                <w:rFonts w:cs="Arial"/>
                <w:color w:val="000000"/>
                <w:sz w:val="17"/>
                <w:szCs w:val="17"/>
                <w:lang w:eastAsia="en-AU"/>
              </w:rPr>
            </w:pPr>
            <w:r w:rsidRPr="00603C0A">
              <w:rPr>
                <w:rFonts w:cs="Arial"/>
                <w:color w:val="000000"/>
                <w:sz w:val="17"/>
                <w:szCs w:val="17"/>
                <w:lang w:eastAsia="en-AU"/>
              </w:rPr>
              <w:t>ND</w:t>
            </w:r>
          </w:p>
        </w:tc>
        <w:tc>
          <w:tcPr>
            <w:tcW w:w="504" w:type="dxa"/>
            <w:tcBorders>
              <w:top w:val="nil"/>
              <w:left w:val="nil"/>
              <w:bottom w:val="single" w:sz="4" w:space="0" w:color="auto"/>
              <w:right w:val="nil"/>
            </w:tcBorders>
            <w:noWrap/>
            <w:vAlign w:val="center"/>
            <w:hideMark/>
          </w:tcPr>
          <w:p w14:paraId="6CFF00E8"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0.19</w:t>
            </w:r>
          </w:p>
        </w:tc>
        <w:tc>
          <w:tcPr>
            <w:tcW w:w="638" w:type="dxa"/>
            <w:tcBorders>
              <w:top w:val="nil"/>
              <w:left w:val="nil"/>
              <w:bottom w:val="single" w:sz="4" w:space="0" w:color="auto"/>
              <w:right w:val="nil"/>
            </w:tcBorders>
            <w:noWrap/>
            <w:vAlign w:val="center"/>
            <w:hideMark/>
          </w:tcPr>
          <w:p w14:paraId="0DD2A83D"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25</w:t>
            </w:r>
          </w:p>
        </w:tc>
        <w:tc>
          <w:tcPr>
            <w:tcW w:w="220" w:type="dxa"/>
            <w:tcBorders>
              <w:top w:val="nil"/>
              <w:left w:val="nil"/>
              <w:bottom w:val="single" w:sz="4" w:space="0" w:color="auto"/>
              <w:right w:val="nil"/>
            </w:tcBorders>
            <w:noWrap/>
            <w:vAlign w:val="center"/>
            <w:hideMark/>
          </w:tcPr>
          <w:p w14:paraId="658CEB9F" w14:textId="77777777" w:rsidR="00603C0A" w:rsidRPr="00603C0A" w:rsidRDefault="00603C0A" w:rsidP="003C2CB7">
            <w:pPr>
              <w:spacing w:line="210" w:lineRule="exact"/>
              <w:rPr>
                <w:rFonts w:cs="Arial"/>
                <w:color w:val="000000"/>
                <w:sz w:val="17"/>
                <w:szCs w:val="17"/>
                <w:lang w:eastAsia="en-AU"/>
              </w:rPr>
            </w:pPr>
            <w:r w:rsidRPr="00603C0A">
              <w:rPr>
                <w:rFonts w:cs="Arial"/>
                <w:color w:val="000000"/>
                <w:sz w:val="17"/>
                <w:szCs w:val="17"/>
                <w:lang w:eastAsia="en-AU"/>
              </w:rPr>
              <w:t> </w:t>
            </w:r>
          </w:p>
        </w:tc>
        <w:tc>
          <w:tcPr>
            <w:tcW w:w="160" w:type="dxa"/>
            <w:tcBorders>
              <w:top w:val="nil"/>
              <w:left w:val="nil"/>
              <w:bottom w:val="single" w:sz="4" w:space="0" w:color="auto"/>
              <w:right w:val="nil"/>
            </w:tcBorders>
            <w:noWrap/>
            <w:vAlign w:val="center"/>
            <w:hideMark/>
          </w:tcPr>
          <w:p w14:paraId="6A382D31" w14:textId="77777777" w:rsidR="00603C0A" w:rsidRPr="00603C0A" w:rsidRDefault="00603C0A" w:rsidP="003C2CB7">
            <w:pPr>
              <w:spacing w:line="210" w:lineRule="exact"/>
              <w:jc w:val="center"/>
              <w:rPr>
                <w:rFonts w:cs="Arial"/>
                <w:color w:val="000000"/>
                <w:sz w:val="17"/>
                <w:szCs w:val="17"/>
                <w:lang w:eastAsia="en-AU"/>
              </w:rPr>
            </w:pPr>
            <w:r w:rsidRPr="00603C0A">
              <w:rPr>
                <w:rFonts w:cs="Arial"/>
                <w:color w:val="000000"/>
                <w:sz w:val="17"/>
                <w:szCs w:val="17"/>
                <w:lang w:eastAsia="en-AU"/>
              </w:rPr>
              <w:t>8</w:t>
            </w:r>
          </w:p>
        </w:tc>
        <w:tc>
          <w:tcPr>
            <w:tcW w:w="555" w:type="dxa"/>
            <w:tcBorders>
              <w:top w:val="nil"/>
              <w:left w:val="nil"/>
              <w:bottom w:val="single" w:sz="4" w:space="0" w:color="auto"/>
              <w:right w:val="nil"/>
            </w:tcBorders>
            <w:noWrap/>
            <w:vAlign w:val="center"/>
            <w:hideMark/>
          </w:tcPr>
          <w:p w14:paraId="082AA95D" w14:textId="77777777" w:rsidR="00603C0A" w:rsidRPr="00603C0A" w:rsidRDefault="00603C0A" w:rsidP="003C2CB7">
            <w:pPr>
              <w:tabs>
                <w:tab w:val="decimal" w:pos="247"/>
              </w:tabs>
              <w:spacing w:line="210" w:lineRule="exact"/>
              <w:jc w:val="both"/>
              <w:rPr>
                <w:rFonts w:cs="Arial"/>
                <w:color w:val="000000"/>
                <w:sz w:val="17"/>
                <w:szCs w:val="17"/>
                <w:lang w:eastAsia="en-AU"/>
              </w:rPr>
            </w:pPr>
            <w:r w:rsidRPr="00603C0A">
              <w:rPr>
                <w:rFonts w:cs="Arial"/>
                <w:color w:val="000000"/>
                <w:sz w:val="17"/>
                <w:szCs w:val="17"/>
                <w:lang w:eastAsia="en-AU"/>
              </w:rPr>
              <w:t>0.11</w:t>
            </w:r>
          </w:p>
        </w:tc>
        <w:tc>
          <w:tcPr>
            <w:tcW w:w="431" w:type="dxa"/>
            <w:tcBorders>
              <w:top w:val="nil"/>
              <w:left w:val="nil"/>
              <w:bottom w:val="single" w:sz="4" w:space="0" w:color="auto"/>
              <w:right w:val="nil"/>
            </w:tcBorders>
            <w:noWrap/>
            <w:vAlign w:val="center"/>
            <w:hideMark/>
          </w:tcPr>
          <w:p w14:paraId="67B01239"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0.06</w:t>
            </w:r>
          </w:p>
        </w:tc>
        <w:tc>
          <w:tcPr>
            <w:tcW w:w="544" w:type="dxa"/>
            <w:tcBorders>
              <w:top w:val="nil"/>
              <w:left w:val="nil"/>
              <w:bottom w:val="single" w:sz="4" w:space="0" w:color="auto"/>
              <w:right w:val="nil"/>
            </w:tcBorders>
            <w:noWrap/>
            <w:vAlign w:val="center"/>
            <w:hideMark/>
          </w:tcPr>
          <w:p w14:paraId="68B812CF"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0.17</w:t>
            </w:r>
          </w:p>
        </w:tc>
        <w:tc>
          <w:tcPr>
            <w:tcW w:w="690" w:type="dxa"/>
            <w:tcBorders>
              <w:top w:val="nil"/>
              <w:left w:val="nil"/>
              <w:bottom w:val="single" w:sz="4" w:space="0" w:color="auto"/>
              <w:right w:val="nil"/>
            </w:tcBorders>
            <w:noWrap/>
            <w:vAlign w:val="center"/>
            <w:hideMark/>
          </w:tcPr>
          <w:p w14:paraId="78B683EF" w14:textId="77777777" w:rsidR="00603C0A" w:rsidRPr="00603C0A" w:rsidRDefault="00603C0A" w:rsidP="003C2CB7">
            <w:pPr>
              <w:tabs>
                <w:tab w:val="decimal" w:pos="247"/>
              </w:tabs>
              <w:spacing w:line="210" w:lineRule="exact"/>
              <w:rPr>
                <w:rFonts w:cs="Arial"/>
                <w:color w:val="000000"/>
                <w:sz w:val="17"/>
                <w:szCs w:val="17"/>
                <w:lang w:eastAsia="en-AU"/>
              </w:rPr>
            </w:pPr>
            <w:r w:rsidRPr="00603C0A">
              <w:rPr>
                <w:rFonts w:cs="Arial"/>
                <w:color w:val="000000"/>
                <w:sz w:val="17"/>
                <w:szCs w:val="17"/>
                <w:lang w:eastAsia="en-AU"/>
              </w:rPr>
              <w:t>25</w:t>
            </w:r>
          </w:p>
        </w:tc>
      </w:tr>
    </w:tbl>
    <w:p w14:paraId="6BF49A27" w14:textId="0208E17E" w:rsidR="00D02DD1" w:rsidRPr="008A31C1" w:rsidRDefault="000426FB" w:rsidP="008A31C1">
      <w:pPr>
        <w:spacing w:after="160" w:line="259" w:lineRule="auto"/>
        <w:rPr>
          <w:sz w:val="17"/>
          <w:szCs w:val="17"/>
        </w:rPr>
      </w:pPr>
      <w:r w:rsidRPr="003C2CB7">
        <w:rPr>
          <w:sz w:val="17"/>
          <w:szCs w:val="17"/>
        </w:rPr>
        <w:t>CV = 100</w:t>
      </w:r>
      <w:r w:rsidR="00603C0A" w:rsidRPr="003C2CB7">
        <w:rPr>
          <w:sz w:val="17"/>
          <w:szCs w:val="17"/>
        </w:rPr>
        <w:t xml:space="preserve"> × </w:t>
      </w:r>
      <w:r w:rsidRPr="003C2CB7">
        <w:rPr>
          <w:sz w:val="17"/>
          <w:szCs w:val="17"/>
        </w:rPr>
        <w:t>SD/mean, ND = not detected.</w:t>
      </w:r>
    </w:p>
    <w:p w14:paraId="04969345" w14:textId="29BF53D3" w:rsidR="00CF3BFD" w:rsidRDefault="00B265B4" w:rsidP="006D36C8">
      <w:pPr>
        <w:pStyle w:val="APVMAText"/>
      </w:pPr>
      <w:r>
        <w:t>Based on the available data</w:t>
      </w:r>
      <w:r w:rsidR="001765F5">
        <w:t>, OECD calculator estimates support a temporary MRL of 0.5 mg/kg</w:t>
      </w:r>
      <w:r>
        <w:t xml:space="preserve"> in conjunction with a 195 degree-day (15 days × 13°C) withholding period. However,</w:t>
      </w:r>
      <w:r w:rsidRPr="00B265B4">
        <w:t xml:space="preserve"> </w:t>
      </w:r>
      <w:r>
        <w:t xml:space="preserve">noting the limited data set and </w:t>
      </w:r>
      <w:r w:rsidR="008C6A2D">
        <w:t>absence of residues decline data in the target species</w:t>
      </w:r>
      <w:r>
        <w:t xml:space="preserve">, a conservative </w:t>
      </w:r>
      <w:r w:rsidR="00CF3BFD">
        <w:t xml:space="preserve">temporary </w:t>
      </w:r>
      <w:r>
        <w:t>MRL of 1 mg/kg i</w:t>
      </w:r>
      <w:r w:rsidR="00CF3BFD">
        <w:t xml:space="preserve">s recommended to account for the uncertainty in predicted residues. </w:t>
      </w:r>
      <w:r w:rsidR="001473A6">
        <w:t xml:space="preserve">In addition, to ensure residues of florfenicol fall below 1 mg/kg, an additional 7-day safety margin will be added </w:t>
      </w:r>
      <w:r w:rsidR="008C6A2D">
        <w:t xml:space="preserve">to the day 15 timepoint used to estimate the MRL, </w:t>
      </w:r>
      <w:r w:rsidR="001473A6">
        <w:t xml:space="preserve">equating to a </w:t>
      </w:r>
      <w:proofErr w:type="gramStart"/>
      <w:r w:rsidR="001473A6">
        <w:t>300 degree-day</w:t>
      </w:r>
      <w:proofErr w:type="gramEnd"/>
      <w:r w:rsidR="001473A6">
        <w:t xml:space="preserve"> withholding period.</w:t>
      </w:r>
    </w:p>
    <w:p w14:paraId="1223C63E" w14:textId="77777777" w:rsidR="002E0321" w:rsidRDefault="002E0321" w:rsidP="006D36C8">
      <w:pPr>
        <w:pStyle w:val="APVMAText"/>
      </w:pPr>
    </w:p>
    <w:p w14:paraId="5472EA15" w14:textId="77777777" w:rsidR="006D36C8" w:rsidRDefault="006D36C8" w:rsidP="00032787">
      <w:pPr>
        <w:pStyle w:val="Heading2"/>
      </w:pPr>
      <w:bookmarkStart w:id="32" w:name="_Toc231889748"/>
      <w:bookmarkStart w:id="33" w:name="_Toc2243851"/>
      <w:bookmarkStart w:id="34" w:name="_Toc210810990"/>
      <w:r>
        <w:lastRenderedPageBreak/>
        <w:t>Overseas registration and approved label instructions</w:t>
      </w:r>
      <w:bookmarkEnd w:id="32"/>
      <w:bookmarkEnd w:id="33"/>
      <w:bookmarkEnd w:id="34"/>
    </w:p>
    <w:p w14:paraId="578B0E5B" w14:textId="0E84C7DA" w:rsidR="006D36C8" w:rsidRDefault="006D36C8" w:rsidP="006D36C8">
      <w:pPr>
        <w:pStyle w:val="APVMAText"/>
      </w:pPr>
      <w:r>
        <w:t xml:space="preserve">The applicant indicated that </w:t>
      </w:r>
      <w:r w:rsidR="000426FB">
        <w:t xml:space="preserve">florfenicol </w:t>
      </w:r>
      <w:r>
        <w:t xml:space="preserve">products are registered for use </w:t>
      </w:r>
      <w:r w:rsidR="000426FB">
        <w:t>in aquaculture internationally, in countries such as Canada, Chile, China, Japan, Norway, South Korea, The United Kingdom, and the USA.</w:t>
      </w:r>
    </w:p>
    <w:p w14:paraId="0CB29406" w14:textId="12455002" w:rsidR="006D36C8" w:rsidRDefault="00957A91" w:rsidP="00032787">
      <w:pPr>
        <w:pStyle w:val="Heading2"/>
      </w:pPr>
      <w:bookmarkStart w:id="35" w:name="_Toc231889749"/>
      <w:bookmarkStart w:id="36" w:name="_Toc2243852"/>
      <w:bookmarkStart w:id="37" w:name="_Toc210810991"/>
      <w:r>
        <w:t>Codex Alimentarius C</w:t>
      </w:r>
      <w:r w:rsidR="006D36C8">
        <w:t>ommission and overseas MRLs</w:t>
      </w:r>
      <w:bookmarkEnd w:id="35"/>
      <w:bookmarkEnd w:id="36"/>
      <w:bookmarkEnd w:id="37"/>
    </w:p>
    <w:p w14:paraId="39E5714A" w14:textId="4D0BCAC8" w:rsidR="006D36C8" w:rsidRDefault="006D36C8" w:rsidP="006D36C8">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trade and accommodate differences in Good Agricultural Practice (GAP) employed by various countries. Some countries may accept Codex CXLs when importing foods. </w:t>
      </w:r>
      <w:r w:rsidR="0010031E">
        <w:t>Florfenicol</w:t>
      </w:r>
      <w:r>
        <w:t xml:space="preserve"> </w:t>
      </w:r>
      <w:r w:rsidR="00021A6A">
        <w:t>has not been</w:t>
      </w:r>
      <w:r w:rsidR="0010031E">
        <w:t xml:space="preserve"> </w:t>
      </w:r>
      <w:r>
        <w:t>considered by Codex.</w:t>
      </w:r>
      <w:r w:rsidR="00BA67F0">
        <w:t xml:space="preserve"> </w:t>
      </w:r>
      <w:r w:rsidR="000A5617" w:rsidRPr="000A5617">
        <w:t>The following relevant international MRLs have been established for florfenicol</w:t>
      </w:r>
      <w:r>
        <w:t>.</w:t>
      </w:r>
    </w:p>
    <w:p w14:paraId="3237E5D2" w14:textId="56FAD183" w:rsidR="006D36C8" w:rsidRDefault="006D36C8" w:rsidP="006D36C8">
      <w:pPr>
        <w:pStyle w:val="Caption"/>
      </w:pPr>
      <w:bookmarkStart w:id="38" w:name="_Toc252955169"/>
      <w:bookmarkStart w:id="39" w:name="_Toc209792703"/>
      <w:r>
        <w:t xml:space="preserve">Table </w:t>
      </w:r>
      <w:r w:rsidR="00CF3BFD">
        <w:t>3</w:t>
      </w:r>
      <w:r>
        <w:t>:</w:t>
      </w:r>
      <w:r>
        <w:tab/>
        <w:t xml:space="preserve">Codex </w:t>
      </w:r>
      <w:bookmarkEnd w:id="38"/>
      <w:r w:rsidR="00A20526">
        <w:t>and international MRLs</w:t>
      </w:r>
      <w:bookmarkEnd w:id="39"/>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7"/>
        <w:gridCol w:w="1276"/>
        <w:gridCol w:w="737"/>
        <w:gridCol w:w="1277"/>
        <w:gridCol w:w="993"/>
        <w:gridCol w:w="1277"/>
        <w:gridCol w:w="759"/>
        <w:gridCol w:w="944"/>
        <w:gridCol w:w="1100"/>
      </w:tblGrid>
      <w:tr w:rsidR="00A20526" w:rsidRPr="00A20526" w14:paraId="687BC06F" w14:textId="77777777" w:rsidTr="005250E2">
        <w:trPr>
          <w:cantSplit/>
          <w:trHeight w:val="315"/>
          <w:tblHeader/>
          <w:jc w:val="center"/>
        </w:trPr>
        <w:tc>
          <w:tcPr>
            <w:tcW w:w="1276" w:type="dxa"/>
            <w:vMerge w:val="restart"/>
            <w:tcBorders>
              <w:top w:val="nil"/>
              <w:left w:val="nil"/>
              <w:bottom w:val="nil"/>
              <w:right w:val="nil"/>
            </w:tcBorders>
            <w:shd w:val="clear" w:color="auto" w:fill="008080"/>
            <w:vAlign w:val="center"/>
          </w:tcPr>
          <w:p w14:paraId="774C4652" w14:textId="77777777" w:rsidR="00A20526" w:rsidRPr="005250E2" w:rsidRDefault="00A20526" w:rsidP="005250E2">
            <w:pPr>
              <w:pStyle w:val="BodyText0"/>
              <w:spacing w:before="60" w:after="60"/>
              <w:jc w:val="center"/>
              <w:rPr>
                <w:rFonts w:ascii="Franklin Gothic Medium" w:hAnsi="Franklin Gothic Medium"/>
                <w:color w:val="FFFFFF"/>
                <w:sz w:val="18"/>
                <w:szCs w:val="18"/>
              </w:rPr>
            </w:pPr>
            <w:bookmarkStart w:id="40" w:name="_Toc231889750"/>
            <w:bookmarkStart w:id="41" w:name="_Toc2243853"/>
            <w:r w:rsidRPr="005250E2">
              <w:rPr>
                <w:rFonts w:ascii="Franklin Gothic Medium" w:hAnsi="Franklin Gothic Medium"/>
                <w:color w:val="FFFFFF"/>
                <w:sz w:val="18"/>
                <w:szCs w:val="18"/>
              </w:rPr>
              <w:t>Commodity</w:t>
            </w:r>
          </w:p>
        </w:tc>
        <w:tc>
          <w:tcPr>
            <w:tcW w:w="8363" w:type="dxa"/>
            <w:gridSpan w:val="8"/>
            <w:tcBorders>
              <w:top w:val="nil"/>
              <w:left w:val="nil"/>
              <w:bottom w:val="single" w:sz="8" w:space="0" w:color="auto"/>
              <w:right w:val="nil"/>
            </w:tcBorders>
            <w:shd w:val="clear" w:color="auto" w:fill="008080"/>
            <w:vAlign w:val="center"/>
          </w:tcPr>
          <w:p w14:paraId="4432B5F8" w14:textId="77777777" w:rsidR="00A20526" w:rsidRPr="005250E2" w:rsidRDefault="00A20526" w:rsidP="005250E2">
            <w:pPr>
              <w:pStyle w:val="BodyText0"/>
              <w:spacing w:before="60" w:after="60"/>
              <w:jc w:val="center"/>
              <w:rPr>
                <w:rFonts w:ascii="Franklin Gothic Medium" w:hAnsi="Franklin Gothic Medium"/>
                <w:color w:val="FFFFFF"/>
                <w:sz w:val="18"/>
                <w:szCs w:val="18"/>
              </w:rPr>
            </w:pPr>
            <w:r w:rsidRPr="005250E2">
              <w:rPr>
                <w:rFonts w:ascii="Franklin Gothic Medium" w:hAnsi="Franklin Gothic Medium"/>
                <w:color w:val="FFFFFF"/>
                <w:sz w:val="18"/>
                <w:szCs w:val="18"/>
              </w:rPr>
              <w:t>Overseas MRLs/tolerances (mg/kg)</w:t>
            </w:r>
          </w:p>
        </w:tc>
      </w:tr>
      <w:tr w:rsidR="005250E2" w:rsidRPr="00A20526" w14:paraId="688F9B3B" w14:textId="77777777" w:rsidTr="005250E2">
        <w:trPr>
          <w:cantSplit/>
          <w:trHeight w:val="328"/>
          <w:tblHeader/>
          <w:jc w:val="center"/>
        </w:trPr>
        <w:tc>
          <w:tcPr>
            <w:tcW w:w="1276" w:type="dxa"/>
            <w:vMerge/>
            <w:tcBorders>
              <w:top w:val="nil"/>
              <w:left w:val="nil"/>
              <w:bottom w:val="nil"/>
              <w:right w:val="nil"/>
            </w:tcBorders>
            <w:shd w:val="clear" w:color="auto" w:fill="008080"/>
          </w:tcPr>
          <w:p w14:paraId="6E925E41" w14:textId="77777777" w:rsidR="00A20526" w:rsidRPr="005250E2" w:rsidRDefault="00A20526" w:rsidP="005250E2">
            <w:pPr>
              <w:pStyle w:val="BodyText0"/>
              <w:spacing w:before="60" w:after="60"/>
              <w:rPr>
                <w:rFonts w:ascii="Franklin Gothic Medium" w:hAnsi="Franklin Gothic Medium"/>
                <w:color w:val="FFFFFF"/>
                <w:sz w:val="18"/>
                <w:szCs w:val="18"/>
              </w:rPr>
            </w:pPr>
          </w:p>
        </w:tc>
        <w:tc>
          <w:tcPr>
            <w:tcW w:w="1276" w:type="dxa"/>
            <w:tcBorders>
              <w:top w:val="single" w:sz="8" w:space="0" w:color="auto"/>
              <w:left w:val="nil"/>
              <w:bottom w:val="nil"/>
              <w:right w:val="nil"/>
            </w:tcBorders>
            <w:shd w:val="clear" w:color="auto" w:fill="008080"/>
            <w:vAlign w:val="center"/>
          </w:tcPr>
          <w:p w14:paraId="0036CE17" w14:textId="203C6765" w:rsidR="00A20526" w:rsidRPr="005250E2" w:rsidRDefault="00A20526" w:rsidP="005250E2">
            <w:pPr>
              <w:pStyle w:val="BodyText0"/>
              <w:spacing w:before="60" w:after="60"/>
              <w:jc w:val="center"/>
              <w:rPr>
                <w:rFonts w:ascii="Franklin Gothic Medium" w:hAnsi="Franklin Gothic Medium"/>
                <w:color w:val="FFFFFF"/>
                <w:sz w:val="18"/>
                <w:szCs w:val="18"/>
                <w:vertAlign w:val="superscript"/>
              </w:rPr>
            </w:pPr>
            <w:r w:rsidRPr="005250E2">
              <w:rPr>
                <w:rFonts w:ascii="Franklin Gothic Medium" w:hAnsi="Franklin Gothic Medium"/>
                <w:color w:val="FFFFFF"/>
                <w:sz w:val="18"/>
                <w:szCs w:val="18"/>
              </w:rPr>
              <w:t>Australia</w:t>
            </w:r>
          </w:p>
        </w:tc>
        <w:tc>
          <w:tcPr>
            <w:tcW w:w="737" w:type="dxa"/>
            <w:tcBorders>
              <w:top w:val="single" w:sz="8" w:space="0" w:color="auto"/>
              <w:left w:val="nil"/>
              <w:bottom w:val="nil"/>
              <w:right w:val="nil"/>
            </w:tcBorders>
            <w:shd w:val="clear" w:color="auto" w:fill="008080"/>
            <w:vAlign w:val="center"/>
          </w:tcPr>
          <w:p w14:paraId="518D002D" w14:textId="77777777" w:rsidR="00A20526" w:rsidRPr="005250E2" w:rsidRDefault="00A20526" w:rsidP="005250E2">
            <w:pPr>
              <w:pStyle w:val="BodyText0"/>
              <w:spacing w:before="60" w:after="60"/>
              <w:jc w:val="center"/>
              <w:rPr>
                <w:rFonts w:ascii="Franklin Gothic Medium" w:hAnsi="Franklin Gothic Medium"/>
                <w:color w:val="FFFFFF"/>
                <w:sz w:val="18"/>
                <w:szCs w:val="18"/>
                <w:vertAlign w:val="superscript"/>
              </w:rPr>
            </w:pPr>
            <w:r w:rsidRPr="005250E2">
              <w:rPr>
                <w:rFonts w:ascii="Franklin Gothic Medium" w:hAnsi="Franklin Gothic Medium"/>
                <w:color w:val="FFFFFF"/>
                <w:sz w:val="18"/>
                <w:szCs w:val="18"/>
              </w:rPr>
              <w:t xml:space="preserve">Codex </w:t>
            </w:r>
            <w:r w:rsidRPr="005250E2">
              <w:rPr>
                <w:rStyle w:val="FootnoteReference"/>
                <w:rFonts w:ascii="Franklin Gothic Medium" w:hAnsi="Franklin Gothic Medium"/>
                <w:color w:val="FFFFFF"/>
                <w:sz w:val="18"/>
                <w:szCs w:val="18"/>
              </w:rPr>
              <w:footnoteReference w:id="5"/>
            </w:r>
          </w:p>
        </w:tc>
        <w:tc>
          <w:tcPr>
            <w:tcW w:w="1277" w:type="dxa"/>
            <w:tcBorders>
              <w:top w:val="single" w:sz="8" w:space="0" w:color="auto"/>
              <w:left w:val="nil"/>
              <w:bottom w:val="nil"/>
              <w:right w:val="nil"/>
            </w:tcBorders>
            <w:shd w:val="clear" w:color="auto" w:fill="008080"/>
            <w:vAlign w:val="center"/>
          </w:tcPr>
          <w:p w14:paraId="294CA48E" w14:textId="16C3ED5D" w:rsidR="00A20526" w:rsidRPr="005250E2" w:rsidRDefault="00A20526" w:rsidP="005250E2">
            <w:pPr>
              <w:pStyle w:val="BodyText0"/>
              <w:spacing w:before="60" w:after="60"/>
              <w:jc w:val="center"/>
              <w:rPr>
                <w:rFonts w:ascii="Franklin Gothic Medium" w:hAnsi="Franklin Gothic Medium"/>
                <w:color w:val="FFFFFF"/>
                <w:sz w:val="18"/>
                <w:szCs w:val="18"/>
                <w:vertAlign w:val="superscript"/>
              </w:rPr>
            </w:pPr>
            <w:r w:rsidRPr="005250E2">
              <w:rPr>
                <w:rFonts w:ascii="Franklin Gothic Medium" w:hAnsi="Franklin Gothic Medium"/>
                <w:color w:val="FFFFFF"/>
                <w:sz w:val="18"/>
                <w:szCs w:val="18"/>
              </w:rPr>
              <w:t xml:space="preserve">EU </w:t>
            </w:r>
            <w:r w:rsidRPr="005250E2">
              <w:rPr>
                <w:rStyle w:val="FootnoteReference"/>
                <w:rFonts w:ascii="Franklin Gothic Medium" w:hAnsi="Franklin Gothic Medium"/>
                <w:color w:val="FFFFFF"/>
                <w:sz w:val="18"/>
                <w:szCs w:val="18"/>
              </w:rPr>
              <w:footnoteReference w:id="6"/>
            </w:r>
          </w:p>
        </w:tc>
        <w:tc>
          <w:tcPr>
            <w:tcW w:w="993" w:type="dxa"/>
            <w:tcBorders>
              <w:top w:val="single" w:sz="8" w:space="0" w:color="auto"/>
              <w:left w:val="nil"/>
              <w:bottom w:val="nil"/>
              <w:right w:val="nil"/>
            </w:tcBorders>
            <w:shd w:val="clear" w:color="auto" w:fill="008080"/>
            <w:vAlign w:val="center"/>
          </w:tcPr>
          <w:p w14:paraId="7C519427" w14:textId="0698D5BD" w:rsidR="00A20526" w:rsidRPr="005250E2" w:rsidRDefault="00A20526" w:rsidP="005250E2">
            <w:pPr>
              <w:pStyle w:val="BodyText0"/>
              <w:spacing w:before="60" w:after="60"/>
              <w:jc w:val="center"/>
              <w:rPr>
                <w:rFonts w:ascii="Franklin Gothic Medium" w:hAnsi="Franklin Gothic Medium"/>
                <w:color w:val="FFFFFF"/>
                <w:sz w:val="18"/>
                <w:szCs w:val="18"/>
              </w:rPr>
            </w:pPr>
            <w:r w:rsidRPr="005250E2">
              <w:rPr>
                <w:rFonts w:ascii="Franklin Gothic Medium" w:hAnsi="Franklin Gothic Medium"/>
                <w:color w:val="FFFFFF"/>
                <w:sz w:val="18"/>
                <w:szCs w:val="18"/>
              </w:rPr>
              <w:t xml:space="preserve">China </w:t>
            </w:r>
            <w:r w:rsidRPr="005250E2">
              <w:rPr>
                <w:rStyle w:val="FootnoteReference"/>
                <w:rFonts w:ascii="Franklin Gothic Medium" w:hAnsi="Franklin Gothic Medium"/>
                <w:color w:val="FFFFFF"/>
                <w:sz w:val="18"/>
                <w:szCs w:val="18"/>
              </w:rPr>
              <w:footnoteReference w:id="7"/>
            </w:r>
          </w:p>
        </w:tc>
        <w:tc>
          <w:tcPr>
            <w:tcW w:w="1277" w:type="dxa"/>
            <w:tcBorders>
              <w:top w:val="single" w:sz="8" w:space="0" w:color="auto"/>
              <w:left w:val="nil"/>
              <w:bottom w:val="nil"/>
              <w:right w:val="nil"/>
            </w:tcBorders>
            <w:shd w:val="clear" w:color="auto" w:fill="008080"/>
            <w:vAlign w:val="center"/>
          </w:tcPr>
          <w:p w14:paraId="60ADA1B0" w14:textId="4E073C15" w:rsidR="00A20526" w:rsidRPr="005250E2" w:rsidRDefault="00A20526" w:rsidP="005250E2">
            <w:pPr>
              <w:pStyle w:val="BodyText0"/>
              <w:spacing w:before="60" w:after="60"/>
              <w:jc w:val="center"/>
              <w:rPr>
                <w:rFonts w:ascii="Franklin Gothic Medium" w:hAnsi="Franklin Gothic Medium"/>
                <w:color w:val="FFFFFF"/>
                <w:sz w:val="18"/>
                <w:szCs w:val="18"/>
                <w:vertAlign w:val="superscript"/>
              </w:rPr>
            </w:pPr>
            <w:r w:rsidRPr="005250E2">
              <w:rPr>
                <w:rFonts w:ascii="Franklin Gothic Medium" w:hAnsi="Franklin Gothic Medium"/>
                <w:color w:val="FFFFFF"/>
                <w:sz w:val="18"/>
                <w:szCs w:val="18"/>
              </w:rPr>
              <w:t xml:space="preserve">Japan </w:t>
            </w:r>
            <w:r w:rsidRPr="005250E2">
              <w:rPr>
                <w:rStyle w:val="FootnoteReference"/>
                <w:rFonts w:ascii="Franklin Gothic Medium" w:hAnsi="Franklin Gothic Medium"/>
                <w:color w:val="FFFFFF"/>
                <w:sz w:val="18"/>
                <w:szCs w:val="18"/>
              </w:rPr>
              <w:footnoteReference w:id="8"/>
            </w:r>
          </w:p>
        </w:tc>
        <w:tc>
          <w:tcPr>
            <w:tcW w:w="759" w:type="dxa"/>
            <w:tcBorders>
              <w:top w:val="single" w:sz="8" w:space="0" w:color="auto"/>
              <w:left w:val="nil"/>
              <w:bottom w:val="nil"/>
              <w:right w:val="nil"/>
            </w:tcBorders>
            <w:shd w:val="clear" w:color="auto" w:fill="008080"/>
            <w:vAlign w:val="center"/>
          </w:tcPr>
          <w:p w14:paraId="0020D128" w14:textId="77777777" w:rsidR="00A20526" w:rsidRPr="005250E2" w:rsidRDefault="00A20526" w:rsidP="005250E2">
            <w:pPr>
              <w:pStyle w:val="BodyText0"/>
              <w:spacing w:before="60" w:after="60"/>
              <w:jc w:val="center"/>
              <w:rPr>
                <w:rFonts w:ascii="Franklin Gothic Medium" w:hAnsi="Franklin Gothic Medium"/>
                <w:color w:val="FFFFFF"/>
                <w:sz w:val="18"/>
                <w:szCs w:val="18"/>
              </w:rPr>
            </w:pPr>
            <w:r w:rsidRPr="005250E2">
              <w:rPr>
                <w:rFonts w:ascii="Franklin Gothic Medium" w:hAnsi="Franklin Gothic Medium"/>
                <w:color w:val="FFFFFF"/>
                <w:sz w:val="18"/>
                <w:szCs w:val="18"/>
              </w:rPr>
              <w:t xml:space="preserve">Korea </w:t>
            </w:r>
            <w:r w:rsidRPr="005250E2">
              <w:rPr>
                <w:rStyle w:val="FootnoteReference"/>
                <w:rFonts w:ascii="Franklin Gothic Medium" w:hAnsi="Franklin Gothic Medium"/>
                <w:color w:val="FFFFFF"/>
                <w:sz w:val="18"/>
                <w:szCs w:val="18"/>
              </w:rPr>
              <w:footnoteReference w:id="9"/>
            </w:r>
          </w:p>
        </w:tc>
        <w:tc>
          <w:tcPr>
            <w:tcW w:w="944" w:type="dxa"/>
            <w:tcBorders>
              <w:top w:val="single" w:sz="8" w:space="0" w:color="auto"/>
              <w:left w:val="nil"/>
              <w:bottom w:val="nil"/>
              <w:right w:val="nil"/>
            </w:tcBorders>
            <w:shd w:val="clear" w:color="auto" w:fill="008080"/>
            <w:vAlign w:val="center"/>
          </w:tcPr>
          <w:p w14:paraId="06049472" w14:textId="77777777" w:rsidR="00A20526" w:rsidRPr="005250E2" w:rsidRDefault="00A20526" w:rsidP="005250E2">
            <w:pPr>
              <w:pStyle w:val="BodyText0"/>
              <w:spacing w:before="60" w:after="60"/>
              <w:jc w:val="center"/>
              <w:rPr>
                <w:rFonts w:ascii="Franklin Gothic Medium" w:hAnsi="Franklin Gothic Medium"/>
                <w:color w:val="FFFFFF"/>
                <w:sz w:val="18"/>
                <w:szCs w:val="18"/>
              </w:rPr>
            </w:pPr>
            <w:r w:rsidRPr="005250E2">
              <w:rPr>
                <w:rFonts w:ascii="Franklin Gothic Medium" w:hAnsi="Franklin Gothic Medium"/>
                <w:color w:val="FFFFFF"/>
                <w:sz w:val="18"/>
                <w:szCs w:val="18"/>
              </w:rPr>
              <w:t xml:space="preserve">Taiwan </w:t>
            </w:r>
            <w:r w:rsidRPr="005250E2">
              <w:rPr>
                <w:rStyle w:val="FootnoteReference"/>
                <w:rFonts w:ascii="Franklin Gothic Medium" w:hAnsi="Franklin Gothic Medium"/>
                <w:color w:val="FFFFFF"/>
                <w:sz w:val="18"/>
                <w:szCs w:val="18"/>
              </w:rPr>
              <w:footnoteReference w:id="10"/>
            </w:r>
          </w:p>
        </w:tc>
        <w:tc>
          <w:tcPr>
            <w:tcW w:w="1100" w:type="dxa"/>
            <w:tcBorders>
              <w:top w:val="single" w:sz="8" w:space="0" w:color="auto"/>
              <w:left w:val="nil"/>
              <w:bottom w:val="nil"/>
              <w:right w:val="nil"/>
            </w:tcBorders>
            <w:shd w:val="clear" w:color="auto" w:fill="008080"/>
            <w:vAlign w:val="center"/>
          </w:tcPr>
          <w:p w14:paraId="78BF93A2" w14:textId="2D3B10FB" w:rsidR="00A20526" w:rsidRPr="005250E2" w:rsidRDefault="00A20526" w:rsidP="005250E2">
            <w:pPr>
              <w:pStyle w:val="BodyText0"/>
              <w:spacing w:before="60" w:after="60"/>
              <w:jc w:val="center"/>
              <w:rPr>
                <w:rFonts w:ascii="Franklin Gothic Medium" w:hAnsi="Franklin Gothic Medium"/>
                <w:color w:val="FFFFFF"/>
                <w:sz w:val="18"/>
                <w:szCs w:val="18"/>
                <w:vertAlign w:val="superscript"/>
              </w:rPr>
            </w:pPr>
            <w:r w:rsidRPr="005250E2">
              <w:rPr>
                <w:rFonts w:ascii="Franklin Gothic Medium" w:hAnsi="Franklin Gothic Medium"/>
                <w:color w:val="FFFFFF"/>
                <w:sz w:val="18"/>
                <w:szCs w:val="18"/>
              </w:rPr>
              <w:t xml:space="preserve">USA </w:t>
            </w:r>
            <w:r w:rsidRPr="005250E2">
              <w:rPr>
                <w:rStyle w:val="FootnoteReference"/>
                <w:rFonts w:ascii="Franklin Gothic Medium" w:hAnsi="Franklin Gothic Medium"/>
                <w:color w:val="FFFFFF"/>
                <w:sz w:val="18"/>
                <w:szCs w:val="18"/>
              </w:rPr>
              <w:footnoteReference w:id="11"/>
            </w:r>
          </w:p>
        </w:tc>
      </w:tr>
      <w:tr w:rsidR="005250E2" w:rsidRPr="00A20526" w14:paraId="41C66AFC" w14:textId="77777777" w:rsidTr="005250E2">
        <w:trPr>
          <w:cantSplit/>
          <w:trHeight w:val="283"/>
          <w:jc w:val="center"/>
        </w:trPr>
        <w:tc>
          <w:tcPr>
            <w:tcW w:w="1276" w:type="dxa"/>
            <w:tcBorders>
              <w:top w:val="nil"/>
              <w:left w:val="nil"/>
              <w:bottom w:val="single" w:sz="8" w:space="0" w:color="auto"/>
              <w:right w:val="nil"/>
            </w:tcBorders>
            <w:vAlign w:val="center"/>
          </w:tcPr>
          <w:p w14:paraId="6894D828" w14:textId="633C129E" w:rsidR="00A20526" w:rsidRPr="0010031E" w:rsidRDefault="00A20526" w:rsidP="005250E2">
            <w:pPr>
              <w:pStyle w:val="BodyText0"/>
              <w:spacing w:before="60" w:after="60"/>
              <w:rPr>
                <w:rFonts w:ascii="Arial" w:hAnsi="Arial" w:cs="Arial"/>
                <w:sz w:val="17"/>
                <w:szCs w:val="17"/>
              </w:rPr>
            </w:pPr>
            <w:r w:rsidRPr="0010031E">
              <w:rPr>
                <w:rFonts w:ascii="Arial" w:hAnsi="Arial" w:cs="Arial"/>
                <w:sz w:val="17"/>
                <w:szCs w:val="17"/>
              </w:rPr>
              <w:t>Residue definition</w:t>
            </w:r>
          </w:p>
        </w:tc>
        <w:tc>
          <w:tcPr>
            <w:tcW w:w="1276" w:type="dxa"/>
            <w:tcBorders>
              <w:top w:val="nil"/>
              <w:left w:val="nil"/>
              <w:bottom w:val="single" w:sz="8" w:space="0" w:color="auto"/>
              <w:right w:val="nil"/>
            </w:tcBorders>
          </w:tcPr>
          <w:p w14:paraId="31356B7F" w14:textId="27D28006" w:rsidR="00A20526" w:rsidRPr="0010031E" w:rsidRDefault="00E306AF" w:rsidP="005250E2">
            <w:pPr>
              <w:pStyle w:val="BodyText0"/>
              <w:spacing w:before="60" w:after="60"/>
              <w:rPr>
                <w:rFonts w:ascii="Arial" w:hAnsi="Arial" w:cs="Arial"/>
                <w:sz w:val="17"/>
                <w:szCs w:val="17"/>
              </w:rPr>
            </w:pPr>
            <w:r w:rsidRPr="00E306AF">
              <w:rPr>
                <w:rFonts w:ascii="Arial" w:hAnsi="Arial" w:cs="Arial"/>
                <w:sz w:val="17"/>
                <w:szCs w:val="17"/>
              </w:rPr>
              <w:t>Sum of florfenicol and its metabolites measured as florfenicol-amine</w:t>
            </w:r>
          </w:p>
        </w:tc>
        <w:tc>
          <w:tcPr>
            <w:tcW w:w="737" w:type="dxa"/>
            <w:tcBorders>
              <w:top w:val="nil"/>
              <w:left w:val="nil"/>
              <w:bottom w:val="single" w:sz="8" w:space="0" w:color="auto"/>
              <w:right w:val="nil"/>
            </w:tcBorders>
          </w:tcPr>
          <w:p w14:paraId="6969AF5E" w14:textId="466F992E" w:rsidR="00A20526" w:rsidRPr="0010031E" w:rsidRDefault="000A5617"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277" w:type="dxa"/>
            <w:tcBorders>
              <w:top w:val="nil"/>
              <w:left w:val="nil"/>
              <w:bottom w:val="single" w:sz="8" w:space="0" w:color="auto"/>
              <w:right w:val="nil"/>
            </w:tcBorders>
          </w:tcPr>
          <w:p w14:paraId="167986E3" w14:textId="156D2227" w:rsidR="00A20526" w:rsidRPr="0010031E" w:rsidRDefault="00E306AF" w:rsidP="005250E2">
            <w:pPr>
              <w:pStyle w:val="BodyText0"/>
              <w:spacing w:before="60" w:after="60"/>
              <w:rPr>
                <w:rFonts w:ascii="Arial" w:hAnsi="Arial" w:cs="Arial"/>
                <w:sz w:val="17"/>
                <w:szCs w:val="17"/>
              </w:rPr>
            </w:pPr>
            <w:r w:rsidRPr="00E306AF">
              <w:rPr>
                <w:rFonts w:ascii="Arial" w:hAnsi="Arial" w:cs="Arial"/>
                <w:sz w:val="17"/>
                <w:szCs w:val="17"/>
              </w:rPr>
              <w:t>Sum of florfenicol and its metabolites measured as florfenicol-amine</w:t>
            </w:r>
          </w:p>
        </w:tc>
        <w:tc>
          <w:tcPr>
            <w:tcW w:w="993" w:type="dxa"/>
            <w:tcBorders>
              <w:top w:val="nil"/>
              <w:left w:val="nil"/>
              <w:bottom w:val="single" w:sz="8" w:space="0" w:color="auto"/>
              <w:right w:val="nil"/>
            </w:tcBorders>
          </w:tcPr>
          <w:p w14:paraId="4F386EDB" w14:textId="7A69BED1" w:rsidR="00A20526" w:rsidRPr="0010031E" w:rsidRDefault="000A5617" w:rsidP="005250E2">
            <w:pPr>
              <w:pStyle w:val="BodyText0"/>
              <w:spacing w:before="60" w:after="60"/>
              <w:rPr>
                <w:rFonts w:ascii="Arial" w:hAnsi="Arial" w:cs="Arial"/>
                <w:sz w:val="17"/>
                <w:szCs w:val="17"/>
              </w:rPr>
            </w:pPr>
            <w:r w:rsidRPr="00E306AF">
              <w:rPr>
                <w:rFonts w:ascii="Arial" w:hAnsi="Arial" w:cs="Arial"/>
                <w:sz w:val="17"/>
                <w:szCs w:val="17"/>
              </w:rPr>
              <w:t>Sum of florfenicol</w:t>
            </w:r>
            <w:r>
              <w:rPr>
                <w:rFonts w:ascii="Arial" w:hAnsi="Arial" w:cs="Arial"/>
                <w:sz w:val="17"/>
                <w:szCs w:val="17"/>
              </w:rPr>
              <w:t xml:space="preserve"> and florfenicol-amine</w:t>
            </w:r>
          </w:p>
        </w:tc>
        <w:tc>
          <w:tcPr>
            <w:tcW w:w="1277" w:type="dxa"/>
            <w:tcBorders>
              <w:top w:val="nil"/>
              <w:left w:val="nil"/>
              <w:bottom w:val="single" w:sz="8" w:space="0" w:color="auto"/>
              <w:right w:val="nil"/>
            </w:tcBorders>
          </w:tcPr>
          <w:p w14:paraId="4301B0D5" w14:textId="2474367A" w:rsidR="00A20526" w:rsidRPr="0010031E" w:rsidRDefault="005250E2" w:rsidP="005250E2">
            <w:pPr>
              <w:pStyle w:val="BodyText0"/>
              <w:spacing w:before="60" w:after="60"/>
              <w:rPr>
                <w:rFonts w:ascii="Arial" w:hAnsi="Arial" w:cs="Arial"/>
                <w:sz w:val="17"/>
                <w:szCs w:val="17"/>
              </w:rPr>
            </w:pPr>
            <w:r w:rsidRPr="00E306AF">
              <w:rPr>
                <w:rFonts w:ascii="Arial" w:hAnsi="Arial" w:cs="Arial"/>
                <w:sz w:val="17"/>
                <w:szCs w:val="17"/>
              </w:rPr>
              <w:t>Sum of florfenicol and its metabolites measured as florfenicol-amine</w:t>
            </w:r>
          </w:p>
        </w:tc>
        <w:tc>
          <w:tcPr>
            <w:tcW w:w="759" w:type="dxa"/>
            <w:tcBorders>
              <w:top w:val="nil"/>
              <w:left w:val="nil"/>
              <w:bottom w:val="single" w:sz="8" w:space="0" w:color="auto"/>
              <w:right w:val="nil"/>
            </w:tcBorders>
          </w:tcPr>
          <w:p w14:paraId="32E9BD16" w14:textId="7BC0BC99" w:rsidR="00A20526" w:rsidRPr="0010031E" w:rsidRDefault="005250E2"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944" w:type="dxa"/>
            <w:tcBorders>
              <w:top w:val="nil"/>
              <w:left w:val="nil"/>
              <w:bottom w:val="single" w:sz="8" w:space="0" w:color="auto"/>
              <w:right w:val="nil"/>
            </w:tcBorders>
          </w:tcPr>
          <w:p w14:paraId="4C07C970" w14:textId="2C103F7B" w:rsidR="00A20526" w:rsidRPr="0010031E" w:rsidRDefault="005250E2"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100" w:type="dxa"/>
            <w:tcBorders>
              <w:top w:val="nil"/>
              <w:left w:val="nil"/>
              <w:bottom w:val="single" w:sz="8" w:space="0" w:color="auto"/>
              <w:right w:val="nil"/>
            </w:tcBorders>
          </w:tcPr>
          <w:p w14:paraId="61C79C5C" w14:textId="50579417" w:rsidR="00A20526" w:rsidRPr="0010031E" w:rsidRDefault="000A5617" w:rsidP="005250E2">
            <w:pPr>
              <w:pStyle w:val="BodyText0"/>
              <w:spacing w:before="60" w:after="60"/>
              <w:rPr>
                <w:rFonts w:ascii="Arial" w:hAnsi="Arial" w:cs="Arial"/>
                <w:sz w:val="17"/>
                <w:szCs w:val="17"/>
              </w:rPr>
            </w:pPr>
            <w:r>
              <w:rPr>
                <w:rFonts w:ascii="Arial" w:hAnsi="Arial" w:cs="Arial"/>
                <w:sz w:val="17"/>
                <w:szCs w:val="17"/>
              </w:rPr>
              <w:t>Florfeniocol-amine</w:t>
            </w:r>
          </w:p>
        </w:tc>
      </w:tr>
      <w:tr w:rsidR="005250E2" w:rsidRPr="00A20526" w14:paraId="76AB1F4B" w14:textId="77777777" w:rsidTr="005250E2">
        <w:trPr>
          <w:cantSplit/>
          <w:trHeight w:val="283"/>
          <w:jc w:val="center"/>
        </w:trPr>
        <w:tc>
          <w:tcPr>
            <w:tcW w:w="1276" w:type="dxa"/>
            <w:tcBorders>
              <w:top w:val="single" w:sz="8" w:space="0" w:color="auto"/>
              <w:left w:val="nil"/>
              <w:bottom w:val="nil"/>
              <w:right w:val="nil"/>
            </w:tcBorders>
            <w:vAlign w:val="center"/>
          </w:tcPr>
          <w:p w14:paraId="74068179" w14:textId="4793EB6B" w:rsidR="00A20526" w:rsidRPr="0010031E" w:rsidRDefault="00A20526" w:rsidP="005250E2">
            <w:pPr>
              <w:pStyle w:val="BodyText0"/>
              <w:spacing w:before="60" w:after="60"/>
              <w:rPr>
                <w:rFonts w:ascii="Arial" w:hAnsi="Arial" w:cs="Arial"/>
                <w:sz w:val="17"/>
                <w:szCs w:val="17"/>
              </w:rPr>
            </w:pPr>
            <w:r w:rsidRPr="0010031E">
              <w:rPr>
                <w:rFonts w:ascii="Arial" w:hAnsi="Arial" w:cs="Arial"/>
                <w:sz w:val="17"/>
                <w:szCs w:val="17"/>
              </w:rPr>
              <w:t>Salmonids</w:t>
            </w:r>
          </w:p>
        </w:tc>
        <w:tc>
          <w:tcPr>
            <w:tcW w:w="1276" w:type="dxa"/>
            <w:tcBorders>
              <w:top w:val="single" w:sz="8" w:space="0" w:color="auto"/>
              <w:left w:val="nil"/>
              <w:bottom w:val="nil"/>
              <w:right w:val="nil"/>
            </w:tcBorders>
            <w:vAlign w:val="center"/>
          </w:tcPr>
          <w:p w14:paraId="38A202AF" w14:textId="10BB4409"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T1 (proposed)</w:t>
            </w:r>
          </w:p>
        </w:tc>
        <w:tc>
          <w:tcPr>
            <w:tcW w:w="737" w:type="dxa"/>
            <w:tcBorders>
              <w:top w:val="single" w:sz="8" w:space="0" w:color="auto"/>
              <w:left w:val="nil"/>
              <w:bottom w:val="nil"/>
              <w:right w:val="nil"/>
            </w:tcBorders>
            <w:vAlign w:val="center"/>
          </w:tcPr>
          <w:p w14:paraId="3A4DB3A3" w14:textId="7B2DD0C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277" w:type="dxa"/>
            <w:tcBorders>
              <w:top w:val="single" w:sz="8" w:space="0" w:color="auto"/>
              <w:left w:val="nil"/>
              <w:bottom w:val="nil"/>
              <w:right w:val="nil"/>
            </w:tcBorders>
            <w:vAlign w:val="center"/>
          </w:tcPr>
          <w:p w14:paraId="51F159AB" w14:textId="27AF5562"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c>
          <w:tcPr>
            <w:tcW w:w="993" w:type="dxa"/>
            <w:tcBorders>
              <w:top w:val="single" w:sz="8" w:space="0" w:color="auto"/>
              <w:left w:val="nil"/>
              <w:bottom w:val="nil"/>
              <w:right w:val="nil"/>
            </w:tcBorders>
            <w:vAlign w:val="center"/>
          </w:tcPr>
          <w:p w14:paraId="3309CCB7" w14:textId="0C6B6A72"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c>
          <w:tcPr>
            <w:tcW w:w="1277" w:type="dxa"/>
            <w:tcBorders>
              <w:top w:val="single" w:sz="8" w:space="0" w:color="auto"/>
              <w:left w:val="nil"/>
              <w:bottom w:val="nil"/>
              <w:right w:val="nil"/>
            </w:tcBorders>
            <w:vAlign w:val="center"/>
          </w:tcPr>
          <w:p w14:paraId="19FF48EC" w14:textId="0FDF42BA"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c>
          <w:tcPr>
            <w:tcW w:w="759" w:type="dxa"/>
            <w:tcBorders>
              <w:top w:val="single" w:sz="8" w:space="0" w:color="auto"/>
              <w:left w:val="nil"/>
              <w:bottom w:val="nil"/>
              <w:right w:val="nil"/>
            </w:tcBorders>
            <w:vAlign w:val="center"/>
          </w:tcPr>
          <w:p w14:paraId="719D414D" w14:textId="030F8C9A"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944" w:type="dxa"/>
            <w:tcBorders>
              <w:top w:val="single" w:sz="8" w:space="0" w:color="auto"/>
              <w:left w:val="nil"/>
              <w:bottom w:val="nil"/>
              <w:right w:val="nil"/>
            </w:tcBorders>
            <w:vAlign w:val="center"/>
          </w:tcPr>
          <w:p w14:paraId="38DF1053" w14:textId="069197D0"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100" w:type="dxa"/>
            <w:tcBorders>
              <w:top w:val="single" w:sz="8" w:space="0" w:color="auto"/>
              <w:left w:val="nil"/>
              <w:bottom w:val="nil"/>
              <w:right w:val="nil"/>
            </w:tcBorders>
            <w:vAlign w:val="center"/>
          </w:tcPr>
          <w:p w14:paraId="6082029D" w14:textId="1A79ABF5"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r>
      <w:tr w:rsidR="005250E2" w:rsidRPr="00A20526" w14:paraId="7C44B782" w14:textId="77777777" w:rsidTr="005250E2">
        <w:trPr>
          <w:cantSplit/>
          <w:trHeight w:val="283"/>
          <w:jc w:val="center"/>
        </w:trPr>
        <w:tc>
          <w:tcPr>
            <w:tcW w:w="1276" w:type="dxa"/>
            <w:tcBorders>
              <w:top w:val="nil"/>
              <w:left w:val="nil"/>
              <w:bottom w:val="single" w:sz="8" w:space="0" w:color="auto"/>
              <w:right w:val="nil"/>
            </w:tcBorders>
            <w:vAlign w:val="center"/>
          </w:tcPr>
          <w:p w14:paraId="74031F29" w14:textId="77777777" w:rsidR="00A20526" w:rsidRPr="0010031E" w:rsidRDefault="00A20526" w:rsidP="005250E2">
            <w:pPr>
              <w:pStyle w:val="BodyText0"/>
              <w:spacing w:before="60" w:after="60"/>
              <w:rPr>
                <w:rFonts w:ascii="Arial" w:hAnsi="Arial" w:cs="Arial"/>
                <w:sz w:val="17"/>
                <w:szCs w:val="17"/>
              </w:rPr>
            </w:pPr>
            <w:r w:rsidRPr="0010031E">
              <w:rPr>
                <w:rFonts w:ascii="Arial" w:hAnsi="Arial" w:cs="Arial"/>
                <w:sz w:val="17"/>
                <w:szCs w:val="17"/>
              </w:rPr>
              <w:t>Fin fish (muscle and skin in natural proportions)</w:t>
            </w:r>
          </w:p>
        </w:tc>
        <w:tc>
          <w:tcPr>
            <w:tcW w:w="1276" w:type="dxa"/>
            <w:tcBorders>
              <w:top w:val="nil"/>
              <w:left w:val="nil"/>
              <w:bottom w:val="single" w:sz="8" w:space="0" w:color="auto"/>
              <w:right w:val="nil"/>
            </w:tcBorders>
            <w:vAlign w:val="center"/>
          </w:tcPr>
          <w:p w14:paraId="36CF4B07"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737" w:type="dxa"/>
            <w:tcBorders>
              <w:top w:val="nil"/>
              <w:left w:val="nil"/>
              <w:bottom w:val="single" w:sz="8" w:space="0" w:color="auto"/>
              <w:right w:val="nil"/>
            </w:tcBorders>
            <w:vAlign w:val="center"/>
          </w:tcPr>
          <w:p w14:paraId="497E0B02"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277" w:type="dxa"/>
            <w:tcBorders>
              <w:top w:val="nil"/>
              <w:left w:val="nil"/>
              <w:bottom w:val="single" w:sz="8" w:space="0" w:color="auto"/>
              <w:right w:val="nil"/>
            </w:tcBorders>
            <w:vAlign w:val="center"/>
          </w:tcPr>
          <w:p w14:paraId="03791FCD"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c>
          <w:tcPr>
            <w:tcW w:w="993" w:type="dxa"/>
            <w:tcBorders>
              <w:top w:val="nil"/>
              <w:left w:val="nil"/>
              <w:bottom w:val="single" w:sz="8" w:space="0" w:color="auto"/>
              <w:right w:val="nil"/>
            </w:tcBorders>
            <w:vAlign w:val="center"/>
          </w:tcPr>
          <w:p w14:paraId="58C5A74E"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1</w:t>
            </w:r>
          </w:p>
        </w:tc>
        <w:tc>
          <w:tcPr>
            <w:tcW w:w="1277" w:type="dxa"/>
            <w:tcBorders>
              <w:top w:val="nil"/>
              <w:left w:val="nil"/>
              <w:bottom w:val="single" w:sz="8" w:space="0" w:color="auto"/>
              <w:right w:val="nil"/>
            </w:tcBorders>
            <w:vAlign w:val="center"/>
          </w:tcPr>
          <w:p w14:paraId="31B03F24"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759" w:type="dxa"/>
            <w:tcBorders>
              <w:top w:val="nil"/>
              <w:left w:val="nil"/>
              <w:bottom w:val="single" w:sz="8" w:space="0" w:color="auto"/>
              <w:right w:val="nil"/>
            </w:tcBorders>
            <w:vAlign w:val="center"/>
          </w:tcPr>
          <w:p w14:paraId="51731FD2"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0.2</w:t>
            </w:r>
          </w:p>
        </w:tc>
        <w:tc>
          <w:tcPr>
            <w:tcW w:w="944" w:type="dxa"/>
            <w:tcBorders>
              <w:top w:val="nil"/>
              <w:left w:val="nil"/>
              <w:bottom w:val="single" w:sz="8" w:space="0" w:color="auto"/>
              <w:right w:val="nil"/>
            </w:tcBorders>
            <w:vAlign w:val="center"/>
          </w:tcPr>
          <w:p w14:paraId="489889AA" w14:textId="77777777" w:rsidR="00A20526" w:rsidRPr="0010031E" w:rsidRDefault="00A20526" w:rsidP="005250E2">
            <w:pPr>
              <w:pStyle w:val="BodyText0"/>
              <w:spacing w:before="60" w:after="60"/>
              <w:jc w:val="center"/>
              <w:rPr>
                <w:rFonts w:ascii="Arial" w:hAnsi="Arial" w:cs="Arial"/>
                <w:sz w:val="17"/>
                <w:szCs w:val="17"/>
              </w:rPr>
            </w:pPr>
            <w:r w:rsidRPr="0010031E">
              <w:rPr>
                <w:rFonts w:ascii="Arial" w:hAnsi="Arial" w:cs="Arial"/>
                <w:sz w:val="17"/>
                <w:szCs w:val="17"/>
              </w:rPr>
              <w:t>--</w:t>
            </w:r>
          </w:p>
        </w:tc>
        <w:tc>
          <w:tcPr>
            <w:tcW w:w="1100" w:type="dxa"/>
            <w:tcBorders>
              <w:top w:val="nil"/>
              <w:left w:val="nil"/>
              <w:bottom w:val="single" w:sz="8" w:space="0" w:color="auto"/>
              <w:right w:val="nil"/>
            </w:tcBorders>
            <w:vAlign w:val="center"/>
          </w:tcPr>
          <w:p w14:paraId="1EE61873" w14:textId="377F902D" w:rsidR="00A20526" w:rsidRPr="0010031E" w:rsidRDefault="000A5617" w:rsidP="005250E2">
            <w:pPr>
              <w:pStyle w:val="BodyText0"/>
              <w:spacing w:before="60" w:after="60"/>
              <w:jc w:val="center"/>
              <w:rPr>
                <w:rFonts w:ascii="Arial" w:hAnsi="Arial" w:cs="Arial"/>
                <w:sz w:val="17"/>
                <w:szCs w:val="17"/>
                <w:vertAlign w:val="superscript"/>
              </w:rPr>
            </w:pPr>
            <w:r w:rsidRPr="0010031E">
              <w:rPr>
                <w:rFonts w:ascii="Arial" w:hAnsi="Arial" w:cs="Arial"/>
                <w:sz w:val="17"/>
                <w:szCs w:val="17"/>
              </w:rPr>
              <w:t>--</w:t>
            </w:r>
          </w:p>
        </w:tc>
      </w:tr>
    </w:tbl>
    <w:p w14:paraId="68AEEA14" w14:textId="77777777" w:rsidR="00A20526" w:rsidRDefault="00A20526">
      <w:pPr>
        <w:spacing w:line="240" w:lineRule="auto"/>
        <w:rPr>
          <w:rFonts w:ascii="Franklin Gothic Medium" w:hAnsi="Franklin Gothic Medium" w:cs="Arial"/>
          <w:color w:val="00747A" w:themeColor="background2"/>
          <w:sz w:val="28"/>
          <w:szCs w:val="28"/>
          <w:u w:color="000000"/>
        </w:rPr>
      </w:pPr>
      <w:r>
        <w:br w:type="page"/>
      </w:r>
    </w:p>
    <w:p w14:paraId="7421D16B" w14:textId="1A667BFA" w:rsidR="006D36C8" w:rsidRDefault="006D36C8" w:rsidP="00032787">
      <w:pPr>
        <w:pStyle w:val="Heading2"/>
      </w:pPr>
      <w:bookmarkStart w:id="42" w:name="_Toc210810992"/>
      <w:r>
        <w:lastRenderedPageBreak/>
        <w:t xml:space="preserve">Current and proposed Australian MRLs for </w:t>
      </w:r>
      <w:bookmarkEnd w:id="40"/>
      <w:bookmarkEnd w:id="41"/>
      <w:r w:rsidR="00A20526">
        <w:t>florfenicol</w:t>
      </w:r>
      <w:bookmarkEnd w:id="42"/>
    </w:p>
    <w:p w14:paraId="54739A9F" w14:textId="2F83A8D5" w:rsidR="006D36C8" w:rsidRDefault="00383003" w:rsidP="006D36C8">
      <w:pPr>
        <w:pStyle w:val="Caption"/>
      </w:pPr>
      <w:bookmarkStart w:id="43" w:name="_Toc209792704"/>
      <w:bookmarkStart w:id="44" w:name="_Toc252955170"/>
      <w:r>
        <w:t xml:space="preserve">Table </w:t>
      </w:r>
      <w:r w:rsidR="00CF3BFD">
        <w:t>4</w:t>
      </w:r>
      <w:r>
        <w:t>:</w:t>
      </w:r>
      <w:r>
        <w:tab/>
        <w:t>Current MRL Standard—</w:t>
      </w:r>
      <w:r w:rsidR="006D36C8">
        <w:t>Table1</w:t>
      </w:r>
      <w:bookmarkEnd w:id="43"/>
      <w:r w:rsidR="006D36C8">
        <w:t xml:space="preserve"> </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E63AC3">
        <w:trPr>
          <w:tblHeader/>
        </w:trPr>
        <w:tc>
          <w:tcPr>
            <w:tcW w:w="1613" w:type="pct"/>
            <w:tcBorders>
              <w:top w:val="nil"/>
              <w:left w:val="nil"/>
              <w:bottom w:val="single" w:sz="4" w:space="0" w:color="auto"/>
              <w:right w:val="nil"/>
            </w:tcBorders>
            <w:shd w:val="clear" w:color="auto" w:fill="00747A" w:themeFill="background2"/>
          </w:tcPr>
          <w:p w14:paraId="71FFB51A" w14:textId="3EAC0D70" w:rsidR="006D36C8" w:rsidRDefault="007B1953" w:rsidP="00BA67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79D3A37F" w14:textId="451C8F33" w:rsidR="006D36C8" w:rsidRDefault="007B1953" w:rsidP="00BA67F0">
            <w:pPr>
              <w:pStyle w:val="APVMATableHead"/>
            </w:pPr>
            <w:r>
              <w:t>Food</w:t>
            </w:r>
          </w:p>
        </w:tc>
        <w:tc>
          <w:tcPr>
            <w:tcW w:w="995" w:type="pct"/>
            <w:tcBorders>
              <w:top w:val="nil"/>
              <w:left w:val="nil"/>
              <w:bottom w:val="single" w:sz="4" w:space="0" w:color="auto"/>
              <w:right w:val="nil"/>
            </w:tcBorders>
            <w:shd w:val="clear" w:color="auto" w:fill="00747A" w:themeFill="background2"/>
          </w:tcPr>
          <w:p w14:paraId="4734457C" w14:textId="77777777" w:rsidR="006D36C8" w:rsidRDefault="006D36C8" w:rsidP="00BA67F0">
            <w:pPr>
              <w:pStyle w:val="APVMATableHead"/>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5C041770" w:rsidR="006D36C8" w:rsidRDefault="009E5929" w:rsidP="00BA67F0">
            <w:pPr>
              <w:pStyle w:val="MRLActiveName"/>
            </w:pPr>
            <w:r>
              <w:rPr>
                <w:caps w:val="0"/>
              </w:rPr>
              <w:t>Florfenicol</w:t>
            </w:r>
          </w:p>
        </w:tc>
      </w:tr>
      <w:tr w:rsidR="009E5929" w14:paraId="715F5C64" w14:textId="77777777" w:rsidTr="000557D1">
        <w:tc>
          <w:tcPr>
            <w:tcW w:w="1613" w:type="pct"/>
            <w:tcBorders>
              <w:top w:val="single" w:sz="4" w:space="0" w:color="auto"/>
              <w:left w:val="nil"/>
              <w:bottom w:val="single" w:sz="4" w:space="0" w:color="auto"/>
              <w:right w:val="nil"/>
            </w:tcBorders>
            <w:vAlign w:val="bottom"/>
          </w:tcPr>
          <w:p w14:paraId="28A95230" w14:textId="6F335FA9" w:rsidR="009E5929" w:rsidRDefault="009E5929" w:rsidP="009E5929">
            <w:pPr>
              <w:pStyle w:val="APVMATableText"/>
            </w:pPr>
            <w:r w:rsidRPr="009E5929">
              <w:t>MM 0812</w:t>
            </w:r>
          </w:p>
        </w:tc>
        <w:tc>
          <w:tcPr>
            <w:tcW w:w="2392" w:type="pct"/>
            <w:tcBorders>
              <w:top w:val="single" w:sz="4" w:space="0" w:color="auto"/>
              <w:left w:val="nil"/>
              <w:bottom w:val="single" w:sz="4" w:space="0" w:color="auto"/>
              <w:right w:val="nil"/>
            </w:tcBorders>
            <w:vAlign w:val="bottom"/>
          </w:tcPr>
          <w:p w14:paraId="02C2C240" w14:textId="45C37E5D" w:rsidR="009E5929" w:rsidRDefault="009E5929" w:rsidP="009E5929">
            <w:pPr>
              <w:pStyle w:val="APVMATableText"/>
            </w:pPr>
            <w:r w:rsidRPr="009E5929">
              <w:t>Cattle meat</w:t>
            </w:r>
          </w:p>
        </w:tc>
        <w:tc>
          <w:tcPr>
            <w:tcW w:w="995" w:type="pct"/>
            <w:tcBorders>
              <w:top w:val="single" w:sz="4" w:space="0" w:color="auto"/>
              <w:left w:val="nil"/>
              <w:bottom w:val="single" w:sz="4" w:space="0" w:color="auto"/>
              <w:right w:val="nil"/>
            </w:tcBorders>
            <w:vAlign w:val="bottom"/>
          </w:tcPr>
          <w:p w14:paraId="04A2B751" w14:textId="0A64DCDC" w:rsidR="009E5929" w:rsidRDefault="009E5929" w:rsidP="009E5929">
            <w:pPr>
              <w:pStyle w:val="APVMATableText"/>
            </w:pPr>
            <w:r w:rsidRPr="009E5929">
              <w:t>0.3</w:t>
            </w:r>
          </w:p>
        </w:tc>
      </w:tr>
      <w:tr w:rsidR="009E5929" w14:paraId="6A796B39" w14:textId="77777777" w:rsidTr="000557D1">
        <w:tc>
          <w:tcPr>
            <w:tcW w:w="1613" w:type="pct"/>
            <w:tcBorders>
              <w:top w:val="single" w:sz="4" w:space="0" w:color="auto"/>
              <w:left w:val="nil"/>
              <w:bottom w:val="single" w:sz="4" w:space="0" w:color="auto"/>
              <w:right w:val="nil"/>
            </w:tcBorders>
            <w:vAlign w:val="bottom"/>
          </w:tcPr>
          <w:p w14:paraId="7268617A" w14:textId="07DF9CA4" w:rsidR="009E5929" w:rsidRDefault="009E5929" w:rsidP="009E5929">
            <w:pPr>
              <w:pStyle w:val="APVMATableText"/>
            </w:pPr>
            <w:r w:rsidRPr="009E5929">
              <w:t>MO 1280</w:t>
            </w:r>
          </w:p>
        </w:tc>
        <w:tc>
          <w:tcPr>
            <w:tcW w:w="2392" w:type="pct"/>
            <w:tcBorders>
              <w:top w:val="single" w:sz="4" w:space="0" w:color="auto"/>
              <w:left w:val="nil"/>
              <w:bottom w:val="single" w:sz="4" w:space="0" w:color="auto"/>
              <w:right w:val="nil"/>
            </w:tcBorders>
            <w:vAlign w:val="bottom"/>
          </w:tcPr>
          <w:p w14:paraId="29706B4D" w14:textId="29BBA7EE" w:rsidR="009E5929" w:rsidRDefault="009E5929" w:rsidP="009E5929">
            <w:pPr>
              <w:pStyle w:val="APVMATableText"/>
            </w:pPr>
            <w:r w:rsidRPr="009E5929">
              <w:t>Cattle, kidney</w:t>
            </w:r>
          </w:p>
        </w:tc>
        <w:tc>
          <w:tcPr>
            <w:tcW w:w="995" w:type="pct"/>
            <w:tcBorders>
              <w:top w:val="single" w:sz="4" w:space="0" w:color="auto"/>
              <w:left w:val="nil"/>
              <w:bottom w:val="single" w:sz="4" w:space="0" w:color="auto"/>
              <w:right w:val="nil"/>
            </w:tcBorders>
            <w:vAlign w:val="bottom"/>
          </w:tcPr>
          <w:p w14:paraId="58D124B0" w14:textId="15EEBA49" w:rsidR="009E5929" w:rsidRDefault="009E5929" w:rsidP="009E5929">
            <w:pPr>
              <w:pStyle w:val="APVMATableText"/>
            </w:pPr>
            <w:r w:rsidRPr="009E5929">
              <w:t>0.5</w:t>
            </w:r>
          </w:p>
        </w:tc>
      </w:tr>
      <w:tr w:rsidR="009E5929" w14:paraId="4CF27F2D" w14:textId="77777777" w:rsidTr="000557D1">
        <w:tc>
          <w:tcPr>
            <w:tcW w:w="1613" w:type="pct"/>
            <w:tcBorders>
              <w:top w:val="single" w:sz="4" w:space="0" w:color="auto"/>
              <w:left w:val="nil"/>
              <w:bottom w:val="single" w:sz="4" w:space="0" w:color="auto"/>
              <w:right w:val="nil"/>
            </w:tcBorders>
            <w:vAlign w:val="bottom"/>
          </w:tcPr>
          <w:p w14:paraId="4F134A24" w14:textId="36831DDB" w:rsidR="009E5929" w:rsidRDefault="009E5929" w:rsidP="009E5929">
            <w:pPr>
              <w:pStyle w:val="APVMATableText"/>
            </w:pPr>
            <w:r w:rsidRPr="009E5929">
              <w:t>MO 1281</w:t>
            </w:r>
          </w:p>
        </w:tc>
        <w:tc>
          <w:tcPr>
            <w:tcW w:w="2392" w:type="pct"/>
            <w:tcBorders>
              <w:top w:val="single" w:sz="4" w:space="0" w:color="auto"/>
              <w:left w:val="nil"/>
              <w:bottom w:val="single" w:sz="4" w:space="0" w:color="auto"/>
              <w:right w:val="nil"/>
            </w:tcBorders>
            <w:vAlign w:val="bottom"/>
          </w:tcPr>
          <w:p w14:paraId="32101827" w14:textId="7DD4DCB6" w:rsidR="009E5929" w:rsidRDefault="009E5929" w:rsidP="009E5929">
            <w:pPr>
              <w:pStyle w:val="APVMATableText"/>
            </w:pPr>
            <w:r w:rsidRPr="009E5929">
              <w:t>Cattle, liver</w:t>
            </w:r>
          </w:p>
        </w:tc>
        <w:tc>
          <w:tcPr>
            <w:tcW w:w="995" w:type="pct"/>
            <w:tcBorders>
              <w:top w:val="single" w:sz="4" w:space="0" w:color="auto"/>
              <w:left w:val="nil"/>
              <w:bottom w:val="single" w:sz="4" w:space="0" w:color="auto"/>
              <w:right w:val="nil"/>
            </w:tcBorders>
            <w:vAlign w:val="bottom"/>
          </w:tcPr>
          <w:p w14:paraId="2E7B582D" w14:textId="0719033B" w:rsidR="009E5929" w:rsidRDefault="009E5929" w:rsidP="009E5929">
            <w:pPr>
              <w:pStyle w:val="APVMATableText"/>
            </w:pPr>
            <w:r w:rsidRPr="009E5929">
              <w:t>3</w:t>
            </w:r>
          </w:p>
        </w:tc>
      </w:tr>
      <w:tr w:rsidR="009E5929" w14:paraId="47C05D20" w14:textId="77777777" w:rsidTr="000557D1">
        <w:tc>
          <w:tcPr>
            <w:tcW w:w="1613" w:type="pct"/>
            <w:tcBorders>
              <w:top w:val="single" w:sz="4" w:space="0" w:color="auto"/>
              <w:left w:val="nil"/>
              <w:bottom w:val="single" w:sz="4" w:space="0" w:color="auto"/>
              <w:right w:val="nil"/>
            </w:tcBorders>
          </w:tcPr>
          <w:p w14:paraId="0E05D078" w14:textId="659DA009" w:rsidR="009E5929" w:rsidRDefault="009E5929" w:rsidP="009E5929">
            <w:pPr>
              <w:pStyle w:val="APVMATableText"/>
            </w:pPr>
          </w:p>
        </w:tc>
        <w:tc>
          <w:tcPr>
            <w:tcW w:w="2392" w:type="pct"/>
            <w:tcBorders>
              <w:top w:val="single" w:sz="4" w:space="0" w:color="auto"/>
              <w:left w:val="nil"/>
              <w:bottom w:val="single" w:sz="4" w:space="0" w:color="auto"/>
              <w:right w:val="nil"/>
            </w:tcBorders>
            <w:vAlign w:val="bottom"/>
          </w:tcPr>
          <w:p w14:paraId="101B4D62" w14:textId="14185A8D" w:rsidR="009E5929" w:rsidRDefault="009E5929" w:rsidP="009E5929">
            <w:pPr>
              <w:pStyle w:val="APVMATableText"/>
            </w:pPr>
            <w:r w:rsidRPr="009E5929">
              <w:t>Pig fat/skin</w:t>
            </w:r>
          </w:p>
        </w:tc>
        <w:tc>
          <w:tcPr>
            <w:tcW w:w="995" w:type="pct"/>
            <w:tcBorders>
              <w:top w:val="single" w:sz="4" w:space="0" w:color="auto"/>
              <w:left w:val="nil"/>
              <w:bottom w:val="single" w:sz="4" w:space="0" w:color="auto"/>
              <w:right w:val="nil"/>
            </w:tcBorders>
            <w:vAlign w:val="bottom"/>
          </w:tcPr>
          <w:p w14:paraId="02746E84" w14:textId="661534B2" w:rsidR="009E5929" w:rsidRDefault="009E5929" w:rsidP="009E5929">
            <w:pPr>
              <w:pStyle w:val="APVMATableText"/>
            </w:pPr>
            <w:r w:rsidRPr="009E5929">
              <w:t>1</w:t>
            </w:r>
          </w:p>
        </w:tc>
      </w:tr>
      <w:tr w:rsidR="009E5929" w14:paraId="5809A5D3" w14:textId="77777777" w:rsidTr="000557D1">
        <w:tc>
          <w:tcPr>
            <w:tcW w:w="1613" w:type="pct"/>
            <w:tcBorders>
              <w:top w:val="single" w:sz="4" w:space="0" w:color="auto"/>
              <w:left w:val="nil"/>
              <w:bottom w:val="single" w:sz="4" w:space="0" w:color="auto"/>
              <w:right w:val="nil"/>
            </w:tcBorders>
            <w:vAlign w:val="bottom"/>
          </w:tcPr>
          <w:p w14:paraId="0E0F6004" w14:textId="56936D0D" w:rsidR="009E5929" w:rsidRDefault="009E5929" w:rsidP="009E5929">
            <w:pPr>
              <w:pStyle w:val="APVMATableText"/>
            </w:pPr>
            <w:r w:rsidRPr="009E5929">
              <w:t>MM 0818</w:t>
            </w:r>
          </w:p>
        </w:tc>
        <w:tc>
          <w:tcPr>
            <w:tcW w:w="2392" w:type="pct"/>
            <w:tcBorders>
              <w:top w:val="single" w:sz="4" w:space="0" w:color="auto"/>
              <w:left w:val="nil"/>
              <w:bottom w:val="single" w:sz="4" w:space="0" w:color="auto"/>
              <w:right w:val="nil"/>
            </w:tcBorders>
            <w:vAlign w:val="bottom"/>
          </w:tcPr>
          <w:p w14:paraId="7EE32A3A" w14:textId="70CB6423" w:rsidR="009E5929" w:rsidRDefault="009E5929" w:rsidP="009E5929">
            <w:pPr>
              <w:pStyle w:val="APVMATableText"/>
            </w:pPr>
            <w:r w:rsidRPr="009E5929">
              <w:t>Pig meat</w:t>
            </w:r>
          </w:p>
        </w:tc>
        <w:tc>
          <w:tcPr>
            <w:tcW w:w="995" w:type="pct"/>
            <w:tcBorders>
              <w:top w:val="single" w:sz="4" w:space="0" w:color="auto"/>
              <w:left w:val="nil"/>
              <w:bottom w:val="single" w:sz="4" w:space="0" w:color="auto"/>
              <w:right w:val="nil"/>
            </w:tcBorders>
            <w:vAlign w:val="bottom"/>
          </w:tcPr>
          <w:p w14:paraId="6BD7FCC9" w14:textId="45CD7971" w:rsidR="009E5929" w:rsidRDefault="009E5929" w:rsidP="009E5929">
            <w:pPr>
              <w:pStyle w:val="APVMATableText"/>
            </w:pPr>
            <w:r w:rsidRPr="009E5929">
              <w:t>0.5</w:t>
            </w:r>
          </w:p>
        </w:tc>
      </w:tr>
      <w:tr w:rsidR="009E5929" w14:paraId="11012AF1" w14:textId="77777777" w:rsidTr="000557D1">
        <w:tc>
          <w:tcPr>
            <w:tcW w:w="1613" w:type="pct"/>
            <w:tcBorders>
              <w:top w:val="single" w:sz="4" w:space="0" w:color="auto"/>
              <w:left w:val="nil"/>
              <w:bottom w:val="single" w:sz="4" w:space="0" w:color="auto"/>
              <w:right w:val="nil"/>
            </w:tcBorders>
            <w:vAlign w:val="bottom"/>
          </w:tcPr>
          <w:p w14:paraId="39C15DAF" w14:textId="2887A36F" w:rsidR="009E5929" w:rsidRDefault="009E5929" w:rsidP="009E5929">
            <w:pPr>
              <w:pStyle w:val="APVMATableText"/>
            </w:pPr>
            <w:r w:rsidRPr="009E5929">
              <w:t>MO 1284</w:t>
            </w:r>
          </w:p>
        </w:tc>
        <w:tc>
          <w:tcPr>
            <w:tcW w:w="2392" w:type="pct"/>
            <w:tcBorders>
              <w:top w:val="single" w:sz="4" w:space="0" w:color="auto"/>
              <w:left w:val="nil"/>
              <w:bottom w:val="single" w:sz="4" w:space="0" w:color="auto"/>
              <w:right w:val="nil"/>
            </w:tcBorders>
            <w:vAlign w:val="bottom"/>
          </w:tcPr>
          <w:p w14:paraId="4A33D0E0" w14:textId="63D9D409" w:rsidR="009E5929" w:rsidRDefault="009E5929" w:rsidP="009E5929">
            <w:pPr>
              <w:pStyle w:val="APVMATableText"/>
            </w:pPr>
            <w:r w:rsidRPr="009E5929">
              <w:t>Pig, kidney</w:t>
            </w:r>
          </w:p>
        </w:tc>
        <w:tc>
          <w:tcPr>
            <w:tcW w:w="995" w:type="pct"/>
            <w:tcBorders>
              <w:top w:val="single" w:sz="4" w:space="0" w:color="auto"/>
              <w:left w:val="nil"/>
              <w:bottom w:val="single" w:sz="4" w:space="0" w:color="auto"/>
              <w:right w:val="nil"/>
            </w:tcBorders>
            <w:vAlign w:val="bottom"/>
          </w:tcPr>
          <w:p w14:paraId="40E0F419" w14:textId="73D1BFBB" w:rsidR="009E5929" w:rsidRDefault="009E5929" w:rsidP="009E5929">
            <w:pPr>
              <w:pStyle w:val="APVMATableText"/>
            </w:pPr>
            <w:r w:rsidRPr="009E5929">
              <w:t>1</w:t>
            </w:r>
          </w:p>
        </w:tc>
      </w:tr>
      <w:tr w:rsidR="009E5929" w14:paraId="7E92F6AE" w14:textId="77777777" w:rsidTr="000557D1">
        <w:tc>
          <w:tcPr>
            <w:tcW w:w="1613" w:type="pct"/>
            <w:tcBorders>
              <w:top w:val="single" w:sz="4" w:space="0" w:color="auto"/>
              <w:left w:val="nil"/>
              <w:bottom w:val="single" w:sz="4" w:space="0" w:color="auto"/>
              <w:right w:val="nil"/>
            </w:tcBorders>
            <w:vAlign w:val="bottom"/>
          </w:tcPr>
          <w:p w14:paraId="74D91A71" w14:textId="5811122C" w:rsidR="009E5929" w:rsidRDefault="009E5929" w:rsidP="009E5929">
            <w:pPr>
              <w:pStyle w:val="APVMATableText"/>
            </w:pPr>
            <w:r w:rsidRPr="009E5929">
              <w:t>MO 1285</w:t>
            </w:r>
          </w:p>
        </w:tc>
        <w:tc>
          <w:tcPr>
            <w:tcW w:w="2392" w:type="pct"/>
            <w:tcBorders>
              <w:top w:val="single" w:sz="4" w:space="0" w:color="auto"/>
              <w:left w:val="nil"/>
              <w:bottom w:val="single" w:sz="4" w:space="0" w:color="auto"/>
              <w:right w:val="nil"/>
            </w:tcBorders>
            <w:vAlign w:val="bottom"/>
          </w:tcPr>
          <w:p w14:paraId="47D85869" w14:textId="01CD7E2A" w:rsidR="009E5929" w:rsidRDefault="009E5929" w:rsidP="009E5929">
            <w:pPr>
              <w:pStyle w:val="APVMATableText"/>
            </w:pPr>
            <w:r w:rsidRPr="009E5929">
              <w:t>Pig, liver</w:t>
            </w:r>
          </w:p>
        </w:tc>
        <w:tc>
          <w:tcPr>
            <w:tcW w:w="995" w:type="pct"/>
            <w:tcBorders>
              <w:top w:val="single" w:sz="4" w:space="0" w:color="auto"/>
              <w:left w:val="nil"/>
              <w:bottom w:val="single" w:sz="4" w:space="0" w:color="auto"/>
              <w:right w:val="nil"/>
            </w:tcBorders>
            <w:vAlign w:val="bottom"/>
          </w:tcPr>
          <w:p w14:paraId="51C49B9F" w14:textId="6540D08C" w:rsidR="009E5929" w:rsidRDefault="009E5929" w:rsidP="009E5929">
            <w:pPr>
              <w:pStyle w:val="APVMATableText"/>
            </w:pPr>
            <w:r w:rsidRPr="009E5929">
              <w:t>3</w:t>
            </w:r>
          </w:p>
        </w:tc>
      </w:tr>
    </w:tbl>
    <w:p w14:paraId="670E5BD5" w14:textId="754919B1" w:rsidR="006D36C8" w:rsidRDefault="00383003" w:rsidP="006D36C8">
      <w:pPr>
        <w:pStyle w:val="Caption"/>
      </w:pPr>
      <w:bookmarkStart w:id="45" w:name="_Toc209792705"/>
      <w:bookmarkStart w:id="46" w:name="_Toc252955171"/>
      <w:r>
        <w:t xml:space="preserve">Table </w:t>
      </w:r>
      <w:r w:rsidR="00CF3BFD">
        <w:t>5</w:t>
      </w:r>
      <w:r>
        <w:t>:</w:t>
      </w:r>
      <w:r>
        <w:tab/>
        <w:t>Proposed MRL Standard—</w:t>
      </w:r>
      <w:r w:rsidR="006D36C8">
        <w:t>Table1</w:t>
      </w:r>
      <w:bookmarkEnd w:id="45"/>
      <w:r w:rsidR="006D36C8">
        <w:t xml:space="preserve"> </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E63AC3">
        <w:trPr>
          <w:cantSplit/>
          <w:tblHeader/>
        </w:trPr>
        <w:tc>
          <w:tcPr>
            <w:tcW w:w="1613" w:type="pct"/>
            <w:tcBorders>
              <w:top w:val="nil"/>
              <w:left w:val="nil"/>
              <w:bottom w:val="single" w:sz="4" w:space="0" w:color="auto"/>
              <w:right w:val="nil"/>
            </w:tcBorders>
            <w:shd w:val="clear" w:color="auto" w:fill="00747A" w:themeFill="background2"/>
          </w:tcPr>
          <w:p w14:paraId="2CE5E680" w14:textId="0E5CCAB7" w:rsidR="006D36C8" w:rsidRDefault="007B1953" w:rsidP="00BA67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0AC89A77" w14:textId="0946AE02" w:rsidR="006D36C8" w:rsidRDefault="007B1953" w:rsidP="00BA67F0">
            <w:pPr>
              <w:pStyle w:val="APVMATableHead"/>
            </w:pPr>
            <w:r>
              <w:t>Food</w:t>
            </w:r>
          </w:p>
        </w:tc>
        <w:tc>
          <w:tcPr>
            <w:tcW w:w="995" w:type="pct"/>
            <w:tcBorders>
              <w:top w:val="nil"/>
              <w:left w:val="nil"/>
              <w:bottom w:val="single" w:sz="4" w:space="0" w:color="auto"/>
              <w:right w:val="nil"/>
            </w:tcBorders>
            <w:shd w:val="clear" w:color="auto" w:fill="00747A" w:themeFill="background2"/>
          </w:tcPr>
          <w:p w14:paraId="4CDA722A" w14:textId="77777777" w:rsidR="006D36C8" w:rsidRDefault="006D36C8" w:rsidP="00BA67F0">
            <w:pPr>
              <w:pStyle w:val="APVMATableHead"/>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4C30BE64" w:rsidR="006D36C8" w:rsidRDefault="009E5929" w:rsidP="00BA67F0">
            <w:pPr>
              <w:pStyle w:val="MRLActiveName"/>
            </w:pPr>
            <w:r>
              <w:rPr>
                <w:caps w:val="0"/>
              </w:rPr>
              <w:t>Florfenicol</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368E2">
            <w:pPr>
              <w:pStyle w:val="APVMATableText"/>
            </w:pPr>
          </w:p>
        </w:tc>
      </w:tr>
      <w:tr w:rsidR="009E5929" w14:paraId="10ABB81C" w14:textId="77777777" w:rsidTr="00E63AC3">
        <w:trPr>
          <w:cantSplit/>
        </w:trPr>
        <w:tc>
          <w:tcPr>
            <w:tcW w:w="1613" w:type="pct"/>
            <w:tcBorders>
              <w:top w:val="single" w:sz="4" w:space="0" w:color="auto"/>
              <w:left w:val="nil"/>
              <w:bottom w:val="single" w:sz="4" w:space="0" w:color="auto"/>
              <w:right w:val="nil"/>
            </w:tcBorders>
          </w:tcPr>
          <w:p w14:paraId="16B2FC12" w14:textId="0510B058" w:rsidR="009E5929" w:rsidRDefault="009E5929" w:rsidP="009E5929">
            <w:pPr>
              <w:pStyle w:val="APVMATableText"/>
            </w:pPr>
            <w:r w:rsidRPr="00900E23">
              <w:t>WD</w:t>
            </w:r>
            <w:r>
              <w:t xml:space="preserve"> 0893</w:t>
            </w:r>
          </w:p>
        </w:tc>
        <w:tc>
          <w:tcPr>
            <w:tcW w:w="2392" w:type="pct"/>
            <w:tcBorders>
              <w:top w:val="single" w:sz="4" w:space="0" w:color="auto"/>
              <w:left w:val="nil"/>
              <w:bottom w:val="single" w:sz="4" w:space="0" w:color="auto"/>
              <w:right w:val="nil"/>
            </w:tcBorders>
          </w:tcPr>
          <w:p w14:paraId="6B7CF77B" w14:textId="42869C82" w:rsidR="009E5929" w:rsidRDefault="00F726E3" w:rsidP="009E5929">
            <w:pPr>
              <w:pStyle w:val="APVMATableText"/>
            </w:pPr>
            <w:r w:rsidRPr="00900E23">
              <w:t>Atlantic Salmons</w:t>
            </w:r>
          </w:p>
        </w:tc>
        <w:tc>
          <w:tcPr>
            <w:tcW w:w="995" w:type="pct"/>
            <w:tcBorders>
              <w:top w:val="single" w:sz="4" w:space="0" w:color="auto"/>
              <w:left w:val="nil"/>
              <w:bottom w:val="single" w:sz="4" w:space="0" w:color="auto"/>
              <w:right w:val="nil"/>
            </w:tcBorders>
          </w:tcPr>
          <w:p w14:paraId="342F2BAF" w14:textId="426884EF" w:rsidR="009E5929" w:rsidRDefault="00F726E3" w:rsidP="009E5929">
            <w:pPr>
              <w:pStyle w:val="APVMATableText"/>
            </w:pPr>
            <w:r>
              <w:t>T1</w:t>
            </w:r>
          </w:p>
        </w:tc>
      </w:tr>
    </w:tbl>
    <w:p w14:paraId="7EB220B5" w14:textId="77777777" w:rsidR="006D36C8" w:rsidRDefault="006D36C8" w:rsidP="007B1953">
      <w:pPr>
        <w:pStyle w:val="Heading2"/>
      </w:pPr>
      <w:bookmarkStart w:id="47" w:name="_Toc231889751"/>
      <w:bookmarkStart w:id="48" w:name="_Toc2243854"/>
      <w:bookmarkStart w:id="49" w:name="_Toc210810993"/>
      <w:r w:rsidRPr="00032787">
        <w:t>Potential</w:t>
      </w:r>
      <w:r>
        <w:t xml:space="preserve"> risk to trade</w:t>
      </w:r>
      <w:bookmarkEnd w:id="47"/>
      <w:bookmarkEnd w:id="48"/>
      <w:bookmarkEnd w:id="49"/>
    </w:p>
    <w:p w14:paraId="25A30F35" w14:textId="16F3A34E" w:rsidR="0001223A" w:rsidRDefault="00EC70CD" w:rsidP="00B265B4">
      <w:pPr>
        <w:pStyle w:val="APVMAText"/>
      </w:pPr>
      <w:r>
        <w:t xml:space="preserve">Export of treated salmon containing finite (measurable) residues of florfenicol </w:t>
      </w:r>
      <w:r w:rsidRPr="00092BB9">
        <w:t>pose a risk to Australian trade in situations where (</w:t>
      </w:r>
      <w:proofErr w:type="spellStart"/>
      <w:r w:rsidRPr="00092BB9">
        <w:t>i</w:t>
      </w:r>
      <w:proofErr w:type="spellEnd"/>
      <w:r w:rsidRPr="00092BB9">
        <w:t xml:space="preserve">) no residue tolerance (import tolerance) is established in the importing country or (ii) where residues in Australian </w:t>
      </w:r>
      <w:r>
        <w:t>commodities</w:t>
      </w:r>
      <w:r w:rsidRPr="00092BB9">
        <w:t xml:space="preserve"> are likely to exceed a residue tolerance (import tolerance) established in the importing country.</w:t>
      </w:r>
    </w:p>
    <w:p w14:paraId="446FCCD1" w14:textId="2B48DF16" w:rsidR="00B265B4" w:rsidRDefault="0001223A" w:rsidP="00B265B4">
      <w:pPr>
        <w:pStyle w:val="APVMAText"/>
      </w:pPr>
      <w:r w:rsidRPr="0001223A">
        <w:t xml:space="preserve">A finite temporary MRL for Atlantic salmon is proposed at 1 mg/kg in support of the emergency permit with a </w:t>
      </w:r>
      <w:proofErr w:type="gramStart"/>
      <w:r w:rsidRPr="0001223A">
        <w:t>300 degree-day</w:t>
      </w:r>
      <w:proofErr w:type="gramEnd"/>
      <w:r w:rsidRPr="0001223A">
        <w:t xml:space="preserve"> withholding period. Florfenicol residues at the proposed Australian TMRL may lead to a potential risk to trade in Atlantic salmon commodities where export markets do not have an established MRL.</w:t>
      </w:r>
    </w:p>
    <w:p w14:paraId="1062A7C5" w14:textId="13B727AD" w:rsidR="0051423F" w:rsidRDefault="0001223A" w:rsidP="00F726E3">
      <w:pPr>
        <w:spacing w:before="240" w:after="240" w:line="280" w:lineRule="atLeast"/>
      </w:pPr>
      <w:r w:rsidRPr="00F726E3">
        <w:rPr>
          <w:rFonts w:cs="Arial"/>
          <w:u w:color="000000"/>
        </w:rPr>
        <w:t>As not all international markets have established florfenicol MRLs for salmon, the validated LOQ of 0.05 mg/kg presented in</w:t>
      </w:r>
      <w:r w:rsidR="00C66457" w:rsidRPr="00F726E3">
        <w:rPr>
          <w:rFonts w:cs="Arial"/>
          <w:u w:color="000000"/>
        </w:rPr>
        <w:t xml:space="preserve"> Meinertz JR </w:t>
      </w:r>
      <w:r w:rsidR="00C66457" w:rsidRPr="00F726E3">
        <w:rPr>
          <w:rFonts w:cs="Arial"/>
          <w:i/>
          <w:iCs/>
          <w:u w:color="000000"/>
        </w:rPr>
        <w:t>et al.</w:t>
      </w:r>
      <w:r w:rsidR="00C66457" w:rsidRPr="00F726E3">
        <w:rPr>
          <w:rFonts w:cs="Arial"/>
          <w:u w:color="000000"/>
        </w:rPr>
        <w:t xml:space="preserve"> 2014</w:t>
      </w:r>
      <w:r w:rsidRPr="00F726E3">
        <w:rPr>
          <w:rFonts w:cs="Arial"/>
          <w:u w:color="000000"/>
        </w:rPr>
        <w:t xml:space="preserve"> </w:t>
      </w:r>
      <w:proofErr w:type="gramStart"/>
      <w:r w:rsidRPr="00F726E3">
        <w:rPr>
          <w:rFonts w:cs="Arial"/>
          <w:u w:color="000000"/>
        </w:rPr>
        <w:t>is considered to be</w:t>
      </w:r>
      <w:proofErr w:type="gramEnd"/>
      <w:r w:rsidRPr="00F726E3">
        <w:rPr>
          <w:rFonts w:cs="Arial"/>
          <w:u w:color="000000"/>
        </w:rPr>
        <w:t xml:space="preserve"> the appropriate export slaughter interval (ESI) endpoint at this time.</w:t>
      </w:r>
      <w:r w:rsidR="00C66457" w:rsidRPr="00F726E3">
        <w:rPr>
          <w:rFonts w:cs="Arial"/>
          <w:u w:color="000000"/>
        </w:rPr>
        <w:t xml:space="preserve"> </w:t>
      </w:r>
      <w:r w:rsidR="0051423F" w:rsidRPr="00F726E3">
        <w:rPr>
          <w:rFonts w:cs="Arial"/>
          <w:u w:color="000000"/>
        </w:rPr>
        <w:t>Using the highest observed residue value of 16.89 mg/kg at the 6-hour time point from the flow-through system and the longest half-life estimation of 3.0 days (half-lives ranged from 0.82 to 3.0 days in Rainbow trout at temperatures of 8-15°C, and from 1.7 to 2.6 days in Atlantic Salmon at temperatures of 3-14°C), it would take approximately 25 days for residues to decline below 0.05 mg/kg. This would equate to approximately 325 degree-days (25 days × 13°C).</w:t>
      </w:r>
      <w:r w:rsidR="00C66457" w:rsidRPr="00F726E3">
        <w:rPr>
          <w:rFonts w:cs="Arial"/>
          <w:u w:color="000000"/>
        </w:rPr>
        <w:t xml:space="preserve"> </w:t>
      </w:r>
      <w:r w:rsidR="0051423F" w:rsidRPr="00F726E3">
        <w:rPr>
          <w:rFonts w:cs="Arial"/>
          <w:u w:color="000000"/>
        </w:rPr>
        <w:t xml:space="preserve">An additional safety factor of 14 days </w:t>
      </w:r>
      <w:r w:rsidR="0051423F" w:rsidRPr="00F726E3">
        <w:rPr>
          <w:rFonts w:cs="Arial"/>
          <w:u w:color="000000"/>
        </w:rPr>
        <w:lastRenderedPageBreak/>
        <w:t>(182 degree-days at the study temperature of 13°C) will be added to the estimated ESI to ensure residues</w:t>
      </w:r>
      <w:r w:rsidR="0051423F">
        <w:t xml:space="preserve"> fall below 0.05 mg/kg. </w:t>
      </w:r>
      <w:r w:rsidR="0051423F" w:rsidRPr="0051423F">
        <w:t>Therefore, a 500 degree-day ESI</w:t>
      </w:r>
      <w:r w:rsidR="0051423F">
        <w:t xml:space="preserve"> is recommended </w:t>
      </w:r>
      <w:bookmarkStart w:id="50" w:name="_Hlk209792610"/>
      <w:r w:rsidR="0051423F">
        <w:t xml:space="preserve">for the permit to minimise the risk to trade from exported salmon treated following a rate of 20 mg/kg </w:t>
      </w:r>
      <w:proofErr w:type="spellStart"/>
      <w:r w:rsidR="0051423F">
        <w:t>bw</w:t>
      </w:r>
      <w:proofErr w:type="spellEnd"/>
      <w:r w:rsidR="0051423F">
        <w:t xml:space="preserve"> for 10 consecutive days.</w:t>
      </w:r>
    </w:p>
    <w:bookmarkEnd w:id="50"/>
    <w:p w14:paraId="0751BEE5" w14:textId="155B9838" w:rsidR="0001223A" w:rsidRPr="00B265B4" w:rsidRDefault="00413D39" w:rsidP="008A31C1">
      <w:pPr>
        <w:pStyle w:val="APVMAText"/>
        <w:spacing w:line="280" w:lineRule="atLeast"/>
        <w:sectPr w:rsidR="0001223A" w:rsidRPr="00B265B4">
          <w:headerReference w:type="even" r:id="rId25"/>
          <w:pgSz w:w="11906" w:h="16838" w:code="9"/>
          <w:pgMar w:top="2835" w:right="1134" w:bottom="1134" w:left="1134" w:header="1701" w:footer="680" w:gutter="0"/>
          <w:cols w:space="708"/>
          <w:docGrid w:linePitch="360"/>
        </w:sectPr>
      </w:pPr>
      <w:r w:rsidRPr="00413D39">
        <w:t xml:space="preserve">Comment is sought from relevant industry groups on the potential risk to Australia trade from the proposed use of </w:t>
      </w:r>
      <w:r>
        <w:t>florfenicol</w:t>
      </w:r>
      <w:r w:rsidRPr="00413D39">
        <w:t xml:space="preserve"> on </w:t>
      </w:r>
      <w:r>
        <w:t>Atlantic salmon</w:t>
      </w:r>
      <w:r w:rsidRPr="00413D39">
        <w:t xml:space="preserve"> under this emergency permit.</w:t>
      </w:r>
    </w:p>
    <w:p w14:paraId="66150D10" w14:textId="664325A4" w:rsidR="002E20AC" w:rsidRDefault="007B1953" w:rsidP="007B1953">
      <w:pPr>
        <w:pStyle w:val="Heading1"/>
      </w:pPr>
      <w:bookmarkStart w:id="51" w:name="_Toc210810994"/>
      <w:r>
        <w:lastRenderedPageBreak/>
        <w:t>C</w:t>
      </w:r>
      <w:r w:rsidR="006D36C8">
        <w:t>onclusion</w:t>
      </w:r>
      <w:bookmarkEnd w:id="51"/>
    </w:p>
    <w:p w14:paraId="1A9C68A4" w14:textId="75EB4AB9" w:rsidR="009D452E" w:rsidRDefault="00413D39" w:rsidP="00413D39">
      <w:pPr>
        <w:pStyle w:val="NormalText"/>
        <w:rPr>
          <w:kern w:val="0"/>
          <w:sz w:val="20"/>
        </w:rPr>
      </w:pPr>
      <w:r w:rsidRPr="00413D39">
        <w:rPr>
          <w:kern w:val="0"/>
          <w:sz w:val="20"/>
        </w:rPr>
        <w:t xml:space="preserve">Abbey Laboratories Pty Ltd </w:t>
      </w:r>
      <w:r w:rsidR="000145C6">
        <w:rPr>
          <w:kern w:val="0"/>
          <w:sz w:val="20"/>
        </w:rPr>
        <w:t>h</w:t>
      </w:r>
      <w:r w:rsidRPr="00413D39">
        <w:rPr>
          <w:kern w:val="0"/>
          <w:sz w:val="20"/>
        </w:rPr>
        <w:t xml:space="preserve">as applied for an emergency permit for use of </w:t>
      </w:r>
      <w:proofErr w:type="spellStart"/>
      <w:r w:rsidRPr="00413D39">
        <w:rPr>
          <w:kern w:val="0"/>
          <w:sz w:val="20"/>
        </w:rPr>
        <w:t>Abb</w:t>
      </w:r>
      <w:r w:rsidR="00950C7A">
        <w:rPr>
          <w:kern w:val="0"/>
          <w:sz w:val="20"/>
        </w:rPr>
        <w:t>e</w:t>
      </w:r>
      <w:r w:rsidRPr="00413D39">
        <w:rPr>
          <w:kern w:val="0"/>
          <w:sz w:val="20"/>
        </w:rPr>
        <w:t>yFlor</w:t>
      </w:r>
      <w:proofErr w:type="spellEnd"/>
      <w:r w:rsidRPr="00413D39">
        <w:rPr>
          <w:kern w:val="0"/>
          <w:sz w:val="20"/>
        </w:rPr>
        <w:t xml:space="preserve"> Premix Concentrate for Pigs (81128) containing florfenicol for use on Atlantic salmon.</w:t>
      </w:r>
    </w:p>
    <w:p w14:paraId="6C75C893" w14:textId="0BEAAFCD" w:rsidR="00413D39" w:rsidRPr="00413D39" w:rsidRDefault="00413D39" w:rsidP="00413D39">
      <w:pPr>
        <w:pStyle w:val="NormalText"/>
        <w:rPr>
          <w:kern w:val="0"/>
          <w:sz w:val="20"/>
        </w:rPr>
      </w:pPr>
      <w:r w:rsidRPr="00413D39">
        <w:rPr>
          <w:kern w:val="0"/>
          <w:sz w:val="20"/>
        </w:rPr>
        <w:t>Comment is sought on the potential for the proposed use to prejudice Australian trade.</w:t>
      </w:r>
    </w:p>
    <w:sectPr w:rsidR="00413D39" w:rsidRPr="00413D39">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88CF" w14:textId="77777777" w:rsidR="00AC1A13" w:rsidRDefault="00AC1A13">
      <w:r>
        <w:separator/>
      </w:r>
    </w:p>
    <w:p w14:paraId="0A175AF9" w14:textId="77777777" w:rsidR="00AC1A13" w:rsidRDefault="00AC1A13"/>
    <w:p w14:paraId="3D09B9E8" w14:textId="77777777" w:rsidR="00AC1A13" w:rsidRDefault="00AC1A13"/>
  </w:endnote>
  <w:endnote w:type="continuationSeparator" w:id="0">
    <w:p w14:paraId="2AAAC4BC" w14:textId="77777777" w:rsidR="00AC1A13" w:rsidRDefault="00AC1A13">
      <w:r>
        <w:continuationSeparator/>
      </w:r>
    </w:p>
    <w:p w14:paraId="744A1C03" w14:textId="77777777" w:rsidR="00AC1A13" w:rsidRDefault="00AC1A13"/>
    <w:p w14:paraId="5A219660" w14:textId="77777777" w:rsidR="00AC1A13" w:rsidRDefault="00AC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7D13" w14:textId="77777777" w:rsidR="00AC1A13" w:rsidRDefault="00AC1A13">
      <w:r>
        <w:separator/>
      </w:r>
    </w:p>
  </w:footnote>
  <w:footnote w:type="continuationSeparator" w:id="0">
    <w:p w14:paraId="6A0E9F54" w14:textId="77777777" w:rsidR="00AC1A13" w:rsidRDefault="00AC1A13">
      <w:pPr>
        <w:spacing w:line="180" w:lineRule="exact"/>
        <w:rPr>
          <w:sz w:val="16"/>
        </w:rPr>
      </w:pPr>
      <w:r>
        <w:rPr>
          <w:sz w:val="16"/>
        </w:rPr>
        <w:continuationSeparator/>
      </w:r>
    </w:p>
    <w:p w14:paraId="4E0353DF" w14:textId="77777777" w:rsidR="00AC1A13" w:rsidRDefault="00AC1A13"/>
    <w:p w14:paraId="70B5839A" w14:textId="77777777" w:rsidR="00AC1A13" w:rsidRDefault="00AC1A13"/>
  </w:footnote>
  <w:footnote w:type="continuationNotice" w:id="1">
    <w:p w14:paraId="0BBD4C75" w14:textId="77777777" w:rsidR="00AC1A13" w:rsidRDefault="00AC1A13"/>
    <w:p w14:paraId="782AD714" w14:textId="77777777" w:rsidR="00AC1A13" w:rsidRDefault="00AC1A13"/>
    <w:p w14:paraId="1E8A0B69" w14:textId="77777777" w:rsidR="00AC1A13" w:rsidRDefault="00AC1A13"/>
  </w:footnote>
  <w:footnote w:id="2">
    <w:p w14:paraId="7545BB88" w14:textId="0FC930A2" w:rsidR="00801167" w:rsidRDefault="00801167">
      <w:pPr>
        <w:pStyle w:val="FootnoteText"/>
      </w:pPr>
      <w:r>
        <w:rPr>
          <w:rStyle w:val="FootnoteReference"/>
        </w:rPr>
        <w:footnoteRef/>
      </w:r>
      <w:r>
        <w:t xml:space="preserve"> Australian Pesticides and Veterinary Medicines Authority, Veterinary</w:t>
      </w:r>
      <w:r w:rsidRPr="00801167">
        <w:t xml:space="preserve"> </w:t>
      </w:r>
      <w:r>
        <w:t xml:space="preserve">Data guidelines – Overseas trade (Part5B) – </w:t>
      </w:r>
      <w:hyperlink r:id="rId1" w:history="1">
        <w:r w:rsidRPr="00801167">
          <w:rPr>
            <w:rStyle w:val="Hyperlink"/>
          </w:rPr>
          <w:t>APVMA Website</w:t>
        </w:r>
      </w:hyperlink>
      <w:r>
        <w:t xml:space="preserve">, accessed October 2025 </w:t>
      </w:r>
    </w:p>
  </w:footnote>
  <w:footnote w:id="3">
    <w:p w14:paraId="45BF4A10" w14:textId="69C7D0CE" w:rsidR="00801167" w:rsidRDefault="00801167">
      <w:pPr>
        <w:pStyle w:val="FootnoteText"/>
      </w:pPr>
      <w:r>
        <w:rPr>
          <w:rStyle w:val="FootnoteReference"/>
        </w:rPr>
        <w:footnoteRef/>
      </w:r>
      <w:r>
        <w:t xml:space="preserve"> </w:t>
      </w:r>
      <w:r w:rsidRPr="00801167">
        <w:t xml:space="preserve">Australian Bureau of Agricultural and Resource Economics and Sciences (ABARES) – Trade Dashboard – Salmon – </w:t>
      </w:r>
      <w:hyperlink r:id="rId2" w:history="1">
        <w:r w:rsidRPr="00C80F15">
          <w:rPr>
            <w:rStyle w:val="Hyperlink"/>
          </w:rPr>
          <w:t>Link</w:t>
        </w:r>
      </w:hyperlink>
      <w:r w:rsidR="000A5617">
        <w:t>, accessed October 2025</w:t>
      </w:r>
    </w:p>
  </w:footnote>
  <w:footnote w:id="4">
    <w:p w14:paraId="28E11BAA" w14:textId="5A91D4F4" w:rsidR="003C2CB7" w:rsidRDefault="003C2CB7">
      <w:pPr>
        <w:pStyle w:val="FootnoteText"/>
      </w:pPr>
      <w:r>
        <w:rPr>
          <w:rStyle w:val="FootnoteReference"/>
        </w:rPr>
        <w:footnoteRef/>
      </w:r>
      <w:r>
        <w:t xml:space="preserve"> </w:t>
      </w:r>
      <w:bookmarkStart w:id="31" w:name="_Hlk207877786"/>
      <w:r>
        <w:t xml:space="preserve">Meinertz JR </w:t>
      </w:r>
      <w:r w:rsidRPr="003C2CB7">
        <w:rPr>
          <w:i/>
          <w:iCs/>
        </w:rPr>
        <w:t>et al.</w:t>
      </w:r>
      <w:r>
        <w:t xml:space="preserve"> 2014</w:t>
      </w:r>
      <w:bookmarkEnd w:id="31"/>
      <w:r>
        <w:t xml:space="preserve">. Florfenicol Residues in Rainbow Trout after Oral Dosing in Recirculating and Flow-through Culture Systems. </w:t>
      </w:r>
      <w:r w:rsidRPr="006B6315">
        <w:t>Journal of Aquatic Animal Health 26:243–250</w:t>
      </w:r>
    </w:p>
  </w:footnote>
  <w:footnote w:id="5">
    <w:p w14:paraId="689A82BC" w14:textId="31A2526B"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CODEX Alimentarius – MRLs for Residues of Pesticides in Food – </w:t>
      </w:r>
      <w:hyperlink r:id="rId3" w:history="1">
        <w:r w:rsidRPr="00A20526">
          <w:rPr>
            <w:rStyle w:val="Hyperlink"/>
            <w:szCs w:val="16"/>
          </w:rPr>
          <w:t>Link</w:t>
        </w:r>
      </w:hyperlink>
      <w:r w:rsidR="000A5617">
        <w:t>, accessed October 2025</w:t>
      </w:r>
    </w:p>
  </w:footnote>
  <w:footnote w:id="6">
    <w:p w14:paraId="0A96539F" w14:textId="3B4095B5"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European Commission – EUR-Lex– Florfenicol – </w:t>
      </w:r>
      <w:hyperlink r:id="rId4" w:history="1">
        <w:r w:rsidRPr="000A5617">
          <w:rPr>
            <w:rStyle w:val="Hyperlink"/>
          </w:rPr>
          <w:t>Link</w:t>
        </w:r>
      </w:hyperlink>
      <w:r w:rsidR="000A5617">
        <w:t>, accessed October 2025</w:t>
      </w:r>
    </w:p>
  </w:footnote>
  <w:footnote w:id="7">
    <w:p w14:paraId="4412AEC3" w14:textId="37BC1B7E" w:rsidR="00A20526" w:rsidRPr="00A20526" w:rsidRDefault="00A20526" w:rsidP="00A20526">
      <w:pPr>
        <w:pStyle w:val="FootnoteText"/>
        <w:ind w:left="198" w:hanging="198"/>
        <w:rPr>
          <w:szCs w:val="16"/>
        </w:rPr>
      </w:pPr>
      <w:r w:rsidRPr="00A20526">
        <w:rPr>
          <w:szCs w:val="16"/>
          <w:vertAlign w:val="superscript"/>
        </w:rPr>
        <w:footnoteRef/>
      </w:r>
      <w:r w:rsidRPr="00A20526">
        <w:rPr>
          <w:szCs w:val="16"/>
          <w:vertAlign w:val="superscript"/>
        </w:rPr>
        <w:t xml:space="preserve"> </w:t>
      </w:r>
      <w:r w:rsidRPr="00A20526">
        <w:rPr>
          <w:szCs w:val="16"/>
        </w:rPr>
        <w:t xml:space="preserve">Global Agricultural Information Network (GAIN) Report – China Publishes Maximum Residue Limits for Veterinary Drugs in Food - </w:t>
      </w:r>
      <w:hyperlink r:id="rId5" w:history="1">
        <w:r w:rsidRPr="00A20526">
          <w:rPr>
            <w:rStyle w:val="Hyperlink"/>
            <w:szCs w:val="16"/>
          </w:rPr>
          <w:t>Link</w:t>
        </w:r>
      </w:hyperlink>
      <w:r w:rsidR="000A5617">
        <w:t>, accessed October 2025</w:t>
      </w:r>
    </w:p>
  </w:footnote>
  <w:footnote w:id="8">
    <w:p w14:paraId="1BC74AEE" w14:textId="72DC9CE7"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The Japan Food Chemical Research Foundation – Florfenicol – </w:t>
      </w:r>
      <w:hyperlink r:id="rId6" w:history="1">
        <w:r w:rsidRPr="00A20526">
          <w:rPr>
            <w:rStyle w:val="Hyperlink"/>
            <w:szCs w:val="16"/>
          </w:rPr>
          <w:t>Link</w:t>
        </w:r>
      </w:hyperlink>
      <w:r w:rsidR="000A5617">
        <w:t>, accessed October 2025</w:t>
      </w:r>
    </w:p>
  </w:footnote>
  <w:footnote w:id="9">
    <w:p w14:paraId="47924901" w14:textId="34FE0431"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Korean Residue material information (Pesticides and Veterinary Drugs Information) – Florfenicol – </w:t>
      </w:r>
      <w:hyperlink r:id="rId7" w:history="1">
        <w:r w:rsidRPr="00A20526">
          <w:rPr>
            <w:rStyle w:val="Hyperlink"/>
            <w:szCs w:val="16"/>
          </w:rPr>
          <w:t>Link</w:t>
        </w:r>
      </w:hyperlink>
      <w:r w:rsidR="000A5617">
        <w:t>, accessed October 2025</w:t>
      </w:r>
    </w:p>
  </w:footnote>
  <w:footnote w:id="10">
    <w:p w14:paraId="52077C36" w14:textId="2A23569A"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Taiwan Food and Drug Administration – Standards for Pesticide Residue Limits in Foods – </w:t>
      </w:r>
      <w:hyperlink r:id="rId8" w:history="1">
        <w:r w:rsidRPr="00A20526">
          <w:rPr>
            <w:rStyle w:val="Hyperlink"/>
            <w:szCs w:val="16"/>
          </w:rPr>
          <w:t>Link</w:t>
        </w:r>
      </w:hyperlink>
      <w:r w:rsidR="000A5617">
        <w:t>, accessed October 2025</w:t>
      </w:r>
    </w:p>
  </w:footnote>
  <w:footnote w:id="11">
    <w:p w14:paraId="0434FD16" w14:textId="21551EB2" w:rsidR="00A20526" w:rsidRPr="00A20526" w:rsidRDefault="00A20526" w:rsidP="00A20526">
      <w:pPr>
        <w:pStyle w:val="FootnoteText"/>
        <w:rPr>
          <w:szCs w:val="16"/>
        </w:rPr>
      </w:pPr>
      <w:r w:rsidRPr="00A20526">
        <w:rPr>
          <w:rStyle w:val="FootnoteReference"/>
          <w:szCs w:val="16"/>
        </w:rPr>
        <w:footnoteRef/>
      </w:r>
      <w:r w:rsidRPr="00A20526">
        <w:rPr>
          <w:szCs w:val="16"/>
        </w:rPr>
        <w:t xml:space="preserve"> USFDA CFR Title 40 – § 556.283 Florfenicol – </w:t>
      </w:r>
      <w:hyperlink r:id="rId9" w:history="1">
        <w:r w:rsidRPr="00A20526">
          <w:rPr>
            <w:rStyle w:val="Hyperlink"/>
            <w:szCs w:val="16"/>
          </w:rPr>
          <w:t>Link</w:t>
        </w:r>
      </w:hyperlink>
      <w:r w:rsidR="000A5617">
        <w:t>, accessed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3C1CF81A" w:rsidR="007B1953" w:rsidRDefault="007B1953" w:rsidP="007B1953">
    <w:pPr>
      <w:pStyle w:val="APVMAOddHeader"/>
    </w:pPr>
    <w:r>
      <w:tab/>
    </w:r>
    <w:r w:rsidR="00600757">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2FAF9963"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w:t>
    </w:r>
    <w:r w:rsidR="00B94833" w:rsidRPr="00B94833">
      <w:t xml:space="preserve">on </w:t>
    </w:r>
    <w:r w:rsidR="00A530BF">
      <w:t>f</w:t>
    </w:r>
    <w:r w:rsidR="00B94833" w:rsidRPr="00B94833">
      <w:t xml:space="preserve">lorfenicol for emergency use on Atlantic </w:t>
    </w:r>
    <w:r w:rsidR="00A530BF">
      <w:t>s</w:t>
    </w:r>
    <w:r w:rsidR="00B94833" w:rsidRPr="00B94833">
      <w:t>almon</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6F3" w14:textId="50EBFC7A" w:rsidR="00600757" w:rsidRDefault="00600757"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046D5F49" w:rsidR="00BA67F0" w:rsidRDefault="00BA67F0">
    <w:pPr>
      <w:pStyle w:val="APVMAOddHeader"/>
    </w:pPr>
    <w:r>
      <w:tab/>
    </w:r>
    <w:r w:rsidR="00600757">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5095271">
    <w:abstractNumId w:val="20"/>
  </w:num>
  <w:num w:numId="2" w16cid:durableId="929703429">
    <w:abstractNumId w:val="20"/>
  </w:num>
  <w:num w:numId="3" w16cid:durableId="317075846">
    <w:abstractNumId w:val="17"/>
  </w:num>
  <w:num w:numId="4" w16cid:durableId="1083991275">
    <w:abstractNumId w:val="18"/>
  </w:num>
  <w:num w:numId="5" w16cid:durableId="1174149578">
    <w:abstractNumId w:val="17"/>
  </w:num>
  <w:num w:numId="6" w16cid:durableId="1161316628">
    <w:abstractNumId w:val="22"/>
  </w:num>
  <w:num w:numId="7" w16cid:durableId="128209758">
    <w:abstractNumId w:val="19"/>
  </w:num>
  <w:num w:numId="8" w16cid:durableId="1727948644">
    <w:abstractNumId w:val="11"/>
  </w:num>
  <w:num w:numId="9" w16cid:durableId="401366662">
    <w:abstractNumId w:val="10"/>
  </w:num>
  <w:num w:numId="10" w16cid:durableId="1697736340">
    <w:abstractNumId w:val="13"/>
  </w:num>
  <w:num w:numId="11" w16cid:durableId="67115965">
    <w:abstractNumId w:val="16"/>
  </w:num>
  <w:num w:numId="12" w16cid:durableId="989216671">
    <w:abstractNumId w:val="22"/>
  </w:num>
  <w:num w:numId="13" w16cid:durableId="422384313">
    <w:abstractNumId w:val="22"/>
  </w:num>
  <w:num w:numId="14" w16cid:durableId="2124575322">
    <w:abstractNumId w:val="17"/>
  </w:num>
  <w:num w:numId="15" w16cid:durableId="1987465878">
    <w:abstractNumId w:val="11"/>
  </w:num>
  <w:num w:numId="16" w16cid:durableId="968432357">
    <w:abstractNumId w:val="18"/>
  </w:num>
  <w:num w:numId="17" w16cid:durableId="1300188483">
    <w:abstractNumId w:val="10"/>
  </w:num>
  <w:num w:numId="18" w16cid:durableId="2033142011">
    <w:abstractNumId w:val="13"/>
  </w:num>
  <w:num w:numId="19" w16cid:durableId="199099513">
    <w:abstractNumId w:val="20"/>
  </w:num>
  <w:num w:numId="20" w16cid:durableId="1474713632">
    <w:abstractNumId w:val="23"/>
  </w:num>
  <w:num w:numId="21" w16cid:durableId="679771957">
    <w:abstractNumId w:val="12"/>
  </w:num>
  <w:num w:numId="22" w16cid:durableId="929970584">
    <w:abstractNumId w:val="24"/>
  </w:num>
  <w:num w:numId="23" w16cid:durableId="8532099">
    <w:abstractNumId w:val="15"/>
  </w:num>
  <w:num w:numId="24" w16cid:durableId="941497105">
    <w:abstractNumId w:val="9"/>
  </w:num>
  <w:num w:numId="25" w16cid:durableId="2081126993">
    <w:abstractNumId w:val="7"/>
  </w:num>
  <w:num w:numId="26" w16cid:durableId="373118386">
    <w:abstractNumId w:val="6"/>
  </w:num>
  <w:num w:numId="27" w16cid:durableId="1485470551">
    <w:abstractNumId w:val="5"/>
  </w:num>
  <w:num w:numId="28" w16cid:durableId="305092195">
    <w:abstractNumId w:val="4"/>
  </w:num>
  <w:num w:numId="29" w16cid:durableId="1889028977">
    <w:abstractNumId w:val="8"/>
  </w:num>
  <w:num w:numId="30" w16cid:durableId="498008209">
    <w:abstractNumId w:val="3"/>
  </w:num>
  <w:num w:numId="31" w16cid:durableId="736707549">
    <w:abstractNumId w:val="2"/>
  </w:num>
  <w:num w:numId="32" w16cid:durableId="1933270408">
    <w:abstractNumId w:val="1"/>
  </w:num>
  <w:num w:numId="33" w16cid:durableId="1228879871">
    <w:abstractNumId w:val="0"/>
  </w:num>
  <w:num w:numId="34" w16cid:durableId="1695376259">
    <w:abstractNumId w:val="21"/>
  </w:num>
  <w:num w:numId="35" w16cid:durableId="961770112">
    <w:abstractNumId w:val="14"/>
  </w:num>
  <w:num w:numId="36" w16cid:durableId="8474503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23A"/>
    <w:rsid w:val="000124F2"/>
    <w:rsid w:val="000145C6"/>
    <w:rsid w:val="00021A6A"/>
    <w:rsid w:val="0002795E"/>
    <w:rsid w:val="00032787"/>
    <w:rsid w:val="000426FB"/>
    <w:rsid w:val="000642F7"/>
    <w:rsid w:val="00067828"/>
    <w:rsid w:val="000765C1"/>
    <w:rsid w:val="0008350E"/>
    <w:rsid w:val="00084518"/>
    <w:rsid w:val="000938B8"/>
    <w:rsid w:val="00096163"/>
    <w:rsid w:val="000A5617"/>
    <w:rsid w:val="000A7EF6"/>
    <w:rsid w:val="000C2C1B"/>
    <w:rsid w:val="000C5EB1"/>
    <w:rsid w:val="000D49ED"/>
    <w:rsid w:val="000E6E76"/>
    <w:rsid w:val="0010031E"/>
    <w:rsid w:val="001004E6"/>
    <w:rsid w:val="00116540"/>
    <w:rsid w:val="00120E00"/>
    <w:rsid w:val="00125B8E"/>
    <w:rsid w:val="001473A6"/>
    <w:rsid w:val="001534D8"/>
    <w:rsid w:val="0016652E"/>
    <w:rsid w:val="00167BB3"/>
    <w:rsid w:val="00174E15"/>
    <w:rsid w:val="001765F5"/>
    <w:rsid w:val="00184190"/>
    <w:rsid w:val="00193533"/>
    <w:rsid w:val="001941B3"/>
    <w:rsid w:val="001A1F2F"/>
    <w:rsid w:val="001B335C"/>
    <w:rsid w:val="001B7360"/>
    <w:rsid w:val="001C6607"/>
    <w:rsid w:val="001D3257"/>
    <w:rsid w:val="001F0620"/>
    <w:rsid w:val="001F6774"/>
    <w:rsid w:val="00216C49"/>
    <w:rsid w:val="00231FA4"/>
    <w:rsid w:val="0024289A"/>
    <w:rsid w:val="0026493F"/>
    <w:rsid w:val="00273344"/>
    <w:rsid w:val="00280720"/>
    <w:rsid w:val="00282A32"/>
    <w:rsid w:val="00290098"/>
    <w:rsid w:val="002A69DD"/>
    <w:rsid w:val="002B4618"/>
    <w:rsid w:val="002B5703"/>
    <w:rsid w:val="002D7779"/>
    <w:rsid w:val="002E0321"/>
    <w:rsid w:val="002E20AC"/>
    <w:rsid w:val="002E49F4"/>
    <w:rsid w:val="002F4591"/>
    <w:rsid w:val="0030255E"/>
    <w:rsid w:val="0031291D"/>
    <w:rsid w:val="0031487D"/>
    <w:rsid w:val="003207F2"/>
    <w:rsid w:val="003472E2"/>
    <w:rsid w:val="00347883"/>
    <w:rsid w:val="003506C5"/>
    <w:rsid w:val="0035397B"/>
    <w:rsid w:val="003636BC"/>
    <w:rsid w:val="00364192"/>
    <w:rsid w:val="00381544"/>
    <w:rsid w:val="00382B7C"/>
    <w:rsid w:val="00383003"/>
    <w:rsid w:val="003A1BD7"/>
    <w:rsid w:val="003A2363"/>
    <w:rsid w:val="003A558F"/>
    <w:rsid w:val="003C0891"/>
    <w:rsid w:val="003C2CB7"/>
    <w:rsid w:val="003D0286"/>
    <w:rsid w:val="004070E1"/>
    <w:rsid w:val="00407597"/>
    <w:rsid w:val="00411651"/>
    <w:rsid w:val="0041228F"/>
    <w:rsid w:val="00413D39"/>
    <w:rsid w:val="00444045"/>
    <w:rsid w:val="0044715C"/>
    <w:rsid w:val="004616C8"/>
    <w:rsid w:val="00461D26"/>
    <w:rsid w:val="00470304"/>
    <w:rsid w:val="0047632E"/>
    <w:rsid w:val="004D2C4F"/>
    <w:rsid w:val="004D48AF"/>
    <w:rsid w:val="004E1991"/>
    <w:rsid w:val="004E4CD7"/>
    <w:rsid w:val="004F66B0"/>
    <w:rsid w:val="005064D5"/>
    <w:rsid w:val="0051423F"/>
    <w:rsid w:val="005148C0"/>
    <w:rsid w:val="00520963"/>
    <w:rsid w:val="00522E27"/>
    <w:rsid w:val="005250E2"/>
    <w:rsid w:val="00545A0A"/>
    <w:rsid w:val="005527B9"/>
    <w:rsid w:val="0055628E"/>
    <w:rsid w:val="00556804"/>
    <w:rsid w:val="00560E83"/>
    <w:rsid w:val="00563297"/>
    <w:rsid w:val="00566590"/>
    <w:rsid w:val="00596F1D"/>
    <w:rsid w:val="005A6881"/>
    <w:rsid w:val="005D00D1"/>
    <w:rsid w:val="005D1A47"/>
    <w:rsid w:val="005E18DD"/>
    <w:rsid w:val="00600757"/>
    <w:rsid w:val="00603C0A"/>
    <w:rsid w:val="006110AE"/>
    <w:rsid w:val="00616DF0"/>
    <w:rsid w:val="0062466B"/>
    <w:rsid w:val="00637AB9"/>
    <w:rsid w:val="00641B1B"/>
    <w:rsid w:val="00643052"/>
    <w:rsid w:val="0065149B"/>
    <w:rsid w:val="00657A28"/>
    <w:rsid w:val="0066107B"/>
    <w:rsid w:val="00667C2D"/>
    <w:rsid w:val="006C08BC"/>
    <w:rsid w:val="006D36C8"/>
    <w:rsid w:val="006D4A1B"/>
    <w:rsid w:val="006E33F7"/>
    <w:rsid w:val="00700C27"/>
    <w:rsid w:val="00702B7D"/>
    <w:rsid w:val="00704C88"/>
    <w:rsid w:val="007275CF"/>
    <w:rsid w:val="00727DAF"/>
    <w:rsid w:val="00731659"/>
    <w:rsid w:val="007368E2"/>
    <w:rsid w:val="00747A92"/>
    <w:rsid w:val="00753ED8"/>
    <w:rsid w:val="00770B96"/>
    <w:rsid w:val="00772D8F"/>
    <w:rsid w:val="007868E2"/>
    <w:rsid w:val="0079772A"/>
    <w:rsid w:val="007B1953"/>
    <w:rsid w:val="007B2C31"/>
    <w:rsid w:val="007B35EF"/>
    <w:rsid w:val="007C54FE"/>
    <w:rsid w:val="007F0146"/>
    <w:rsid w:val="00801167"/>
    <w:rsid w:val="008105EC"/>
    <w:rsid w:val="00814579"/>
    <w:rsid w:val="00832D38"/>
    <w:rsid w:val="008362F6"/>
    <w:rsid w:val="00836556"/>
    <w:rsid w:val="008366A3"/>
    <w:rsid w:val="00842CDB"/>
    <w:rsid w:val="00842FA1"/>
    <w:rsid w:val="00847050"/>
    <w:rsid w:val="00860B66"/>
    <w:rsid w:val="00862E63"/>
    <w:rsid w:val="008836D1"/>
    <w:rsid w:val="00892292"/>
    <w:rsid w:val="008A31C1"/>
    <w:rsid w:val="008B2E83"/>
    <w:rsid w:val="008C5C0D"/>
    <w:rsid w:val="008C6A2D"/>
    <w:rsid w:val="008C6B9D"/>
    <w:rsid w:val="008D01CF"/>
    <w:rsid w:val="008D1A7E"/>
    <w:rsid w:val="008D265D"/>
    <w:rsid w:val="008F14C4"/>
    <w:rsid w:val="009054A8"/>
    <w:rsid w:val="00941423"/>
    <w:rsid w:val="00950C7A"/>
    <w:rsid w:val="0095647E"/>
    <w:rsid w:val="00957A91"/>
    <w:rsid w:val="00966603"/>
    <w:rsid w:val="00972247"/>
    <w:rsid w:val="009A4448"/>
    <w:rsid w:val="009A7614"/>
    <w:rsid w:val="009B6ACE"/>
    <w:rsid w:val="009D0E59"/>
    <w:rsid w:val="009D452E"/>
    <w:rsid w:val="009E5929"/>
    <w:rsid w:val="009F16FF"/>
    <w:rsid w:val="00A01E75"/>
    <w:rsid w:val="00A03801"/>
    <w:rsid w:val="00A11221"/>
    <w:rsid w:val="00A1629F"/>
    <w:rsid w:val="00A20526"/>
    <w:rsid w:val="00A23729"/>
    <w:rsid w:val="00A2448D"/>
    <w:rsid w:val="00A25290"/>
    <w:rsid w:val="00A261EF"/>
    <w:rsid w:val="00A41355"/>
    <w:rsid w:val="00A41CE4"/>
    <w:rsid w:val="00A5136D"/>
    <w:rsid w:val="00A530BF"/>
    <w:rsid w:val="00A60905"/>
    <w:rsid w:val="00A6283D"/>
    <w:rsid w:val="00A77CE7"/>
    <w:rsid w:val="00A81500"/>
    <w:rsid w:val="00A82202"/>
    <w:rsid w:val="00A87101"/>
    <w:rsid w:val="00AB5B7E"/>
    <w:rsid w:val="00AB659C"/>
    <w:rsid w:val="00AC1A13"/>
    <w:rsid w:val="00AF232A"/>
    <w:rsid w:val="00B061D3"/>
    <w:rsid w:val="00B15647"/>
    <w:rsid w:val="00B22F9F"/>
    <w:rsid w:val="00B242B8"/>
    <w:rsid w:val="00B265B4"/>
    <w:rsid w:val="00B27675"/>
    <w:rsid w:val="00B32E0B"/>
    <w:rsid w:val="00B36DAC"/>
    <w:rsid w:val="00B50074"/>
    <w:rsid w:val="00B73C42"/>
    <w:rsid w:val="00B94833"/>
    <w:rsid w:val="00BA67F0"/>
    <w:rsid w:val="00BB3998"/>
    <w:rsid w:val="00BC5423"/>
    <w:rsid w:val="00BC780E"/>
    <w:rsid w:val="00BD021C"/>
    <w:rsid w:val="00BD0287"/>
    <w:rsid w:val="00BD2289"/>
    <w:rsid w:val="00BD55DB"/>
    <w:rsid w:val="00BD62F9"/>
    <w:rsid w:val="00BD70E8"/>
    <w:rsid w:val="00BD7C8B"/>
    <w:rsid w:val="00C01FCE"/>
    <w:rsid w:val="00C300E3"/>
    <w:rsid w:val="00C53C96"/>
    <w:rsid w:val="00C64B8C"/>
    <w:rsid w:val="00C66457"/>
    <w:rsid w:val="00C73D24"/>
    <w:rsid w:val="00C80F15"/>
    <w:rsid w:val="00C95323"/>
    <w:rsid w:val="00C9656F"/>
    <w:rsid w:val="00CA17DC"/>
    <w:rsid w:val="00CD6650"/>
    <w:rsid w:val="00CE3E56"/>
    <w:rsid w:val="00CE456A"/>
    <w:rsid w:val="00CE6C51"/>
    <w:rsid w:val="00CF3BFD"/>
    <w:rsid w:val="00D02DD1"/>
    <w:rsid w:val="00D10F59"/>
    <w:rsid w:val="00D22CCB"/>
    <w:rsid w:val="00D4143D"/>
    <w:rsid w:val="00D505AD"/>
    <w:rsid w:val="00D67788"/>
    <w:rsid w:val="00D70A54"/>
    <w:rsid w:val="00D874AA"/>
    <w:rsid w:val="00D9318E"/>
    <w:rsid w:val="00D942C8"/>
    <w:rsid w:val="00DB3BF5"/>
    <w:rsid w:val="00DB40CE"/>
    <w:rsid w:val="00E203CD"/>
    <w:rsid w:val="00E306AF"/>
    <w:rsid w:val="00E318E3"/>
    <w:rsid w:val="00E35DE7"/>
    <w:rsid w:val="00E41FED"/>
    <w:rsid w:val="00E63AC3"/>
    <w:rsid w:val="00E70840"/>
    <w:rsid w:val="00E830F0"/>
    <w:rsid w:val="00E84BA9"/>
    <w:rsid w:val="00E97570"/>
    <w:rsid w:val="00EC70CD"/>
    <w:rsid w:val="00EE0D34"/>
    <w:rsid w:val="00EE297E"/>
    <w:rsid w:val="00EE5B09"/>
    <w:rsid w:val="00EE6B92"/>
    <w:rsid w:val="00F13825"/>
    <w:rsid w:val="00F30BA1"/>
    <w:rsid w:val="00F30BDA"/>
    <w:rsid w:val="00F34959"/>
    <w:rsid w:val="00F453FE"/>
    <w:rsid w:val="00F46F1A"/>
    <w:rsid w:val="00F51AA7"/>
    <w:rsid w:val="00F56C76"/>
    <w:rsid w:val="00F6733A"/>
    <w:rsid w:val="00F726E3"/>
    <w:rsid w:val="00F74FA6"/>
    <w:rsid w:val="00F81727"/>
    <w:rsid w:val="00F9222F"/>
    <w:rsid w:val="00FC09D2"/>
    <w:rsid w:val="00FC198C"/>
    <w:rsid w:val="00FD344F"/>
    <w:rsid w:val="00FE115C"/>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99"/>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styleId="UnresolvedMention">
    <w:name w:val="Unresolved Mention"/>
    <w:basedOn w:val="DefaultParagraphFont"/>
    <w:uiPriority w:val="99"/>
    <w:semiHidden/>
    <w:unhideWhenUsed/>
    <w:rsid w:val="000938B8"/>
    <w:rPr>
      <w:color w:val="605E5C"/>
      <w:shd w:val="clear" w:color="auto" w:fill="E1DFDD"/>
    </w:rPr>
  </w:style>
  <w:style w:type="paragraph" w:customStyle="1" w:styleId="BODYTEXT">
    <w:name w:val="BODYTEXT"/>
    <w:link w:val="BODYTEXTChar"/>
    <w:rsid w:val="00C80F15"/>
    <w:rPr>
      <w:sz w:val="24"/>
      <w:lang w:eastAsia="en-US"/>
    </w:rPr>
  </w:style>
  <w:style w:type="character" w:customStyle="1" w:styleId="BODYTEXTChar">
    <w:name w:val="BODYTEXT Char"/>
    <w:basedOn w:val="DefaultParagraphFont"/>
    <w:link w:val="BODYTEXT"/>
    <w:rsid w:val="00C80F15"/>
    <w:rPr>
      <w:sz w:val="24"/>
      <w:lang w:eastAsia="en-US"/>
    </w:rPr>
  </w:style>
  <w:style w:type="paragraph" w:customStyle="1" w:styleId="MRLTableHeading">
    <w:name w:val="MRL Table Heading"/>
    <w:basedOn w:val="Normal"/>
    <w:rsid w:val="00C80F15"/>
    <w:pPr>
      <w:spacing w:before="60" w:after="60" w:line="240" w:lineRule="auto"/>
    </w:pPr>
    <w:rPr>
      <w:rFonts w:ascii="Times New Roman" w:hAnsi="Times New Roman"/>
      <w:b/>
      <w:sz w:val="22"/>
    </w:rPr>
  </w:style>
  <w:style w:type="character" w:customStyle="1" w:styleId="HeaderChar">
    <w:name w:val="Header Char"/>
    <w:basedOn w:val="DefaultParagraphFont"/>
    <w:link w:val="Header"/>
    <w:rsid w:val="00A20526"/>
    <w:rPr>
      <w:rFonts w:ascii="Arial" w:hAnsi="Arial"/>
      <w:szCs w:val="24"/>
      <w:lang w:eastAsia="en-US"/>
    </w:rPr>
  </w:style>
  <w:style w:type="paragraph" w:styleId="BodyText0">
    <w:name w:val="Body Text"/>
    <w:basedOn w:val="Normal"/>
    <w:link w:val="BodyTextChar0"/>
    <w:semiHidden/>
    <w:rsid w:val="00A20526"/>
    <w:pPr>
      <w:spacing w:after="120" w:line="240" w:lineRule="auto"/>
    </w:pPr>
    <w:rPr>
      <w:rFonts w:ascii="Times New Roman" w:hAnsi="Times New Roman"/>
      <w:sz w:val="24"/>
    </w:rPr>
  </w:style>
  <w:style w:type="character" w:customStyle="1" w:styleId="BodyTextChar0">
    <w:name w:val="Body Text Char"/>
    <w:basedOn w:val="DefaultParagraphFont"/>
    <w:link w:val="BodyText0"/>
    <w:semiHidden/>
    <w:rsid w:val="00A20526"/>
    <w:rPr>
      <w:sz w:val="24"/>
      <w:szCs w:val="24"/>
      <w:lang w:eastAsia="en-US"/>
    </w:rPr>
  </w:style>
  <w:style w:type="character" w:customStyle="1" w:styleId="FootnoteTextChar">
    <w:name w:val="Footnote Text Char"/>
    <w:aliases w:val="APVMA_Footnote Char,DAR001 Char,Tabellenanmerkung Char"/>
    <w:basedOn w:val="DefaultParagraphFont"/>
    <w:link w:val="FootnoteText"/>
    <w:rsid w:val="00A20526"/>
    <w:rPr>
      <w:rFonts w:ascii="Arial" w:hAnsi="Arial" w:cs="Arial"/>
      <w:spacing w:val="6"/>
      <w:kern w:val="20"/>
      <w:sz w:val="16"/>
      <w:u w:color="000000"/>
      <w:lang w:eastAsia="en-US"/>
    </w:rPr>
  </w:style>
  <w:style w:type="character" w:customStyle="1" w:styleId="Heading4Char">
    <w:name w:val="Heading 4 Char"/>
    <w:aliases w:val="APVMA_H4 Char"/>
    <w:basedOn w:val="DefaultParagraphFont"/>
    <w:link w:val="Heading4"/>
    <w:uiPriority w:val="4"/>
    <w:rsid w:val="000426FB"/>
    <w:rPr>
      <w:rFonts w:ascii="Franklin Gothic Medium" w:hAnsi="Franklin Gothic Medium" w:cs="Arial"/>
      <w:i/>
      <w:color w:val="00747A" w:themeColor="background2"/>
      <w:sz w:val="22"/>
      <w:szCs w:val="2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095">
      <w:bodyDiv w:val="1"/>
      <w:marLeft w:val="0"/>
      <w:marRight w:val="0"/>
      <w:marTop w:val="0"/>
      <w:marBottom w:val="0"/>
      <w:divBdr>
        <w:top w:val="none" w:sz="0" w:space="0" w:color="auto"/>
        <w:left w:val="none" w:sz="0" w:space="0" w:color="auto"/>
        <w:bottom w:val="none" w:sz="0" w:space="0" w:color="auto"/>
        <w:right w:val="none" w:sz="0" w:space="0" w:color="auto"/>
      </w:divBdr>
    </w:div>
    <w:div w:id="895622686">
      <w:bodyDiv w:val="1"/>
      <w:marLeft w:val="0"/>
      <w:marRight w:val="0"/>
      <w:marTop w:val="0"/>
      <w:marBottom w:val="0"/>
      <w:divBdr>
        <w:top w:val="none" w:sz="0" w:space="0" w:color="auto"/>
        <w:left w:val="none" w:sz="0" w:space="0" w:color="auto"/>
        <w:bottom w:val="none" w:sz="0" w:space="0" w:color="auto"/>
        <w:right w:val="none" w:sz="0" w:space="0" w:color="auto"/>
      </w:divBdr>
    </w:div>
    <w:div w:id="907613057">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35738853">
      <w:bodyDiv w:val="1"/>
      <w:marLeft w:val="0"/>
      <w:marRight w:val="0"/>
      <w:marTop w:val="0"/>
      <w:marBottom w:val="0"/>
      <w:divBdr>
        <w:top w:val="none" w:sz="0" w:space="0" w:color="auto"/>
        <w:left w:val="none" w:sz="0" w:space="0" w:color="auto"/>
        <w:bottom w:val="none" w:sz="0" w:space="0" w:color="auto"/>
        <w:right w:val="none" w:sz="0" w:space="0" w:color="auto"/>
      </w:divBdr>
    </w:div>
    <w:div w:id="1163934540">
      <w:bodyDiv w:val="1"/>
      <w:marLeft w:val="0"/>
      <w:marRight w:val="0"/>
      <w:marTop w:val="0"/>
      <w:marBottom w:val="0"/>
      <w:divBdr>
        <w:top w:val="none" w:sz="0" w:space="0" w:color="auto"/>
        <w:left w:val="none" w:sz="0" w:space="0" w:color="auto"/>
        <w:bottom w:val="none" w:sz="0" w:space="0" w:color="auto"/>
        <w:right w:val="none" w:sz="0" w:space="0" w:color="auto"/>
      </w:divBdr>
    </w:div>
    <w:div w:id="1169755017">
      <w:bodyDiv w:val="1"/>
      <w:marLeft w:val="0"/>
      <w:marRight w:val="0"/>
      <w:marTop w:val="0"/>
      <w:marBottom w:val="0"/>
      <w:divBdr>
        <w:top w:val="none" w:sz="0" w:space="0" w:color="auto"/>
        <w:left w:val="none" w:sz="0" w:space="0" w:color="auto"/>
        <w:bottom w:val="none" w:sz="0" w:space="0" w:color="auto"/>
        <w:right w:val="none" w:sz="0" w:space="0" w:color="auto"/>
      </w:divBdr>
    </w:div>
    <w:div w:id="13131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nsumer.fda.gov.tw/Law/Detail.aspx?nodeID=518&amp;lang=1&amp;lawid=132" TargetMode="External"/><Relationship Id="rId3" Type="http://schemas.openxmlformats.org/officeDocument/2006/relationships/hyperlink" Target="https://www.fao.org/fao-who-codexalimentarius/codex-texts/dbs/pestres/pesticides/en/" TargetMode="External"/><Relationship Id="rId7" Type="http://schemas.openxmlformats.org/officeDocument/2006/relationships/hyperlink" Target="https://residue.foodsafetykorea.go.kr/vd/mrl" TargetMode="External"/><Relationship Id="rId2" Type="http://schemas.openxmlformats.org/officeDocument/2006/relationships/hyperlink" Target="https://www.agriculture.gov.au/abares/research-topics/trade/dashboard" TargetMode="External"/><Relationship Id="rId1" Type="http://schemas.openxmlformats.org/officeDocument/2006/relationships/hyperlink" Target="https://www.apvma.gov.au/registrations-and-permits/data-guidelines/veterinary-data-guidelines/overseas-trade-part-5b/vet-drug-residues" TargetMode="External"/><Relationship Id="rId6" Type="http://schemas.openxmlformats.org/officeDocument/2006/relationships/hyperlink" Target="https://db.ffcr.or.jp/front/pesticide_comp" TargetMode="External"/><Relationship Id="rId5" Type="http://schemas.openxmlformats.org/officeDocument/2006/relationships/hyperlink" Target="https://apps.fas.usda.gov/newgainapi/api/Report/DownloadReportByFileName?fileName=China%20Publishes%20Maximum%20Residue%20Limits%20for%20Veterinary%20Drugs%20in%20Food_Beijing_China%20-%20Peoples%20Republic%20of_11-30-2019" TargetMode="External"/><Relationship Id="rId4" Type="http://schemas.openxmlformats.org/officeDocument/2006/relationships/hyperlink" Target="https://eur-lex.europa.eu/eli/reg/2010/37(1)/oj/eng" TargetMode="External"/><Relationship Id="rId9" Type="http://schemas.openxmlformats.org/officeDocument/2006/relationships/hyperlink" Target="https://www.ecfr.gov/current/title-21/chapter-I/subchapter-E/part-556/subpart-B/section-556.2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A3629560</value>
    </field>
    <field name="Objective-Title">
      <value order="0">Florfenicol - Salmonids - Abbeyflor Premix Concentrate for Pigs - 96499 - 149539 - Trade Advice Notice (TAN)</value>
    </field>
    <field name="Objective-Description">
      <value order="0"/>
    </field>
    <field name="Objective-CreationStamp">
      <value order="0">2025-09-23T23:13:28Z</value>
    </field>
    <field name="Objective-IsApproved">
      <value order="0">false</value>
    </field>
    <field name="Objective-IsPublished">
      <value order="0">false</value>
    </field>
    <field name="Objective-DatePublished">
      <value order="0"/>
    </field>
    <field name="Objective-ModificationStamp">
      <value order="0">2025-10-07T23:22:37Z</value>
    </field>
    <field name="Objective-Owner">
      <value order="0">Andrew Cohen Barnhouse</value>
    </field>
    <field name="Objective-Path">
      <value order="0">APVMA:SCIENTIFIC ASSESSMENT:Scientific Assessment - Residues and Trade:Scientific Assessment - Residues and Trade - Evaluations:Scientific Assessment - Residues and Trade - Evaluations - E-J:SA - R&amp;T - Evaluations - Florfenicol:3. Residues - Florfenicol - Salmonids - Abbeyflor Premix Concentrate for Pigs - 96499 - 149539</value>
    </field>
    <field name="Objective-Parent">
      <value order="0">3. Residues - Florfenicol - Salmonids - Abbeyflor Premix Concentrate for Pigs - 96499 - 149539</value>
    </field>
    <field name="Objective-State">
      <value order="0">Being Drafted</value>
    </field>
    <field name="Objective-VersionId">
      <value order="0">vA5475373</value>
    </field>
    <field name="Objective-Version">
      <value order="0">0.12</value>
    </field>
    <field name="Objective-VersionNumber">
      <value order="0">12</value>
    </field>
    <field name="Objective-VersionComment">
      <value order="0"/>
    </field>
    <field name="Objective-FileNumber">
      <value order="0">2025\6219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0</TotalTime>
  <Pages>13</Pages>
  <Words>2426</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TAN on Florfenicol for emergency use on Atlantic Salmon</vt:lpstr>
    </vt:vector>
  </TitlesOfParts>
  <Manager/>
  <Company>Australian Pesticides and Veterinary Medicines Authority</Company>
  <LinksUpToDate>false</LinksUpToDate>
  <CharactersWithSpaces>17575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 on florfenicol for emergency use on Atlantic salmon</dc:title>
  <dc:subject/>
  <dc:creator>APVMA</dc:creator>
  <cp:keywords>[SEC=OFFICIAL]</cp:keywords>
  <dc:description/>
  <cp:lastModifiedBy>GRIFFIN, Jordanna</cp:lastModifiedBy>
  <cp:revision>2</cp:revision>
  <cp:lastPrinted>2025-10-07T23:19:00Z</cp:lastPrinted>
  <dcterms:created xsi:type="dcterms:W3CDTF">2025-10-08T01:11:00Z</dcterms:created>
  <dcterms:modified xsi:type="dcterms:W3CDTF">2025-10-08T01:11:00Z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A3629560</vt:lpwstr>
  </property>
  <property fmtid="{D5CDD505-2E9C-101B-9397-08002B2CF9AE}" pid="4" name="Objective-Title">
    <vt:lpwstr>Florfenicol - Salmonids - Abbeyflor Premix Concentrate for Pigs - 96499 - 149539 - Trade Advice Notice (TAN)</vt:lpwstr>
  </property>
  <property fmtid="{D5CDD505-2E9C-101B-9397-08002B2CF9AE}" pid="5" name="Objective-Comment">
    <vt:lpwstr/>
  </property>
  <property fmtid="{D5CDD505-2E9C-101B-9397-08002B2CF9AE}" pid="6" name="Objective-CreationStamp">
    <vt:filetime>2025-09-23T23:13:28Z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2025-10-07T23:22:37Z</vt:filetime>
  </property>
  <property fmtid="{D5CDD505-2E9C-101B-9397-08002B2CF9AE}" pid="11" name="Objective-Owner">
    <vt:lpwstr>Andrew Cohen Barnhouse</vt:lpwstr>
  </property>
  <property fmtid="{D5CDD505-2E9C-101B-9397-08002B2CF9AE}" pid="12" name="Objective-Path">
    <vt:lpwstr>APVMA:SCIENTIFIC ASSESSMENT:Scientific Assessment - Residues and Trade:Scientific Assessment - Residues and Trade - Evaluations:Scientific Assessment - Residues and Trade - Evaluations - E-J:SA - R&amp;T - Evaluations - Florfenicol:3. Residues - Florfenicol - Salmonids - Abbeyflor Premix Concentrate for Pigs - 96499 - 149539:</vt:lpwstr>
  </property>
  <property fmtid="{D5CDD505-2E9C-101B-9397-08002B2CF9AE}" pid="13" name="Objective-Parent">
    <vt:lpwstr>3. Residues - Florfenicol - Salmonids - Abbeyflor Premix Concentrate for Pigs - 96499 - 149539</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vA5475373</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