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6ACAD734"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42773CD7">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r w:rsidR="004E7885">
        <w:object w:dxaOrig="1539" w:dyaOrig="997" w14:anchorId="02AEC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85pt" o:ole="">
            <v:imagedata r:id="rId13" o:title=""/>
          </v:shape>
          <o:OLEObject Type="Embed" ProgID="Package" ShapeID="_x0000_i1025" DrawAspect="Icon" ObjectID="_1819010220" r:id="rId14"/>
        </w:object>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41C9FFD3" w:rsidR="003C0891" w:rsidRDefault="006D36C8" w:rsidP="00193533">
      <w:pPr>
        <w:pStyle w:val="APVMACoverSubtitle"/>
        <w:jc w:val="center"/>
      </w:pPr>
      <w:r>
        <w:t xml:space="preserve">on </w:t>
      </w:r>
      <w:r w:rsidR="00673F70">
        <w:t xml:space="preserve">tiafenacil </w:t>
      </w:r>
      <w:r>
        <w:t xml:space="preserve">in the product </w:t>
      </w:r>
      <w:r w:rsidR="00673F70">
        <w:t>Terrad'or Herbicide</w:t>
      </w:r>
      <w:r>
        <w:t xml:space="preserve"> for use on </w:t>
      </w:r>
      <w:r w:rsidR="00673F70">
        <w:t>wheat and fallow</w:t>
      </w:r>
    </w:p>
    <w:p w14:paraId="7FB897BF" w14:textId="51136443" w:rsidR="006D36C8" w:rsidRDefault="006D36C8" w:rsidP="00193533">
      <w:pPr>
        <w:pStyle w:val="APVMACoverSubtitle"/>
        <w:jc w:val="center"/>
      </w:pPr>
      <w:r>
        <w:t xml:space="preserve">APVMA product number </w:t>
      </w:r>
      <w:r w:rsidR="00673F70">
        <w:t>88074</w:t>
      </w:r>
    </w:p>
    <w:p w14:paraId="5C6E8565" w14:textId="7ED767AA" w:rsidR="00193533" w:rsidRPr="00E41FED" w:rsidRDefault="00A523E2"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 xml:space="preserve">September </w:t>
      </w:r>
      <w:r w:rsidR="00673F70">
        <w:t>2025</w:t>
      </w:r>
    </w:p>
    <w:p w14:paraId="170061D7" w14:textId="0F517033" w:rsidR="00862E63" w:rsidRPr="00E737CE" w:rsidRDefault="00862E63" w:rsidP="00021A6A">
      <w:pPr>
        <w:pStyle w:val="Copyrightpage"/>
      </w:pPr>
      <w:r w:rsidRPr="005C0ACC">
        <w:lastRenderedPageBreak/>
        <w:t xml:space="preserve">© Australian Pesticides and Veterinary Medicines </w:t>
      </w:r>
      <w:r w:rsidRPr="00E737CE">
        <w:t xml:space="preserve">Authority </w:t>
      </w:r>
      <w:r w:rsidR="00E737CE" w:rsidRPr="00E737CE">
        <w:t>2025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8" w:history="1">
        <w:r w:rsidRPr="008545E1">
          <w:rPr>
            <w:rStyle w:val="Hyperlink"/>
          </w:rPr>
          <w:t>summary of the licence terms</w:t>
        </w:r>
      </w:hyperlink>
      <w:r>
        <w:t xml:space="preserve"> and </w:t>
      </w:r>
      <w:hyperlink r:id="rId19"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Default="008366A3" w:rsidP="00021A6A">
      <w:pPr>
        <w:pStyle w:val="Copyrightpage"/>
      </w:pPr>
      <w:r w:rsidRPr="005C0ACC">
        <w:t>In referencing this document the Australian Pesticides and Veterinary Medicines Authority should be cited as the author, publisher and copyright owner.</w:t>
      </w:r>
    </w:p>
    <w:p w14:paraId="0554B8FD" w14:textId="0250D689" w:rsidR="00E737CE" w:rsidRPr="00E737CE" w:rsidRDefault="00E737CE"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20"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72E4C0F8" w14:textId="77777777" w:rsidR="00E737CE" w:rsidRPr="005C0ACC" w:rsidRDefault="00E737CE" w:rsidP="00E737CE">
      <w:pPr>
        <w:pStyle w:val="Copyrightpage"/>
      </w:pPr>
      <w:r>
        <w:t>Assistant Director, Communications</w:t>
      </w:r>
      <w:r>
        <w:br/>
      </w:r>
      <w:r w:rsidRPr="005C0ACC">
        <w:t>Australian Pesticides and Veterinary Medicines Authority</w:t>
      </w:r>
      <w:r>
        <w:br/>
        <w:t>GPO Box 574</w:t>
      </w:r>
      <w:r>
        <w:br/>
        <w:t>Canberra ACT 2601</w:t>
      </w:r>
      <w:r w:rsidRPr="005C0ACC">
        <w:t xml:space="preserve"> Australia</w:t>
      </w:r>
    </w:p>
    <w:p w14:paraId="4CCBE32D" w14:textId="77777777" w:rsidR="00E737CE" w:rsidRPr="005C0ACC" w:rsidRDefault="00E737CE" w:rsidP="00E737CE">
      <w:pPr>
        <w:pStyle w:val="Copyrightpage"/>
      </w:pPr>
      <w:r>
        <w:t>Telephone: +61 2 6770 2300</w:t>
      </w:r>
    </w:p>
    <w:p w14:paraId="5AED6D8B" w14:textId="77777777" w:rsidR="00862E63" w:rsidRPr="005C0ACC" w:rsidRDefault="00862E63" w:rsidP="00021A6A">
      <w:pPr>
        <w:pStyle w:val="Copyrightpage"/>
        <w:rPr>
          <w:color w:val="0000FF"/>
          <w:u w:val="single"/>
        </w:rPr>
      </w:pPr>
      <w:r w:rsidRPr="005C0ACC">
        <w:t xml:space="preserve">Email: </w:t>
      </w:r>
      <w:hyperlink r:id="rId21"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22"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7255420D" w14:textId="540B24B0" w:rsidR="000C1803"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08397008" w:history="1">
        <w:r w:rsidR="000C1803" w:rsidRPr="007254AA">
          <w:rPr>
            <w:rStyle w:val="Hyperlink"/>
          </w:rPr>
          <w:t>Preface</w:t>
        </w:r>
        <w:r w:rsidR="000C1803">
          <w:rPr>
            <w:webHidden/>
          </w:rPr>
          <w:tab/>
        </w:r>
        <w:r w:rsidR="000C1803">
          <w:rPr>
            <w:webHidden/>
          </w:rPr>
          <w:fldChar w:fldCharType="begin"/>
        </w:r>
        <w:r w:rsidR="000C1803">
          <w:rPr>
            <w:webHidden/>
          </w:rPr>
          <w:instrText xml:space="preserve"> PAGEREF _Toc208397008 \h </w:instrText>
        </w:r>
        <w:r w:rsidR="000C1803">
          <w:rPr>
            <w:webHidden/>
          </w:rPr>
        </w:r>
        <w:r w:rsidR="000C1803">
          <w:rPr>
            <w:webHidden/>
          </w:rPr>
          <w:fldChar w:fldCharType="separate"/>
        </w:r>
        <w:r w:rsidR="004E7885">
          <w:rPr>
            <w:webHidden/>
          </w:rPr>
          <w:t>1</w:t>
        </w:r>
        <w:r w:rsidR="000C1803">
          <w:rPr>
            <w:webHidden/>
          </w:rPr>
          <w:fldChar w:fldCharType="end"/>
        </w:r>
      </w:hyperlink>
    </w:p>
    <w:p w14:paraId="4BD3EFB2" w14:textId="2EDE5CBC"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09" w:history="1">
        <w:r w:rsidRPr="007254AA">
          <w:rPr>
            <w:rStyle w:val="Hyperlink"/>
          </w:rPr>
          <w:t>About this document</w:t>
        </w:r>
        <w:r>
          <w:rPr>
            <w:webHidden/>
          </w:rPr>
          <w:tab/>
        </w:r>
        <w:r>
          <w:rPr>
            <w:webHidden/>
          </w:rPr>
          <w:fldChar w:fldCharType="begin"/>
        </w:r>
        <w:r>
          <w:rPr>
            <w:webHidden/>
          </w:rPr>
          <w:instrText xml:space="preserve"> PAGEREF _Toc208397009 \h </w:instrText>
        </w:r>
        <w:r>
          <w:rPr>
            <w:webHidden/>
          </w:rPr>
        </w:r>
        <w:r>
          <w:rPr>
            <w:webHidden/>
          </w:rPr>
          <w:fldChar w:fldCharType="separate"/>
        </w:r>
        <w:r w:rsidR="004E7885">
          <w:rPr>
            <w:webHidden/>
          </w:rPr>
          <w:t>1</w:t>
        </w:r>
        <w:r>
          <w:rPr>
            <w:webHidden/>
          </w:rPr>
          <w:fldChar w:fldCharType="end"/>
        </w:r>
      </w:hyperlink>
    </w:p>
    <w:p w14:paraId="1C9F6CFD" w14:textId="28AD6DEB"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10" w:history="1">
        <w:r w:rsidRPr="007254AA">
          <w:rPr>
            <w:rStyle w:val="Hyperlink"/>
          </w:rPr>
          <w:t>Making a submission</w:t>
        </w:r>
        <w:r>
          <w:rPr>
            <w:webHidden/>
          </w:rPr>
          <w:tab/>
        </w:r>
        <w:r>
          <w:rPr>
            <w:webHidden/>
          </w:rPr>
          <w:fldChar w:fldCharType="begin"/>
        </w:r>
        <w:r>
          <w:rPr>
            <w:webHidden/>
          </w:rPr>
          <w:instrText xml:space="preserve"> PAGEREF _Toc208397010 \h </w:instrText>
        </w:r>
        <w:r>
          <w:rPr>
            <w:webHidden/>
          </w:rPr>
        </w:r>
        <w:r>
          <w:rPr>
            <w:webHidden/>
          </w:rPr>
          <w:fldChar w:fldCharType="separate"/>
        </w:r>
        <w:r w:rsidR="004E7885">
          <w:rPr>
            <w:webHidden/>
          </w:rPr>
          <w:t>1</w:t>
        </w:r>
        <w:r>
          <w:rPr>
            <w:webHidden/>
          </w:rPr>
          <w:fldChar w:fldCharType="end"/>
        </w:r>
      </w:hyperlink>
    </w:p>
    <w:p w14:paraId="2B24D9E9" w14:textId="66287FAA"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11" w:history="1">
        <w:r w:rsidRPr="007254AA">
          <w:rPr>
            <w:rStyle w:val="Hyperlink"/>
          </w:rPr>
          <w:t>Further information</w:t>
        </w:r>
        <w:r>
          <w:rPr>
            <w:webHidden/>
          </w:rPr>
          <w:tab/>
        </w:r>
        <w:r>
          <w:rPr>
            <w:webHidden/>
          </w:rPr>
          <w:fldChar w:fldCharType="begin"/>
        </w:r>
        <w:r>
          <w:rPr>
            <w:webHidden/>
          </w:rPr>
          <w:instrText xml:space="preserve"> PAGEREF _Toc208397011 \h </w:instrText>
        </w:r>
        <w:r>
          <w:rPr>
            <w:webHidden/>
          </w:rPr>
        </w:r>
        <w:r>
          <w:rPr>
            <w:webHidden/>
          </w:rPr>
          <w:fldChar w:fldCharType="separate"/>
        </w:r>
        <w:r w:rsidR="004E7885">
          <w:rPr>
            <w:webHidden/>
          </w:rPr>
          <w:t>2</w:t>
        </w:r>
        <w:r>
          <w:rPr>
            <w:webHidden/>
          </w:rPr>
          <w:fldChar w:fldCharType="end"/>
        </w:r>
      </w:hyperlink>
    </w:p>
    <w:p w14:paraId="3FC89BBB" w14:textId="07C7DC8A" w:rsidR="000C1803" w:rsidRDefault="000C180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397012" w:history="1">
        <w:r w:rsidRPr="007254AA">
          <w:rPr>
            <w:rStyle w:val="Hyperlink"/>
          </w:rPr>
          <w:t>Introduction</w:t>
        </w:r>
        <w:r>
          <w:rPr>
            <w:webHidden/>
          </w:rPr>
          <w:tab/>
        </w:r>
        <w:r>
          <w:rPr>
            <w:webHidden/>
          </w:rPr>
          <w:fldChar w:fldCharType="begin"/>
        </w:r>
        <w:r>
          <w:rPr>
            <w:webHidden/>
          </w:rPr>
          <w:instrText xml:space="preserve"> PAGEREF _Toc208397012 \h </w:instrText>
        </w:r>
        <w:r>
          <w:rPr>
            <w:webHidden/>
          </w:rPr>
        </w:r>
        <w:r>
          <w:rPr>
            <w:webHidden/>
          </w:rPr>
          <w:fldChar w:fldCharType="separate"/>
        </w:r>
        <w:r w:rsidR="004E7885">
          <w:rPr>
            <w:webHidden/>
          </w:rPr>
          <w:t>3</w:t>
        </w:r>
        <w:r>
          <w:rPr>
            <w:webHidden/>
          </w:rPr>
          <w:fldChar w:fldCharType="end"/>
        </w:r>
      </w:hyperlink>
    </w:p>
    <w:p w14:paraId="0E0B37D8" w14:textId="36EB57E4" w:rsidR="000C1803" w:rsidRDefault="000C180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397013" w:history="1">
        <w:r w:rsidRPr="007254AA">
          <w:rPr>
            <w:rStyle w:val="Hyperlink"/>
          </w:rPr>
          <w:t>Trade considerations</w:t>
        </w:r>
        <w:r>
          <w:rPr>
            <w:webHidden/>
          </w:rPr>
          <w:tab/>
        </w:r>
        <w:r>
          <w:rPr>
            <w:webHidden/>
          </w:rPr>
          <w:fldChar w:fldCharType="begin"/>
        </w:r>
        <w:r>
          <w:rPr>
            <w:webHidden/>
          </w:rPr>
          <w:instrText xml:space="preserve"> PAGEREF _Toc208397013 \h </w:instrText>
        </w:r>
        <w:r>
          <w:rPr>
            <w:webHidden/>
          </w:rPr>
        </w:r>
        <w:r>
          <w:rPr>
            <w:webHidden/>
          </w:rPr>
          <w:fldChar w:fldCharType="separate"/>
        </w:r>
        <w:r w:rsidR="004E7885">
          <w:rPr>
            <w:webHidden/>
          </w:rPr>
          <w:t>4</w:t>
        </w:r>
        <w:r>
          <w:rPr>
            <w:webHidden/>
          </w:rPr>
          <w:fldChar w:fldCharType="end"/>
        </w:r>
      </w:hyperlink>
    </w:p>
    <w:p w14:paraId="5F6A03F4" w14:textId="396E3BFB"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14" w:history="1">
        <w:r w:rsidRPr="007254AA">
          <w:rPr>
            <w:rStyle w:val="Hyperlink"/>
          </w:rPr>
          <w:t>Commodities exported</w:t>
        </w:r>
        <w:r>
          <w:rPr>
            <w:webHidden/>
          </w:rPr>
          <w:tab/>
        </w:r>
        <w:r>
          <w:rPr>
            <w:webHidden/>
          </w:rPr>
          <w:fldChar w:fldCharType="begin"/>
        </w:r>
        <w:r>
          <w:rPr>
            <w:webHidden/>
          </w:rPr>
          <w:instrText xml:space="preserve"> PAGEREF _Toc208397014 \h </w:instrText>
        </w:r>
        <w:r>
          <w:rPr>
            <w:webHidden/>
          </w:rPr>
        </w:r>
        <w:r>
          <w:rPr>
            <w:webHidden/>
          </w:rPr>
          <w:fldChar w:fldCharType="separate"/>
        </w:r>
        <w:r w:rsidR="004E7885">
          <w:rPr>
            <w:webHidden/>
          </w:rPr>
          <w:t>4</w:t>
        </w:r>
        <w:r>
          <w:rPr>
            <w:webHidden/>
          </w:rPr>
          <w:fldChar w:fldCharType="end"/>
        </w:r>
      </w:hyperlink>
    </w:p>
    <w:p w14:paraId="0126811C" w14:textId="7581E45F"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15" w:history="1">
        <w:r w:rsidRPr="007254AA">
          <w:rPr>
            <w:rStyle w:val="Hyperlink"/>
          </w:rPr>
          <w:t>Destination and value of exports</w:t>
        </w:r>
        <w:r>
          <w:rPr>
            <w:webHidden/>
          </w:rPr>
          <w:tab/>
        </w:r>
        <w:r>
          <w:rPr>
            <w:webHidden/>
          </w:rPr>
          <w:fldChar w:fldCharType="begin"/>
        </w:r>
        <w:r>
          <w:rPr>
            <w:webHidden/>
          </w:rPr>
          <w:instrText xml:space="preserve"> PAGEREF _Toc208397015 \h </w:instrText>
        </w:r>
        <w:r>
          <w:rPr>
            <w:webHidden/>
          </w:rPr>
        </w:r>
        <w:r>
          <w:rPr>
            <w:webHidden/>
          </w:rPr>
          <w:fldChar w:fldCharType="separate"/>
        </w:r>
        <w:r w:rsidR="004E7885">
          <w:rPr>
            <w:webHidden/>
          </w:rPr>
          <w:t>4</w:t>
        </w:r>
        <w:r>
          <w:rPr>
            <w:webHidden/>
          </w:rPr>
          <w:fldChar w:fldCharType="end"/>
        </w:r>
      </w:hyperlink>
    </w:p>
    <w:p w14:paraId="3D33BE01" w14:textId="3F7979F1"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16" w:history="1">
        <w:r w:rsidRPr="007254AA">
          <w:rPr>
            <w:rStyle w:val="Hyperlink"/>
          </w:rPr>
          <w:t>Proposed Australian use pattern</w:t>
        </w:r>
        <w:r>
          <w:rPr>
            <w:webHidden/>
          </w:rPr>
          <w:tab/>
        </w:r>
        <w:r>
          <w:rPr>
            <w:webHidden/>
          </w:rPr>
          <w:fldChar w:fldCharType="begin"/>
        </w:r>
        <w:r>
          <w:rPr>
            <w:webHidden/>
          </w:rPr>
          <w:instrText xml:space="preserve"> PAGEREF _Toc208397016 \h </w:instrText>
        </w:r>
        <w:r>
          <w:rPr>
            <w:webHidden/>
          </w:rPr>
        </w:r>
        <w:r>
          <w:rPr>
            <w:webHidden/>
          </w:rPr>
          <w:fldChar w:fldCharType="separate"/>
        </w:r>
        <w:r w:rsidR="004E7885">
          <w:rPr>
            <w:webHidden/>
          </w:rPr>
          <w:t>5</w:t>
        </w:r>
        <w:r>
          <w:rPr>
            <w:webHidden/>
          </w:rPr>
          <w:fldChar w:fldCharType="end"/>
        </w:r>
      </w:hyperlink>
    </w:p>
    <w:p w14:paraId="050CF400" w14:textId="09450C89" w:rsidR="000C1803" w:rsidRDefault="000C1803">
      <w:pPr>
        <w:pStyle w:val="TOC3"/>
        <w:rPr>
          <w:rFonts w:asciiTheme="minorHAnsi" w:eastAsiaTheme="minorEastAsia" w:hAnsiTheme="minorHAnsi" w:cstheme="minorBidi"/>
          <w:kern w:val="2"/>
          <w:sz w:val="24"/>
          <w:lang w:eastAsia="en-AU"/>
          <w14:ligatures w14:val="standardContextual"/>
        </w:rPr>
      </w:pPr>
      <w:hyperlink w:anchor="_Toc208397017" w:history="1">
        <w:r w:rsidRPr="007254AA">
          <w:rPr>
            <w:rStyle w:val="Hyperlink"/>
          </w:rPr>
          <w:t>Withholding periods</w:t>
        </w:r>
        <w:r>
          <w:rPr>
            <w:webHidden/>
          </w:rPr>
          <w:tab/>
        </w:r>
        <w:r>
          <w:rPr>
            <w:webHidden/>
          </w:rPr>
          <w:fldChar w:fldCharType="begin"/>
        </w:r>
        <w:r>
          <w:rPr>
            <w:webHidden/>
          </w:rPr>
          <w:instrText xml:space="preserve"> PAGEREF _Toc208397017 \h </w:instrText>
        </w:r>
        <w:r>
          <w:rPr>
            <w:webHidden/>
          </w:rPr>
        </w:r>
        <w:r>
          <w:rPr>
            <w:webHidden/>
          </w:rPr>
          <w:fldChar w:fldCharType="separate"/>
        </w:r>
        <w:r w:rsidR="004E7885">
          <w:rPr>
            <w:webHidden/>
          </w:rPr>
          <w:t>9</w:t>
        </w:r>
        <w:r>
          <w:rPr>
            <w:webHidden/>
          </w:rPr>
          <w:fldChar w:fldCharType="end"/>
        </w:r>
      </w:hyperlink>
    </w:p>
    <w:p w14:paraId="5CF95574" w14:textId="1817536B" w:rsidR="000C1803" w:rsidRDefault="000C1803">
      <w:pPr>
        <w:pStyle w:val="TOC3"/>
        <w:rPr>
          <w:rFonts w:asciiTheme="minorHAnsi" w:eastAsiaTheme="minorEastAsia" w:hAnsiTheme="minorHAnsi" w:cstheme="minorBidi"/>
          <w:kern w:val="2"/>
          <w:sz w:val="24"/>
          <w:lang w:eastAsia="en-AU"/>
          <w14:ligatures w14:val="standardContextual"/>
        </w:rPr>
      </w:pPr>
      <w:hyperlink w:anchor="_Toc208397018" w:history="1">
        <w:r w:rsidRPr="007254AA">
          <w:rPr>
            <w:rStyle w:val="Hyperlink"/>
          </w:rPr>
          <w:t>Trade advice</w:t>
        </w:r>
        <w:r>
          <w:rPr>
            <w:webHidden/>
          </w:rPr>
          <w:tab/>
        </w:r>
        <w:r>
          <w:rPr>
            <w:webHidden/>
          </w:rPr>
          <w:fldChar w:fldCharType="begin"/>
        </w:r>
        <w:r>
          <w:rPr>
            <w:webHidden/>
          </w:rPr>
          <w:instrText xml:space="preserve"> PAGEREF _Toc208397018 \h </w:instrText>
        </w:r>
        <w:r>
          <w:rPr>
            <w:webHidden/>
          </w:rPr>
        </w:r>
        <w:r>
          <w:rPr>
            <w:webHidden/>
          </w:rPr>
          <w:fldChar w:fldCharType="separate"/>
        </w:r>
        <w:r w:rsidR="004E7885">
          <w:rPr>
            <w:webHidden/>
          </w:rPr>
          <w:t>9</w:t>
        </w:r>
        <w:r>
          <w:rPr>
            <w:webHidden/>
          </w:rPr>
          <w:fldChar w:fldCharType="end"/>
        </w:r>
      </w:hyperlink>
    </w:p>
    <w:p w14:paraId="6450187B" w14:textId="48DB7590"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19" w:history="1">
        <w:r w:rsidRPr="007254AA">
          <w:rPr>
            <w:rStyle w:val="Hyperlink"/>
          </w:rPr>
          <w:t>Results from residues trials presented to the APVMA</w:t>
        </w:r>
        <w:r>
          <w:rPr>
            <w:webHidden/>
          </w:rPr>
          <w:tab/>
        </w:r>
        <w:r>
          <w:rPr>
            <w:webHidden/>
          </w:rPr>
          <w:fldChar w:fldCharType="begin"/>
        </w:r>
        <w:r>
          <w:rPr>
            <w:webHidden/>
          </w:rPr>
          <w:instrText xml:space="preserve"> PAGEREF _Toc208397019 \h </w:instrText>
        </w:r>
        <w:r>
          <w:rPr>
            <w:webHidden/>
          </w:rPr>
        </w:r>
        <w:r>
          <w:rPr>
            <w:webHidden/>
          </w:rPr>
          <w:fldChar w:fldCharType="separate"/>
        </w:r>
        <w:r w:rsidR="004E7885">
          <w:rPr>
            <w:webHidden/>
          </w:rPr>
          <w:t>9</w:t>
        </w:r>
        <w:r>
          <w:rPr>
            <w:webHidden/>
          </w:rPr>
          <w:fldChar w:fldCharType="end"/>
        </w:r>
      </w:hyperlink>
    </w:p>
    <w:p w14:paraId="6FC8229D" w14:textId="18701325" w:rsidR="000C1803" w:rsidRDefault="000C1803">
      <w:pPr>
        <w:pStyle w:val="TOC3"/>
        <w:rPr>
          <w:rFonts w:asciiTheme="minorHAnsi" w:eastAsiaTheme="minorEastAsia" w:hAnsiTheme="minorHAnsi" w:cstheme="minorBidi"/>
          <w:kern w:val="2"/>
          <w:sz w:val="24"/>
          <w:lang w:eastAsia="en-AU"/>
          <w14:ligatures w14:val="standardContextual"/>
        </w:rPr>
      </w:pPr>
      <w:hyperlink w:anchor="_Toc208397020" w:history="1">
        <w:r w:rsidRPr="007254AA">
          <w:rPr>
            <w:rStyle w:val="Hyperlink"/>
          </w:rPr>
          <w:t>Wheat</w:t>
        </w:r>
        <w:r>
          <w:rPr>
            <w:webHidden/>
          </w:rPr>
          <w:tab/>
        </w:r>
        <w:r>
          <w:rPr>
            <w:webHidden/>
          </w:rPr>
          <w:fldChar w:fldCharType="begin"/>
        </w:r>
        <w:r>
          <w:rPr>
            <w:webHidden/>
          </w:rPr>
          <w:instrText xml:space="preserve"> PAGEREF _Toc208397020 \h </w:instrText>
        </w:r>
        <w:r>
          <w:rPr>
            <w:webHidden/>
          </w:rPr>
        </w:r>
        <w:r>
          <w:rPr>
            <w:webHidden/>
          </w:rPr>
          <w:fldChar w:fldCharType="separate"/>
        </w:r>
        <w:r w:rsidR="004E7885">
          <w:rPr>
            <w:webHidden/>
          </w:rPr>
          <w:t>9</w:t>
        </w:r>
        <w:r>
          <w:rPr>
            <w:webHidden/>
          </w:rPr>
          <w:fldChar w:fldCharType="end"/>
        </w:r>
      </w:hyperlink>
    </w:p>
    <w:p w14:paraId="6BE4CB82" w14:textId="40A5DE92" w:rsidR="000C1803" w:rsidRDefault="000C1803">
      <w:pPr>
        <w:pStyle w:val="TOC3"/>
        <w:rPr>
          <w:rFonts w:asciiTheme="minorHAnsi" w:eastAsiaTheme="minorEastAsia" w:hAnsiTheme="minorHAnsi" w:cstheme="minorBidi"/>
          <w:kern w:val="2"/>
          <w:sz w:val="24"/>
          <w:lang w:eastAsia="en-AU"/>
          <w14:ligatures w14:val="standardContextual"/>
        </w:rPr>
      </w:pPr>
      <w:hyperlink w:anchor="_Toc208397021" w:history="1">
        <w:r w:rsidRPr="007254AA">
          <w:rPr>
            <w:rStyle w:val="Hyperlink"/>
          </w:rPr>
          <w:t>Fallow</w:t>
        </w:r>
        <w:r>
          <w:rPr>
            <w:webHidden/>
          </w:rPr>
          <w:tab/>
        </w:r>
        <w:r>
          <w:rPr>
            <w:webHidden/>
          </w:rPr>
          <w:fldChar w:fldCharType="begin"/>
        </w:r>
        <w:r>
          <w:rPr>
            <w:webHidden/>
          </w:rPr>
          <w:instrText xml:space="preserve"> PAGEREF _Toc208397021 \h </w:instrText>
        </w:r>
        <w:r>
          <w:rPr>
            <w:webHidden/>
          </w:rPr>
        </w:r>
        <w:r>
          <w:rPr>
            <w:webHidden/>
          </w:rPr>
          <w:fldChar w:fldCharType="separate"/>
        </w:r>
        <w:r w:rsidR="004E7885">
          <w:rPr>
            <w:webHidden/>
          </w:rPr>
          <w:t>11</w:t>
        </w:r>
        <w:r>
          <w:rPr>
            <w:webHidden/>
          </w:rPr>
          <w:fldChar w:fldCharType="end"/>
        </w:r>
      </w:hyperlink>
    </w:p>
    <w:p w14:paraId="43601869" w14:textId="76169A17" w:rsidR="000C1803" w:rsidRDefault="000C1803">
      <w:pPr>
        <w:pStyle w:val="TOC3"/>
        <w:rPr>
          <w:rFonts w:asciiTheme="minorHAnsi" w:eastAsiaTheme="minorEastAsia" w:hAnsiTheme="minorHAnsi" w:cstheme="minorBidi"/>
          <w:kern w:val="2"/>
          <w:sz w:val="24"/>
          <w:lang w:eastAsia="en-AU"/>
          <w14:ligatures w14:val="standardContextual"/>
        </w:rPr>
      </w:pPr>
      <w:hyperlink w:anchor="_Toc208397022" w:history="1">
        <w:r w:rsidRPr="007254AA">
          <w:rPr>
            <w:rStyle w:val="Hyperlink"/>
          </w:rPr>
          <w:t>Animal commodities</w:t>
        </w:r>
        <w:r>
          <w:rPr>
            <w:webHidden/>
          </w:rPr>
          <w:tab/>
        </w:r>
        <w:r>
          <w:rPr>
            <w:webHidden/>
          </w:rPr>
          <w:fldChar w:fldCharType="begin"/>
        </w:r>
        <w:r>
          <w:rPr>
            <w:webHidden/>
          </w:rPr>
          <w:instrText xml:space="preserve"> PAGEREF _Toc208397022 \h </w:instrText>
        </w:r>
        <w:r>
          <w:rPr>
            <w:webHidden/>
          </w:rPr>
        </w:r>
        <w:r>
          <w:rPr>
            <w:webHidden/>
          </w:rPr>
          <w:fldChar w:fldCharType="separate"/>
        </w:r>
        <w:r w:rsidR="004E7885">
          <w:rPr>
            <w:webHidden/>
          </w:rPr>
          <w:t>12</w:t>
        </w:r>
        <w:r>
          <w:rPr>
            <w:webHidden/>
          </w:rPr>
          <w:fldChar w:fldCharType="end"/>
        </w:r>
      </w:hyperlink>
    </w:p>
    <w:p w14:paraId="58955A6C" w14:textId="2D957DD7"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23" w:history="1">
        <w:r w:rsidRPr="007254AA">
          <w:rPr>
            <w:rStyle w:val="Hyperlink"/>
          </w:rPr>
          <w:t>Overseas registration and approved label instructions</w:t>
        </w:r>
        <w:r>
          <w:rPr>
            <w:webHidden/>
          </w:rPr>
          <w:tab/>
        </w:r>
        <w:r>
          <w:rPr>
            <w:webHidden/>
          </w:rPr>
          <w:fldChar w:fldCharType="begin"/>
        </w:r>
        <w:r>
          <w:rPr>
            <w:webHidden/>
          </w:rPr>
          <w:instrText xml:space="preserve"> PAGEREF _Toc208397023 \h </w:instrText>
        </w:r>
        <w:r>
          <w:rPr>
            <w:webHidden/>
          </w:rPr>
        </w:r>
        <w:r>
          <w:rPr>
            <w:webHidden/>
          </w:rPr>
          <w:fldChar w:fldCharType="separate"/>
        </w:r>
        <w:r w:rsidR="004E7885">
          <w:rPr>
            <w:webHidden/>
          </w:rPr>
          <w:t>13</w:t>
        </w:r>
        <w:r>
          <w:rPr>
            <w:webHidden/>
          </w:rPr>
          <w:fldChar w:fldCharType="end"/>
        </w:r>
      </w:hyperlink>
    </w:p>
    <w:p w14:paraId="74BAB8BF" w14:textId="12B92A61"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24" w:history="1">
        <w:r w:rsidRPr="007254AA">
          <w:rPr>
            <w:rStyle w:val="Hyperlink"/>
          </w:rPr>
          <w:t>Codex Alimentarius Commission and overseas MRLs</w:t>
        </w:r>
        <w:r>
          <w:rPr>
            <w:webHidden/>
          </w:rPr>
          <w:tab/>
        </w:r>
        <w:r>
          <w:rPr>
            <w:webHidden/>
          </w:rPr>
          <w:fldChar w:fldCharType="begin"/>
        </w:r>
        <w:r>
          <w:rPr>
            <w:webHidden/>
          </w:rPr>
          <w:instrText xml:space="preserve"> PAGEREF _Toc208397024 \h </w:instrText>
        </w:r>
        <w:r>
          <w:rPr>
            <w:webHidden/>
          </w:rPr>
        </w:r>
        <w:r>
          <w:rPr>
            <w:webHidden/>
          </w:rPr>
          <w:fldChar w:fldCharType="separate"/>
        </w:r>
        <w:r w:rsidR="004E7885">
          <w:rPr>
            <w:webHidden/>
          </w:rPr>
          <w:t>13</w:t>
        </w:r>
        <w:r>
          <w:rPr>
            <w:webHidden/>
          </w:rPr>
          <w:fldChar w:fldCharType="end"/>
        </w:r>
      </w:hyperlink>
    </w:p>
    <w:p w14:paraId="3A4E7D95" w14:textId="3BAF6BC8"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25" w:history="1">
        <w:r w:rsidRPr="007254AA">
          <w:rPr>
            <w:rStyle w:val="Hyperlink"/>
          </w:rPr>
          <w:t>Current and proposed Australian MRLs for tiafenacil</w:t>
        </w:r>
        <w:r>
          <w:rPr>
            <w:webHidden/>
          </w:rPr>
          <w:tab/>
        </w:r>
        <w:r>
          <w:rPr>
            <w:webHidden/>
          </w:rPr>
          <w:fldChar w:fldCharType="begin"/>
        </w:r>
        <w:r>
          <w:rPr>
            <w:webHidden/>
          </w:rPr>
          <w:instrText xml:space="preserve"> PAGEREF _Toc208397025 \h </w:instrText>
        </w:r>
        <w:r>
          <w:rPr>
            <w:webHidden/>
          </w:rPr>
        </w:r>
        <w:r>
          <w:rPr>
            <w:webHidden/>
          </w:rPr>
          <w:fldChar w:fldCharType="separate"/>
        </w:r>
        <w:r w:rsidR="004E7885">
          <w:rPr>
            <w:webHidden/>
          </w:rPr>
          <w:t>15</w:t>
        </w:r>
        <w:r>
          <w:rPr>
            <w:webHidden/>
          </w:rPr>
          <w:fldChar w:fldCharType="end"/>
        </w:r>
      </w:hyperlink>
    </w:p>
    <w:p w14:paraId="7034A341" w14:textId="0A743137"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26" w:history="1">
        <w:r w:rsidRPr="007254AA">
          <w:rPr>
            <w:rStyle w:val="Hyperlink"/>
          </w:rPr>
          <w:t>Current and proposed residue definition for tiafenacil</w:t>
        </w:r>
        <w:r>
          <w:rPr>
            <w:webHidden/>
          </w:rPr>
          <w:tab/>
        </w:r>
        <w:r>
          <w:rPr>
            <w:webHidden/>
          </w:rPr>
          <w:fldChar w:fldCharType="begin"/>
        </w:r>
        <w:r>
          <w:rPr>
            <w:webHidden/>
          </w:rPr>
          <w:instrText xml:space="preserve"> PAGEREF _Toc208397026 \h </w:instrText>
        </w:r>
        <w:r>
          <w:rPr>
            <w:webHidden/>
          </w:rPr>
        </w:r>
        <w:r>
          <w:rPr>
            <w:webHidden/>
          </w:rPr>
          <w:fldChar w:fldCharType="separate"/>
        </w:r>
        <w:r w:rsidR="004E7885">
          <w:rPr>
            <w:webHidden/>
          </w:rPr>
          <w:t>16</w:t>
        </w:r>
        <w:r>
          <w:rPr>
            <w:webHidden/>
          </w:rPr>
          <w:fldChar w:fldCharType="end"/>
        </w:r>
      </w:hyperlink>
    </w:p>
    <w:p w14:paraId="2E67E48F" w14:textId="1A2F3CF2" w:rsidR="000C1803" w:rsidRDefault="000C1803">
      <w:pPr>
        <w:pStyle w:val="TOC2"/>
        <w:rPr>
          <w:rFonts w:asciiTheme="minorHAnsi" w:eastAsiaTheme="minorEastAsia" w:hAnsiTheme="minorHAnsi" w:cstheme="minorBidi"/>
          <w:b w:val="0"/>
          <w:color w:val="auto"/>
          <w:kern w:val="2"/>
          <w:sz w:val="24"/>
          <w:lang w:eastAsia="en-AU"/>
          <w14:ligatures w14:val="standardContextual"/>
        </w:rPr>
      </w:pPr>
      <w:hyperlink w:anchor="_Toc208397027" w:history="1">
        <w:r w:rsidRPr="007254AA">
          <w:rPr>
            <w:rStyle w:val="Hyperlink"/>
          </w:rPr>
          <w:t>Potential risk to trade</w:t>
        </w:r>
        <w:r>
          <w:rPr>
            <w:webHidden/>
          </w:rPr>
          <w:tab/>
        </w:r>
        <w:r>
          <w:rPr>
            <w:webHidden/>
          </w:rPr>
          <w:fldChar w:fldCharType="begin"/>
        </w:r>
        <w:r>
          <w:rPr>
            <w:webHidden/>
          </w:rPr>
          <w:instrText xml:space="preserve"> PAGEREF _Toc208397027 \h </w:instrText>
        </w:r>
        <w:r>
          <w:rPr>
            <w:webHidden/>
          </w:rPr>
        </w:r>
        <w:r>
          <w:rPr>
            <w:webHidden/>
          </w:rPr>
          <w:fldChar w:fldCharType="separate"/>
        </w:r>
        <w:r w:rsidR="004E7885">
          <w:rPr>
            <w:webHidden/>
          </w:rPr>
          <w:t>18</w:t>
        </w:r>
        <w:r>
          <w:rPr>
            <w:webHidden/>
          </w:rPr>
          <w:fldChar w:fldCharType="end"/>
        </w:r>
      </w:hyperlink>
    </w:p>
    <w:p w14:paraId="62B803CF" w14:textId="74AF30F4" w:rsidR="000C1803" w:rsidRDefault="000C1803">
      <w:pPr>
        <w:pStyle w:val="TOC3"/>
        <w:rPr>
          <w:rFonts w:asciiTheme="minorHAnsi" w:eastAsiaTheme="minorEastAsia" w:hAnsiTheme="minorHAnsi" w:cstheme="minorBidi"/>
          <w:kern w:val="2"/>
          <w:sz w:val="24"/>
          <w:lang w:eastAsia="en-AU"/>
          <w14:ligatures w14:val="standardContextual"/>
        </w:rPr>
      </w:pPr>
      <w:hyperlink w:anchor="_Toc208397028" w:history="1">
        <w:r w:rsidRPr="007254AA">
          <w:rPr>
            <w:rStyle w:val="Hyperlink"/>
          </w:rPr>
          <w:t>Wheat grain</w:t>
        </w:r>
        <w:r>
          <w:rPr>
            <w:webHidden/>
          </w:rPr>
          <w:tab/>
        </w:r>
        <w:r>
          <w:rPr>
            <w:webHidden/>
          </w:rPr>
          <w:fldChar w:fldCharType="begin"/>
        </w:r>
        <w:r>
          <w:rPr>
            <w:webHidden/>
          </w:rPr>
          <w:instrText xml:space="preserve"> PAGEREF _Toc208397028 \h </w:instrText>
        </w:r>
        <w:r>
          <w:rPr>
            <w:webHidden/>
          </w:rPr>
        </w:r>
        <w:r>
          <w:rPr>
            <w:webHidden/>
          </w:rPr>
          <w:fldChar w:fldCharType="separate"/>
        </w:r>
        <w:r w:rsidR="004E7885">
          <w:rPr>
            <w:webHidden/>
          </w:rPr>
          <w:t>18</w:t>
        </w:r>
        <w:r>
          <w:rPr>
            <w:webHidden/>
          </w:rPr>
          <w:fldChar w:fldCharType="end"/>
        </w:r>
      </w:hyperlink>
    </w:p>
    <w:p w14:paraId="48770F70" w14:textId="17BCBBFC" w:rsidR="000C1803" w:rsidRDefault="000C1803">
      <w:pPr>
        <w:pStyle w:val="TOC3"/>
        <w:rPr>
          <w:rFonts w:asciiTheme="minorHAnsi" w:eastAsiaTheme="minorEastAsia" w:hAnsiTheme="minorHAnsi" w:cstheme="minorBidi"/>
          <w:kern w:val="2"/>
          <w:sz w:val="24"/>
          <w:lang w:eastAsia="en-AU"/>
          <w14:ligatures w14:val="standardContextual"/>
        </w:rPr>
      </w:pPr>
      <w:hyperlink w:anchor="_Toc208397029" w:history="1">
        <w:r w:rsidRPr="007254AA">
          <w:rPr>
            <w:rStyle w:val="Hyperlink"/>
          </w:rPr>
          <w:t>Wheat forage, Wheat straw and fodder, dry</w:t>
        </w:r>
        <w:r>
          <w:rPr>
            <w:webHidden/>
          </w:rPr>
          <w:tab/>
        </w:r>
        <w:r>
          <w:rPr>
            <w:webHidden/>
          </w:rPr>
          <w:fldChar w:fldCharType="begin"/>
        </w:r>
        <w:r>
          <w:rPr>
            <w:webHidden/>
          </w:rPr>
          <w:instrText xml:space="preserve"> PAGEREF _Toc208397029 \h </w:instrText>
        </w:r>
        <w:r>
          <w:rPr>
            <w:webHidden/>
          </w:rPr>
        </w:r>
        <w:r>
          <w:rPr>
            <w:webHidden/>
          </w:rPr>
          <w:fldChar w:fldCharType="separate"/>
        </w:r>
        <w:r w:rsidR="004E7885">
          <w:rPr>
            <w:webHidden/>
          </w:rPr>
          <w:t>18</w:t>
        </w:r>
        <w:r>
          <w:rPr>
            <w:webHidden/>
          </w:rPr>
          <w:fldChar w:fldCharType="end"/>
        </w:r>
      </w:hyperlink>
    </w:p>
    <w:p w14:paraId="1A982377" w14:textId="7AA0AAF3" w:rsidR="000C1803" w:rsidRDefault="000C1803">
      <w:pPr>
        <w:pStyle w:val="TOC3"/>
        <w:rPr>
          <w:rFonts w:asciiTheme="minorHAnsi" w:eastAsiaTheme="minorEastAsia" w:hAnsiTheme="minorHAnsi" w:cstheme="minorBidi"/>
          <w:kern w:val="2"/>
          <w:sz w:val="24"/>
          <w:lang w:eastAsia="en-AU"/>
          <w14:ligatures w14:val="standardContextual"/>
        </w:rPr>
      </w:pPr>
      <w:hyperlink w:anchor="_Toc208397030" w:history="1">
        <w:r w:rsidRPr="007254AA">
          <w:rPr>
            <w:rStyle w:val="Hyperlink"/>
          </w:rPr>
          <w:t>Animal commodities</w:t>
        </w:r>
        <w:r>
          <w:rPr>
            <w:webHidden/>
          </w:rPr>
          <w:tab/>
        </w:r>
        <w:r>
          <w:rPr>
            <w:webHidden/>
          </w:rPr>
          <w:fldChar w:fldCharType="begin"/>
        </w:r>
        <w:r>
          <w:rPr>
            <w:webHidden/>
          </w:rPr>
          <w:instrText xml:space="preserve"> PAGEREF _Toc208397030 \h </w:instrText>
        </w:r>
        <w:r>
          <w:rPr>
            <w:webHidden/>
          </w:rPr>
        </w:r>
        <w:r>
          <w:rPr>
            <w:webHidden/>
          </w:rPr>
          <w:fldChar w:fldCharType="separate"/>
        </w:r>
        <w:r w:rsidR="004E7885">
          <w:rPr>
            <w:webHidden/>
          </w:rPr>
          <w:t>18</w:t>
        </w:r>
        <w:r>
          <w:rPr>
            <w:webHidden/>
          </w:rPr>
          <w:fldChar w:fldCharType="end"/>
        </w:r>
      </w:hyperlink>
    </w:p>
    <w:p w14:paraId="599555A9" w14:textId="0B6B13F9" w:rsidR="000C1803" w:rsidRDefault="000C180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8397031" w:history="1">
        <w:r w:rsidRPr="007254AA">
          <w:rPr>
            <w:rStyle w:val="Hyperlink"/>
          </w:rPr>
          <w:t>Conclusion</w:t>
        </w:r>
        <w:r>
          <w:rPr>
            <w:webHidden/>
          </w:rPr>
          <w:tab/>
        </w:r>
        <w:r>
          <w:rPr>
            <w:webHidden/>
          </w:rPr>
          <w:fldChar w:fldCharType="begin"/>
        </w:r>
        <w:r>
          <w:rPr>
            <w:webHidden/>
          </w:rPr>
          <w:instrText xml:space="preserve"> PAGEREF _Toc208397031 \h </w:instrText>
        </w:r>
        <w:r>
          <w:rPr>
            <w:webHidden/>
          </w:rPr>
        </w:r>
        <w:r>
          <w:rPr>
            <w:webHidden/>
          </w:rPr>
          <w:fldChar w:fldCharType="separate"/>
        </w:r>
        <w:r w:rsidR="004E7885">
          <w:rPr>
            <w:webHidden/>
          </w:rPr>
          <w:t>19</w:t>
        </w:r>
        <w:r>
          <w:rPr>
            <w:webHidden/>
          </w:rPr>
          <w:fldChar w:fldCharType="end"/>
        </w:r>
      </w:hyperlink>
    </w:p>
    <w:p w14:paraId="0B54F894" w14:textId="77777777" w:rsidR="000C1803"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55D109CD" w14:textId="7A75E888"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32" w:history="1">
        <w:r w:rsidRPr="003F7782">
          <w:rPr>
            <w:rStyle w:val="Hyperlink"/>
          </w:rPr>
          <w:t>Table 1:</w:t>
        </w:r>
        <w:r>
          <w:rPr>
            <w:rFonts w:asciiTheme="minorHAnsi" w:eastAsiaTheme="minorEastAsia" w:hAnsiTheme="minorHAnsi" w:cstheme="minorBidi"/>
            <w:kern w:val="2"/>
            <w:sz w:val="24"/>
            <w:lang w:eastAsia="en-AU"/>
            <w14:ligatures w14:val="standardContextual"/>
          </w:rPr>
          <w:tab/>
        </w:r>
        <w:r w:rsidRPr="003F7782">
          <w:rPr>
            <w:rStyle w:val="Hyperlink"/>
          </w:rPr>
          <w:t>Proposed use pattern – Terrad'or Herbicide (700 g/kg tiafenacil, Water dispersible granule)</w:t>
        </w:r>
        <w:r>
          <w:rPr>
            <w:webHidden/>
          </w:rPr>
          <w:tab/>
        </w:r>
        <w:r>
          <w:rPr>
            <w:webHidden/>
          </w:rPr>
          <w:fldChar w:fldCharType="begin"/>
        </w:r>
        <w:r>
          <w:rPr>
            <w:webHidden/>
          </w:rPr>
          <w:instrText xml:space="preserve"> PAGEREF _Toc208397032 \h </w:instrText>
        </w:r>
        <w:r>
          <w:rPr>
            <w:webHidden/>
          </w:rPr>
        </w:r>
        <w:r>
          <w:rPr>
            <w:webHidden/>
          </w:rPr>
          <w:fldChar w:fldCharType="separate"/>
        </w:r>
        <w:r w:rsidR="004E7885">
          <w:rPr>
            <w:webHidden/>
          </w:rPr>
          <w:t>5</w:t>
        </w:r>
        <w:r>
          <w:rPr>
            <w:webHidden/>
          </w:rPr>
          <w:fldChar w:fldCharType="end"/>
        </w:r>
      </w:hyperlink>
    </w:p>
    <w:p w14:paraId="4F71EB9B" w14:textId="31E24152"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33" w:history="1">
        <w:r w:rsidRPr="003F7782">
          <w:rPr>
            <w:rStyle w:val="Hyperlink"/>
          </w:rPr>
          <w:t>Table 2:</w:t>
        </w:r>
        <w:r>
          <w:rPr>
            <w:rFonts w:asciiTheme="minorHAnsi" w:eastAsiaTheme="minorEastAsia" w:hAnsiTheme="minorHAnsi" w:cstheme="minorBidi"/>
            <w:kern w:val="2"/>
            <w:sz w:val="24"/>
            <w:lang w:eastAsia="en-AU"/>
            <w14:ligatures w14:val="standardContextual"/>
          </w:rPr>
          <w:tab/>
        </w:r>
        <w:r w:rsidRPr="003F7782">
          <w:rPr>
            <w:rStyle w:val="Hyperlink"/>
          </w:rPr>
          <w:t>Estimated residues in mammalian tissues and milk and required MRLs</w:t>
        </w:r>
        <w:r>
          <w:rPr>
            <w:webHidden/>
          </w:rPr>
          <w:tab/>
        </w:r>
        <w:r>
          <w:rPr>
            <w:webHidden/>
          </w:rPr>
          <w:fldChar w:fldCharType="begin"/>
        </w:r>
        <w:r>
          <w:rPr>
            <w:webHidden/>
          </w:rPr>
          <w:instrText xml:space="preserve"> PAGEREF _Toc208397033 \h </w:instrText>
        </w:r>
        <w:r>
          <w:rPr>
            <w:webHidden/>
          </w:rPr>
        </w:r>
        <w:r>
          <w:rPr>
            <w:webHidden/>
          </w:rPr>
          <w:fldChar w:fldCharType="separate"/>
        </w:r>
        <w:r w:rsidR="004E7885">
          <w:rPr>
            <w:webHidden/>
          </w:rPr>
          <w:t>12</w:t>
        </w:r>
        <w:r>
          <w:rPr>
            <w:webHidden/>
          </w:rPr>
          <w:fldChar w:fldCharType="end"/>
        </w:r>
      </w:hyperlink>
    </w:p>
    <w:p w14:paraId="60688AAC" w14:textId="61F553D7"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34" w:history="1">
        <w:r w:rsidRPr="003F7782">
          <w:rPr>
            <w:rStyle w:val="Hyperlink"/>
          </w:rPr>
          <w:t>Table 3:</w:t>
        </w:r>
        <w:r>
          <w:rPr>
            <w:rFonts w:asciiTheme="minorHAnsi" w:eastAsiaTheme="minorEastAsia" w:hAnsiTheme="minorHAnsi" w:cstheme="minorBidi"/>
            <w:kern w:val="2"/>
            <w:sz w:val="24"/>
            <w:lang w:eastAsia="en-AU"/>
            <w14:ligatures w14:val="standardContextual"/>
          </w:rPr>
          <w:tab/>
        </w:r>
        <w:r w:rsidRPr="003F7782">
          <w:rPr>
            <w:rStyle w:val="Hyperlink"/>
          </w:rPr>
          <w:t>Overseas MRLs/tolerances for tiafenacil</w:t>
        </w:r>
        <w:r>
          <w:rPr>
            <w:webHidden/>
          </w:rPr>
          <w:tab/>
        </w:r>
        <w:r>
          <w:rPr>
            <w:webHidden/>
          </w:rPr>
          <w:fldChar w:fldCharType="begin"/>
        </w:r>
        <w:r>
          <w:rPr>
            <w:webHidden/>
          </w:rPr>
          <w:instrText xml:space="preserve"> PAGEREF _Toc208397034 \h </w:instrText>
        </w:r>
        <w:r>
          <w:rPr>
            <w:webHidden/>
          </w:rPr>
        </w:r>
        <w:r>
          <w:rPr>
            <w:webHidden/>
          </w:rPr>
          <w:fldChar w:fldCharType="separate"/>
        </w:r>
        <w:r w:rsidR="004E7885">
          <w:rPr>
            <w:webHidden/>
          </w:rPr>
          <w:t>14</w:t>
        </w:r>
        <w:r>
          <w:rPr>
            <w:webHidden/>
          </w:rPr>
          <w:fldChar w:fldCharType="end"/>
        </w:r>
      </w:hyperlink>
    </w:p>
    <w:p w14:paraId="259CE1DF" w14:textId="2231B41C"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35" w:history="1">
        <w:r w:rsidRPr="003F7782">
          <w:rPr>
            <w:rStyle w:val="Hyperlink"/>
          </w:rPr>
          <w:t>Table 4:</w:t>
        </w:r>
        <w:r>
          <w:rPr>
            <w:rFonts w:asciiTheme="minorHAnsi" w:eastAsiaTheme="minorEastAsia" w:hAnsiTheme="minorHAnsi" w:cstheme="minorBidi"/>
            <w:kern w:val="2"/>
            <w:sz w:val="24"/>
            <w:lang w:eastAsia="en-AU"/>
            <w14:ligatures w14:val="standardContextual"/>
          </w:rPr>
          <w:tab/>
        </w:r>
        <w:r w:rsidRPr="003F7782">
          <w:rPr>
            <w:rStyle w:val="Hyperlink"/>
          </w:rPr>
          <w:t>Current MRL Standard – Table 1</w:t>
        </w:r>
        <w:r>
          <w:rPr>
            <w:webHidden/>
          </w:rPr>
          <w:tab/>
        </w:r>
        <w:r>
          <w:rPr>
            <w:webHidden/>
          </w:rPr>
          <w:fldChar w:fldCharType="begin"/>
        </w:r>
        <w:r>
          <w:rPr>
            <w:webHidden/>
          </w:rPr>
          <w:instrText xml:space="preserve"> PAGEREF _Toc208397035 \h </w:instrText>
        </w:r>
        <w:r>
          <w:rPr>
            <w:webHidden/>
          </w:rPr>
        </w:r>
        <w:r>
          <w:rPr>
            <w:webHidden/>
          </w:rPr>
          <w:fldChar w:fldCharType="separate"/>
        </w:r>
        <w:r w:rsidR="004E7885">
          <w:rPr>
            <w:webHidden/>
          </w:rPr>
          <w:t>15</w:t>
        </w:r>
        <w:r>
          <w:rPr>
            <w:webHidden/>
          </w:rPr>
          <w:fldChar w:fldCharType="end"/>
        </w:r>
      </w:hyperlink>
    </w:p>
    <w:p w14:paraId="0E91E562" w14:textId="4DF12045"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36" w:history="1">
        <w:r w:rsidRPr="003F7782">
          <w:rPr>
            <w:rStyle w:val="Hyperlink"/>
          </w:rPr>
          <w:t>Table 5:</w:t>
        </w:r>
        <w:r>
          <w:rPr>
            <w:rFonts w:asciiTheme="minorHAnsi" w:eastAsiaTheme="minorEastAsia" w:hAnsiTheme="minorHAnsi" w:cstheme="minorBidi"/>
            <w:kern w:val="2"/>
            <w:sz w:val="24"/>
            <w:lang w:eastAsia="en-AU"/>
            <w14:ligatures w14:val="standardContextual"/>
          </w:rPr>
          <w:tab/>
        </w:r>
        <w:r w:rsidRPr="003F7782">
          <w:rPr>
            <w:rStyle w:val="Hyperlink"/>
          </w:rPr>
          <w:t>Current MRL Standard – Table 4</w:t>
        </w:r>
        <w:r>
          <w:rPr>
            <w:webHidden/>
          </w:rPr>
          <w:tab/>
        </w:r>
        <w:r>
          <w:rPr>
            <w:webHidden/>
          </w:rPr>
          <w:fldChar w:fldCharType="begin"/>
        </w:r>
        <w:r>
          <w:rPr>
            <w:webHidden/>
          </w:rPr>
          <w:instrText xml:space="preserve"> PAGEREF _Toc208397036 \h </w:instrText>
        </w:r>
        <w:r>
          <w:rPr>
            <w:webHidden/>
          </w:rPr>
        </w:r>
        <w:r>
          <w:rPr>
            <w:webHidden/>
          </w:rPr>
          <w:fldChar w:fldCharType="separate"/>
        </w:r>
        <w:r w:rsidR="004E7885">
          <w:rPr>
            <w:webHidden/>
          </w:rPr>
          <w:t>15</w:t>
        </w:r>
        <w:r>
          <w:rPr>
            <w:webHidden/>
          </w:rPr>
          <w:fldChar w:fldCharType="end"/>
        </w:r>
      </w:hyperlink>
    </w:p>
    <w:p w14:paraId="0E198B04" w14:textId="7DD5E19C"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37" w:history="1">
        <w:r w:rsidRPr="003F7782">
          <w:rPr>
            <w:rStyle w:val="Hyperlink"/>
          </w:rPr>
          <w:t>Table 6:</w:t>
        </w:r>
        <w:r>
          <w:rPr>
            <w:rFonts w:asciiTheme="minorHAnsi" w:eastAsiaTheme="minorEastAsia" w:hAnsiTheme="minorHAnsi" w:cstheme="minorBidi"/>
            <w:kern w:val="2"/>
            <w:sz w:val="24"/>
            <w:lang w:eastAsia="en-AU"/>
            <w14:ligatures w14:val="standardContextual"/>
          </w:rPr>
          <w:tab/>
        </w:r>
        <w:r w:rsidRPr="003F7782">
          <w:rPr>
            <w:rStyle w:val="Hyperlink"/>
          </w:rPr>
          <w:t>Proposed MRL Standard – Table 1</w:t>
        </w:r>
        <w:r>
          <w:rPr>
            <w:webHidden/>
          </w:rPr>
          <w:tab/>
        </w:r>
        <w:r>
          <w:rPr>
            <w:webHidden/>
          </w:rPr>
          <w:fldChar w:fldCharType="begin"/>
        </w:r>
        <w:r>
          <w:rPr>
            <w:webHidden/>
          </w:rPr>
          <w:instrText xml:space="preserve"> PAGEREF _Toc208397037 \h </w:instrText>
        </w:r>
        <w:r>
          <w:rPr>
            <w:webHidden/>
          </w:rPr>
        </w:r>
        <w:r>
          <w:rPr>
            <w:webHidden/>
          </w:rPr>
          <w:fldChar w:fldCharType="separate"/>
        </w:r>
        <w:r w:rsidR="004E7885">
          <w:rPr>
            <w:webHidden/>
          </w:rPr>
          <w:t>15</w:t>
        </w:r>
        <w:r>
          <w:rPr>
            <w:webHidden/>
          </w:rPr>
          <w:fldChar w:fldCharType="end"/>
        </w:r>
      </w:hyperlink>
    </w:p>
    <w:p w14:paraId="04F6C497" w14:textId="6F8D9942"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38" w:history="1">
        <w:r w:rsidRPr="003F7782">
          <w:rPr>
            <w:rStyle w:val="Hyperlink"/>
          </w:rPr>
          <w:t>Table 7:</w:t>
        </w:r>
        <w:r>
          <w:rPr>
            <w:rFonts w:asciiTheme="minorHAnsi" w:eastAsiaTheme="minorEastAsia" w:hAnsiTheme="minorHAnsi" w:cstheme="minorBidi"/>
            <w:kern w:val="2"/>
            <w:sz w:val="24"/>
            <w:lang w:eastAsia="en-AU"/>
            <w14:ligatures w14:val="standardContextual"/>
          </w:rPr>
          <w:tab/>
        </w:r>
        <w:r w:rsidRPr="003F7782">
          <w:rPr>
            <w:rStyle w:val="Hyperlink"/>
          </w:rPr>
          <w:t>Proposed MRL Standard – Table 4</w:t>
        </w:r>
        <w:r>
          <w:rPr>
            <w:webHidden/>
          </w:rPr>
          <w:tab/>
        </w:r>
        <w:r>
          <w:rPr>
            <w:webHidden/>
          </w:rPr>
          <w:fldChar w:fldCharType="begin"/>
        </w:r>
        <w:r>
          <w:rPr>
            <w:webHidden/>
          </w:rPr>
          <w:instrText xml:space="preserve"> PAGEREF _Toc208397038 \h </w:instrText>
        </w:r>
        <w:r>
          <w:rPr>
            <w:webHidden/>
          </w:rPr>
        </w:r>
        <w:r>
          <w:rPr>
            <w:webHidden/>
          </w:rPr>
          <w:fldChar w:fldCharType="separate"/>
        </w:r>
        <w:r w:rsidR="004E7885">
          <w:rPr>
            <w:webHidden/>
          </w:rPr>
          <w:t>16</w:t>
        </w:r>
        <w:r>
          <w:rPr>
            <w:webHidden/>
          </w:rPr>
          <w:fldChar w:fldCharType="end"/>
        </w:r>
      </w:hyperlink>
    </w:p>
    <w:p w14:paraId="09E087CF" w14:textId="1AC7006E"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39" w:history="1">
        <w:r w:rsidRPr="003F7782">
          <w:rPr>
            <w:rStyle w:val="Hyperlink"/>
          </w:rPr>
          <w:t>Table 8:</w:t>
        </w:r>
        <w:r>
          <w:rPr>
            <w:rFonts w:asciiTheme="minorHAnsi" w:eastAsiaTheme="minorEastAsia" w:hAnsiTheme="minorHAnsi" w:cstheme="minorBidi"/>
            <w:kern w:val="2"/>
            <w:sz w:val="24"/>
            <w:lang w:eastAsia="en-AU"/>
            <w14:ligatures w14:val="standardContextual"/>
          </w:rPr>
          <w:tab/>
        </w:r>
        <w:r w:rsidRPr="003F7782">
          <w:rPr>
            <w:rStyle w:val="Hyperlink"/>
          </w:rPr>
          <w:t>Current residue definition – Table 3</w:t>
        </w:r>
        <w:r>
          <w:rPr>
            <w:webHidden/>
          </w:rPr>
          <w:tab/>
        </w:r>
        <w:r>
          <w:rPr>
            <w:webHidden/>
          </w:rPr>
          <w:fldChar w:fldCharType="begin"/>
        </w:r>
        <w:r>
          <w:rPr>
            <w:webHidden/>
          </w:rPr>
          <w:instrText xml:space="preserve"> PAGEREF _Toc208397039 \h </w:instrText>
        </w:r>
        <w:r>
          <w:rPr>
            <w:webHidden/>
          </w:rPr>
        </w:r>
        <w:r>
          <w:rPr>
            <w:webHidden/>
          </w:rPr>
          <w:fldChar w:fldCharType="separate"/>
        </w:r>
        <w:r w:rsidR="004E7885">
          <w:rPr>
            <w:webHidden/>
          </w:rPr>
          <w:t>16</w:t>
        </w:r>
        <w:r>
          <w:rPr>
            <w:webHidden/>
          </w:rPr>
          <w:fldChar w:fldCharType="end"/>
        </w:r>
      </w:hyperlink>
    </w:p>
    <w:p w14:paraId="05C6D776" w14:textId="3C973A59" w:rsidR="000C1803" w:rsidRDefault="000C1803">
      <w:pPr>
        <w:pStyle w:val="TableofFigures"/>
        <w:rPr>
          <w:rFonts w:asciiTheme="minorHAnsi" w:eastAsiaTheme="minorEastAsia" w:hAnsiTheme="minorHAnsi" w:cstheme="minorBidi"/>
          <w:kern w:val="2"/>
          <w:sz w:val="24"/>
          <w:lang w:eastAsia="en-AU"/>
          <w14:ligatures w14:val="standardContextual"/>
        </w:rPr>
      </w:pPr>
      <w:hyperlink w:anchor="_Toc208397040" w:history="1">
        <w:r w:rsidRPr="003F7782">
          <w:rPr>
            <w:rStyle w:val="Hyperlink"/>
          </w:rPr>
          <w:t>Table 9:</w:t>
        </w:r>
        <w:r>
          <w:rPr>
            <w:rFonts w:asciiTheme="minorHAnsi" w:eastAsiaTheme="minorEastAsia" w:hAnsiTheme="minorHAnsi" w:cstheme="minorBidi"/>
            <w:kern w:val="2"/>
            <w:sz w:val="24"/>
            <w:lang w:eastAsia="en-AU"/>
            <w14:ligatures w14:val="standardContextual"/>
          </w:rPr>
          <w:tab/>
        </w:r>
        <w:r w:rsidRPr="003F7782">
          <w:rPr>
            <w:rStyle w:val="Hyperlink"/>
          </w:rPr>
          <w:t>Proposed residue definition – Table 3</w:t>
        </w:r>
        <w:r>
          <w:rPr>
            <w:webHidden/>
          </w:rPr>
          <w:tab/>
        </w:r>
        <w:r>
          <w:rPr>
            <w:webHidden/>
          </w:rPr>
          <w:fldChar w:fldCharType="begin"/>
        </w:r>
        <w:r>
          <w:rPr>
            <w:webHidden/>
          </w:rPr>
          <w:instrText xml:space="preserve"> PAGEREF _Toc208397040 \h </w:instrText>
        </w:r>
        <w:r>
          <w:rPr>
            <w:webHidden/>
          </w:rPr>
        </w:r>
        <w:r>
          <w:rPr>
            <w:webHidden/>
          </w:rPr>
          <w:fldChar w:fldCharType="separate"/>
        </w:r>
        <w:r w:rsidR="004E7885">
          <w:rPr>
            <w:webHidden/>
          </w:rPr>
          <w:t>17</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23"/>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08397008"/>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208397009"/>
      <w:r>
        <w:t>About this document</w:t>
      </w:r>
      <w:bookmarkEnd w:id="4"/>
      <w:bookmarkEnd w:id="5"/>
    </w:p>
    <w:p w14:paraId="29EE149D" w14:textId="40ED6D5F"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APVMA is considering an application to vary the use of an existing registered agric</w:t>
      </w:r>
      <w:r w:rsidR="00E63AC3">
        <w:rPr>
          <w:lang w:val="en-US"/>
        </w:rPr>
        <w:t>ultural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6" w:name="_Toc208397010"/>
      <w:r>
        <w:t>Making a submission</w:t>
      </w:r>
      <w:bookmarkEnd w:id="6"/>
    </w:p>
    <w:p w14:paraId="5DCD1FC6" w14:textId="57E54B42" w:rsidR="006D36C8" w:rsidRPr="00AF1ED4" w:rsidRDefault="006D36C8" w:rsidP="00AF1ED4">
      <w:pPr>
        <w:pStyle w:val="APVMAText"/>
      </w:pPr>
      <w:r w:rsidRPr="00AF1ED4">
        <w:t>The APVMA invites any person to submit a relevant written submission as to whether the application to vary the registration of</w:t>
      </w:r>
      <w:r w:rsidR="00F453FE" w:rsidRPr="00AF1ED4">
        <w:t xml:space="preserve"> </w:t>
      </w:r>
      <w:r w:rsidR="00E737CE">
        <w:t xml:space="preserve">Terrad'or Herbicide </w:t>
      </w:r>
      <w:r w:rsidRPr="00AF1ED4">
        <w:t>should be granted.</w:t>
      </w:r>
      <w:r w:rsidR="00BA67F0" w:rsidRPr="00AF1ED4">
        <w:t xml:space="preserve"> </w:t>
      </w:r>
      <w:r w:rsidRPr="00AF1ED4">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79BAA225" w:rsidR="006D36C8" w:rsidRDefault="006D36C8" w:rsidP="006D36C8">
      <w:pPr>
        <w:pStyle w:val="APVMAText"/>
      </w:pPr>
      <w:r>
        <w:t>Submissions must be received by the APVMA by close of business on</w:t>
      </w:r>
      <w:r w:rsidR="00696A51">
        <w:t xml:space="preserve"> </w:t>
      </w:r>
      <w:r w:rsidR="003C43A6">
        <w:t>10</w:t>
      </w:r>
      <w:r w:rsidR="00696A51">
        <w:t xml:space="preserve"> </w:t>
      </w:r>
      <w:r w:rsidR="00027A80">
        <w:t>October</w:t>
      </w:r>
      <w:r w:rsidR="00696A51">
        <w:t xml:space="preserve"> </w:t>
      </w:r>
      <w:r w:rsidR="00E737CE">
        <w:t>2025</w:t>
      </w:r>
      <w:r>
        <w:t xml:space="preserve"> and be directed to the contact listed below. All submissions to the APVMA will be acknowledged in writing via email or by post.</w:t>
      </w:r>
    </w:p>
    <w:p w14:paraId="00425FA1" w14:textId="31F43F44" w:rsidR="005B1363" w:rsidRDefault="006D36C8" w:rsidP="006D36C8">
      <w:pPr>
        <w:pStyle w:val="APVMAText"/>
        <w:rPr>
          <w:lang w:val="en-US"/>
        </w:rPr>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w:t>
      </w:r>
      <w:r w:rsidR="005B1363">
        <w:rPr>
          <w:lang w:val="en-US"/>
        </w:rPr>
        <w:br w:type="page"/>
      </w:r>
    </w:p>
    <w:p w14:paraId="0D5B62E2" w14:textId="77777777" w:rsidR="006D36C8" w:rsidRDefault="006D36C8" w:rsidP="006D36C8">
      <w:pPr>
        <w:pStyle w:val="APVMAText"/>
        <w:rPr>
          <w:lang w:val="en-US"/>
        </w:rPr>
      </w:pPr>
      <w:r>
        <w:rPr>
          <w:lang w:val="en-US"/>
        </w:rPr>
        <w:lastRenderedPageBreak/>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24"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5"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CAB2E2C" w14:textId="2B49FCE4" w:rsidR="00E737CE" w:rsidRDefault="00E737CE" w:rsidP="00E737CE">
      <w:pPr>
        <w:pStyle w:val="APVMAAddress"/>
        <w:tabs>
          <w:tab w:val="clear" w:pos="1361"/>
          <w:tab w:val="left" w:pos="851"/>
        </w:tabs>
        <w:ind w:left="0"/>
      </w:pPr>
      <w:bookmarkStart w:id="7" w:name="_Toc2243844"/>
      <w:r>
        <w:t xml:space="preserve">Executive Director, </w:t>
      </w:r>
      <w:r w:rsidR="00A523E2">
        <w:t>Agricultural Chemicals</w:t>
      </w:r>
      <w:r w:rsidR="00156769">
        <w:br/>
      </w:r>
      <w:r>
        <w:t>Australian Pesticides and Veterinary Medicines Authority</w:t>
      </w:r>
      <w:r w:rsidR="00156769">
        <w:br/>
      </w:r>
      <w:r>
        <w:t>GPO Box 574</w:t>
      </w:r>
      <w:r w:rsidR="00156769">
        <w:br/>
      </w:r>
      <w:r>
        <w:t>Canberra ACT 2601 Australia</w:t>
      </w:r>
    </w:p>
    <w:p w14:paraId="39095F34" w14:textId="13BC9B67" w:rsidR="00E737CE" w:rsidRPr="006D36C8" w:rsidRDefault="00E737CE" w:rsidP="00156769">
      <w:pPr>
        <w:pStyle w:val="APVMAAddress"/>
        <w:tabs>
          <w:tab w:val="clear" w:pos="1361"/>
          <w:tab w:val="left" w:pos="851"/>
        </w:tabs>
        <w:spacing w:before="240"/>
        <w:ind w:left="0"/>
      </w:pPr>
      <w:r>
        <w:rPr>
          <w:b/>
        </w:rPr>
        <w:t>Phone:</w:t>
      </w:r>
      <w:r>
        <w:tab/>
        <w:t>+61 2 6770 2300</w:t>
      </w:r>
      <w:r w:rsidR="00156769">
        <w:br/>
      </w:r>
      <w:r>
        <w:rPr>
          <w:b/>
        </w:rPr>
        <w:t>Email:</w:t>
      </w:r>
      <w:r>
        <w:tab/>
      </w:r>
      <w:r w:rsidRPr="00B92177">
        <w:t>enquiries@apvma.gov.au</w:t>
      </w:r>
    </w:p>
    <w:p w14:paraId="75ADC83A" w14:textId="77777777" w:rsidR="006D36C8" w:rsidRDefault="006D36C8" w:rsidP="00032787">
      <w:pPr>
        <w:pStyle w:val="APVMAPreliminariesH2"/>
      </w:pPr>
      <w:bookmarkStart w:id="8" w:name="_Toc208397011"/>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rsidSect="00327AD5">
          <w:headerReference w:type="even" r:id="rId26"/>
          <w:headerReference w:type="default" r:id="rId27"/>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8" w:history="1">
        <w:r>
          <w:rPr>
            <w:rStyle w:val="Hyperlink"/>
          </w:rPr>
          <w:t>apvma.gov.au</w:t>
        </w:r>
      </w:hyperlink>
      <w:r w:rsidRPr="00AF1ED4">
        <w:rPr>
          <w:rStyle w:val="Hyperlink"/>
          <w:color w:val="auto"/>
          <w:u w:val="none"/>
        </w:rPr>
        <w:t>.</w:t>
      </w:r>
    </w:p>
    <w:p w14:paraId="5181B9C2" w14:textId="70DA256D" w:rsidR="002E20AC" w:rsidRDefault="007B1953" w:rsidP="00C33824">
      <w:pPr>
        <w:pStyle w:val="Heading1"/>
        <w:spacing w:before="240" w:after="240" w:line="280" w:lineRule="exact"/>
        <w:ind w:left="680" w:hanging="680"/>
      </w:pPr>
      <w:bookmarkStart w:id="9" w:name="_Toc208397012"/>
      <w:r>
        <w:lastRenderedPageBreak/>
        <w:t>I</w:t>
      </w:r>
      <w:r w:rsidR="006D36C8">
        <w:t>ntroduction</w:t>
      </w:r>
      <w:bookmarkEnd w:id="9"/>
    </w:p>
    <w:p w14:paraId="0E69D732" w14:textId="7A1724C0" w:rsidR="00FC3A19" w:rsidRDefault="00FC3A19" w:rsidP="00C33824">
      <w:pPr>
        <w:pStyle w:val="APVMAText"/>
      </w:pPr>
      <w:bookmarkStart w:id="10" w:name="_Toc56505030"/>
      <w:r w:rsidRPr="006478D0">
        <w:t xml:space="preserve">The APVMA has before it an application from </w:t>
      </w:r>
      <w:r w:rsidR="00C33824" w:rsidRPr="00C33824">
        <w:t>FarmHannong Co., Ltd</w:t>
      </w:r>
      <w:r w:rsidR="00C33824">
        <w:t>.</w:t>
      </w:r>
      <w:r w:rsidR="00C33824" w:rsidRPr="00C33824">
        <w:t xml:space="preserve"> </w:t>
      </w:r>
      <w:r w:rsidRPr="006478D0">
        <w:t xml:space="preserve">to </w:t>
      </w:r>
      <w:r w:rsidR="00C33824">
        <w:t>vary the product registration of</w:t>
      </w:r>
      <w:r>
        <w:t xml:space="preserve"> </w:t>
      </w:r>
      <w:r w:rsidR="00C33824">
        <w:t>Terrad'or Herbicide</w:t>
      </w:r>
      <w:r>
        <w:t>, containing</w:t>
      </w:r>
      <w:r w:rsidRPr="004F4924">
        <w:t xml:space="preserve"> </w:t>
      </w:r>
      <w:r w:rsidR="00C33824">
        <w:t>700</w:t>
      </w:r>
      <w:r w:rsidR="00C33824" w:rsidRPr="00DD5FB7">
        <w:t xml:space="preserve"> g/</w:t>
      </w:r>
      <w:r w:rsidR="00C33824">
        <w:t>kg</w:t>
      </w:r>
      <w:r w:rsidR="00C33824" w:rsidRPr="00DD5FB7">
        <w:t xml:space="preserve"> </w:t>
      </w:r>
      <w:r w:rsidR="00C33824">
        <w:t>tiafenacil</w:t>
      </w:r>
      <w:r w:rsidR="00C33824" w:rsidRPr="00DD5FB7">
        <w:t xml:space="preserve">, </w:t>
      </w:r>
      <w:r w:rsidR="00C33824">
        <w:t>Water dispersible granule</w:t>
      </w:r>
      <w:r>
        <w:t xml:space="preserve">, </w:t>
      </w:r>
      <w:bookmarkEnd w:id="10"/>
      <w:r w:rsidR="00C33824" w:rsidRPr="00DD5FB7">
        <w:t>to</w:t>
      </w:r>
      <w:r w:rsidR="00C33824">
        <w:t xml:space="preserve"> include a pre-harvest (late season) use in wheat, remove the current grazing restraint for fallow (i.e. Do not allow livestock to graze treated weeds) and establish a grazing withholding period (WHP) of 7 days for fallow.</w:t>
      </w:r>
    </w:p>
    <w:p w14:paraId="760A3FAE" w14:textId="09BF54B6" w:rsidR="00C33824" w:rsidRDefault="00C33824" w:rsidP="00C33824">
      <w:pPr>
        <w:pStyle w:val="APVMAText"/>
      </w:pPr>
      <w:r>
        <w:t xml:space="preserve">The registered use of tiafenacil </w:t>
      </w:r>
      <w:r w:rsidRPr="00464909">
        <w:t xml:space="preserve">in fallows and cereals involve a pre-sowing application at rates of up to 28 g ai/ha tiafenacil + Nufarm CanDo Adjuvant (0.5 L/100 L), to be tank mixed with either Nufarm </w:t>
      </w:r>
      <w:r w:rsidR="00796086">
        <w:t xml:space="preserve">CRUCIAL </w:t>
      </w:r>
      <w:r w:rsidRPr="00464909">
        <w:t>Herbicide (P86761, 360-1080 g ai/ha glyphosate) or Nufarm Shirquat Herbicide (P53919, 500-600 g ai/ha paraquat), in conjunction with a harvest WHP of ‘Not required when used as directed’ and a grazing WHP of ‘Do not allow livestock to graze treated weeds’ for fallows and 8 weeks for cereals</w:t>
      </w:r>
      <w:r>
        <w:t xml:space="preserve"> (Terrad'or Herbicide,</w:t>
      </w:r>
      <w:r w:rsidRPr="00464909">
        <w:t xml:space="preserve"> </w:t>
      </w:r>
      <w:r w:rsidRPr="003D0629">
        <w:t>Water dispersible granule</w:t>
      </w:r>
      <w:r>
        <w:t>, P88074)</w:t>
      </w:r>
      <w:r w:rsidRPr="00464909">
        <w:t>.</w:t>
      </w:r>
    </w:p>
    <w:p w14:paraId="4BD1E7B1" w14:textId="22F537DF" w:rsidR="00C33824" w:rsidRDefault="00C33824" w:rsidP="00C33824">
      <w:pPr>
        <w:pStyle w:val="APVMAText"/>
      </w:pPr>
      <w:r>
        <w:t xml:space="preserve">The current tiafenacil </w:t>
      </w:r>
      <w:r w:rsidR="00FD741A">
        <w:t>Maximum Residue Limit (</w:t>
      </w:r>
      <w:r>
        <w:t>MRL</w:t>
      </w:r>
      <w:r w:rsidR="00FD741A">
        <w:t>)</w:t>
      </w:r>
      <w:r>
        <w:t xml:space="preserve"> of *0.01 mg/kg for GC 0080 Cereal grains was established </w:t>
      </w:r>
      <w:r w:rsidR="00884A9E">
        <w:t>in 2020</w:t>
      </w:r>
      <w:r>
        <w:t xml:space="preserve"> based on 15 Australian trials on wheat, barley, oats and sorghum supported by 53 North American trials on wheat and field corn.</w:t>
      </w:r>
      <w:r w:rsidR="009F1EFE">
        <w:t xml:space="preserve"> </w:t>
      </w:r>
      <w:r w:rsidR="003756C0">
        <w:t>Based on 11 Australian field trials over multiple seasons, no</w:t>
      </w:r>
      <w:r w:rsidR="009F1EFE">
        <w:t xml:space="preserve"> change to this MRL is </w:t>
      </w:r>
      <w:r w:rsidR="003756C0">
        <w:t>required</w:t>
      </w:r>
      <w:r w:rsidR="009F1EFE">
        <w:t xml:space="preserve"> to support th</w:t>
      </w:r>
      <w:r w:rsidR="003756C0">
        <w:t>e new use pattern for pre-harvest application in wheat as detectable residues should not be found when the proposed label instructions are followed</w:t>
      </w:r>
      <w:r w:rsidR="009F1EFE">
        <w:t>.</w:t>
      </w:r>
    </w:p>
    <w:p w14:paraId="4EB24838" w14:textId="0DA1132E" w:rsidR="00C33824" w:rsidRDefault="00C33824" w:rsidP="00C33824">
      <w:pPr>
        <w:spacing w:before="240" w:after="240" w:line="280" w:lineRule="exact"/>
      </w:pPr>
      <w:r>
        <w:t xml:space="preserve">The current grazing restraint for fallow (i.e. </w:t>
      </w:r>
      <w:r w:rsidRPr="00DA7BA0">
        <w:t>Do not allow livestock to graze treated weeds</w:t>
      </w:r>
      <w:r>
        <w:t xml:space="preserve">) was </w:t>
      </w:r>
      <w:r w:rsidRPr="00DA7BA0">
        <w:t xml:space="preserve">established </w:t>
      </w:r>
      <w:r w:rsidR="00884A9E">
        <w:t>in 2020</w:t>
      </w:r>
      <w:r>
        <w:t>, noting that no residue data had been provided at that time to address the direct treatment of weeds in a fallow situation.</w:t>
      </w:r>
    </w:p>
    <w:p w14:paraId="4D42D083" w14:textId="4E9F0CDB" w:rsidR="00FC3A19" w:rsidRDefault="009F1EFE" w:rsidP="00884A9E">
      <w:pPr>
        <w:pStyle w:val="APVMAText"/>
      </w:pPr>
      <w:r>
        <w:t xml:space="preserve">The proposed tiafenacil </w:t>
      </w:r>
      <w:r w:rsidR="00C33824">
        <w:t xml:space="preserve">MRLs for </w:t>
      </w:r>
      <w:r w:rsidR="00884A9E">
        <w:t>wheat forage and wheat straw and fodder, dry</w:t>
      </w:r>
      <w:r w:rsidR="00C33824">
        <w:t xml:space="preserve"> </w:t>
      </w:r>
      <w:r>
        <w:t xml:space="preserve">are </w:t>
      </w:r>
      <w:r w:rsidR="00C33824">
        <w:t xml:space="preserve">higher than the current tiafenacil MRL for </w:t>
      </w:r>
      <w:r w:rsidR="00884A9E">
        <w:t xml:space="preserve">cereal forage and fodder, </w:t>
      </w:r>
      <w:r>
        <w:t xml:space="preserve">so </w:t>
      </w:r>
      <w:r w:rsidR="00884A9E">
        <w:t xml:space="preserve">an increase in the current tiafenacil MRL for edible offal (mammalian) and the </w:t>
      </w:r>
      <w:r w:rsidR="00C33824">
        <w:t xml:space="preserve">establishment of a finite </w:t>
      </w:r>
      <w:r w:rsidR="00884A9E">
        <w:t>tiafenacil</w:t>
      </w:r>
      <w:r w:rsidR="00C33824">
        <w:t xml:space="preserve"> MRL of </w:t>
      </w:r>
      <w:r w:rsidR="00884A9E">
        <w:t>0.05</w:t>
      </w:r>
      <w:r w:rsidR="00C33824">
        <w:t xml:space="preserve"> mg/kg for </w:t>
      </w:r>
      <w:r w:rsidR="00884A9E">
        <w:t xml:space="preserve">meat (mammalian) [in the fat] </w:t>
      </w:r>
      <w:r w:rsidR="00C33824">
        <w:t xml:space="preserve">are proposed which therefore </w:t>
      </w:r>
      <w:r w:rsidR="00C33824" w:rsidRPr="00B61C9A">
        <w:t>requires further consideration with respect to trade.</w:t>
      </w:r>
      <w:r w:rsidR="003756C0">
        <w:t xml:space="preserve"> Based on livestock metabolism and transfer studies, an Export Slaughter Interval (ESI) of 3 days is proposed which </w:t>
      </w:r>
      <w:r w:rsidR="003756C0" w:rsidRPr="003756C0">
        <w:t>should ensure there are no residues in animal meat, fat and offal for export.</w:t>
      </w:r>
    </w:p>
    <w:p w14:paraId="2FF1D50D" w14:textId="768DEDCE" w:rsidR="00FC3A19" w:rsidRDefault="008045E7" w:rsidP="009F5E20">
      <w:pPr>
        <w:pStyle w:val="APVMAText"/>
        <w:sectPr w:rsidR="00FC3A19">
          <w:pgSz w:w="11906" w:h="16838" w:code="9"/>
          <w:pgMar w:top="2835" w:right="1134" w:bottom="1134" w:left="1134" w:header="1701" w:footer="680" w:gutter="0"/>
          <w:cols w:space="708"/>
          <w:docGrid w:linePitch="360"/>
        </w:sectPr>
      </w:pPr>
      <w:r>
        <w:t>It is recommended that the</w:t>
      </w:r>
      <w:r w:rsidR="008E725C">
        <w:t xml:space="preserve"> current tiafenacil residue definition for commodities of plant origin for dietary exposure assessment (tiafenacil + M-36 + M-53 + M56, expressed as tiafenacil)</w:t>
      </w:r>
      <w:r>
        <w:t xml:space="preserve"> be amended to</w:t>
      </w:r>
      <w:r w:rsidR="001D4B98">
        <w:t xml:space="preserve"> replace the current metabolites with M-01 and M-10 (tiafenacil + M-01 + M-10, expressed as tiafenacil). </w:t>
      </w:r>
      <w:r w:rsidR="008F39F4">
        <w:t>The</w:t>
      </w:r>
      <w:r w:rsidR="001D4B98">
        <w:t xml:space="preserve"> </w:t>
      </w:r>
      <w:r w:rsidR="008F39F4">
        <w:t>recommended change to the residue definition for dietary risk assessment is not relevant to trade</w:t>
      </w:r>
      <w:r w:rsidR="008E725C">
        <w:t>, noting that no finite residues in wheat grain were observed in all components of the recommended residue definition.</w:t>
      </w:r>
    </w:p>
    <w:p w14:paraId="6FDBA0BF" w14:textId="1F2CDA12" w:rsidR="006D36C8" w:rsidRDefault="006D36C8" w:rsidP="007B1953">
      <w:pPr>
        <w:pStyle w:val="Heading1"/>
        <w:ind w:left="680" w:hanging="680"/>
      </w:pPr>
      <w:bookmarkStart w:id="11" w:name="_Toc2243846"/>
      <w:bookmarkStart w:id="12" w:name="_Toc208397013"/>
      <w:r w:rsidRPr="00032787">
        <w:lastRenderedPageBreak/>
        <w:t>Trade</w:t>
      </w:r>
      <w:r w:rsidR="007B1953">
        <w:t xml:space="preserve"> c</w:t>
      </w:r>
      <w:r>
        <w:t>onsiderations</w:t>
      </w:r>
      <w:bookmarkEnd w:id="11"/>
      <w:bookmarkEnd w:id="12"/>
    </w:p>
    <w:p w14:paraId="57B2B732" w14:textId="77777777" w:rsidR="006D36C8" w:rsidRDefault="006D36C8" w:rsidP="007B1953">
      <w:pPr>
        <w:pStyle w:val="Heading2"/>
        <w:numPr>
          <w:ilvl w:val="0"/>
          <w:numId w:val="0"/>
        </w:numPr>
      </w:pPr>
      <w:bookmarkStart w:id="13" w:name="_Toc2243847"/>
      <w:bookmarkStart w:id="14" w:name="_Toc208397014"/>
      <w:r>
        <w:t xml:space="preserve">Commodities </w:t>
      </w:r>
      <w:r w:rsidRPr="00753ED8">
        <w:t>exported</w:t>
      </w:r>
      <w:bookmarkEnd w:id="13"/>
      <w:bookmarkEnd w:id="14"/>
    </w:p>
    <w:p w14:paraId="7E2AE415" w14:textId="1EC5B448" w:rsidR="006D36C8" w:rsidRPr="00926AC7" w:rsidRDefault="002B4794" w:rsidP="006D36C8">
      <w:pPr>
        <w:pStyle w:val="APVMAText"/>
      </w:pPr>
      <w:r w:rsidRPr="00926AC7">
        <w:t>Wheat</w:t>
      </w:r>
      <w:r w:rsidR="00926AC7" w:rsidRPr="00926AC7">
        <w:t xml:space="preserve"> is </w:t>
      </w:r>
      <w:r w:rsidRPr="00926AC7">
        <w:t xml:space="preserve">considered to be </w:t>
      </w:r>
      <w:r w:rsidR="00926AC7" w:rsidRPr="00926AC7">
        <w:t xml:space="preserve">a </w:t>
      </w:r>
      <w:r w:rsidRPr="00926AC7">
        <w:t>major export commodit</w:t>
      </w:r>
      <w:r w:rsidR="00926AC7" w:rsidRPr="00926AC7">
        <w:t>y</w:t>
      </w:r>
      <w:r w:rsidRPr="00926AC7">
        <w:t>, as are commodities of animal origin, such as meat, offal and dairy products, which may be derived from livestock fed feeds produced from treated forages and fodders. Residues in these commodities resulting from the use of Terrad'or Herbicide may have the potential to unduly prejudice trade.</w:t>
      </w:r>
    </w:p>
    <w:p w14:paraId="4E7D018C" w14:textId="77777777" w:rsidR="006D36C8" w:rsidRDefault="006D36C8" w:rsidP="007B1953">
      <w:pPr>
        <w:pStyle w:val="Heading2"/>
        <w:numPr>
          <w:ilvl w:val="0"/>
          <w:numId w:val="0"/>
        </w:numPr>
      </w:pPr>
      <w:bookmarkStart w:id="15" w:name="_Toc231889745"/>
      <w:bookmarkStart w:id="16" w:name="_Toc2243848"/>
      <w:bookmarkStart w:id="17" w:name="_Toc208397015"/>
      <w:r>
        <w:t>Destination and value of exports</w:t>
      </w:r>
      <w:bookmarkEnd w:id="15"/>
      <w:bookmarkEnd w:id="16"/>
      <w:bookmarkEnd w:id="17"/>
    </w:p>
    <w:p w14:paraId="423558F5" w14:textId="31013377" w:rsidR="004D536B" w:rsidRDefault="002B4794" w:rsidP="002B4794">
      <w:pPr>
        <w:pStyle w:val="APVMAText"/>
      </w:pPr>
      <w:bookmarkStart w:id="18" w:name="_Toc252955166"/>
      <w:r>
        <w:t>Total exports of wheat were 22454 kt in the 2023 fiscal year, valued at $9.87 billion. Major export destinations for Australian wheat were China, Indonesia, Philippines, Vietnam, Yemen, Korea, Japan, Malaysia, New Zealand, Thailand, Kuwait, United Arab Emirates, Papua New Guinea, Myanmar, South Africa, Taiwan, Fiji, Oman, Iraq, India and Singapore (</w:t>
      </w:r>
      <w:bookmarkStart w:id="19" w:name="_Hlk206503632"/>
      <w:r>
        <w:t>A</w:t>
      </w:r>
      <w:r w:rsidR="001D4B98">
        <w:t>ustralian Bureau of Agricultural and Resource Economics and Science</w:t>
      </w:r>
      <w:bookmarkEnd w:id="19"/>
      <w:r w:rsidR="003F299F">
        <w:t>)</w:t>
      </w:r>
      <w:r w:rsidR="003F299F">
        <w:rPr>
          <w:rStyle w:val="FootnoteReference"/>
        </w:rPr>
        <w:footnoteReference w:id="2"/>
      </w:r>
      <w:r>
        <w:t>.</w:t>
      </w:r>
    </w:p>
    <w:p w14:paraId="0379A25B" w14:textId="0023976A" w:rsidR="00BB474D" w:rsidRDefault="002D689D" w:rsidP="002B4794">
      <w:pPr>
        <w:pStyle w:val="APVMAText"/>
        <w:sectPr w:rsidR="00BB474D">
          <w:headerReference w:type="even" r:id="rId29"/>
          <w:pgSz w:w="11906" w:h="16838" w:code="9"/>
          <w:pgMar w:top="2835" w:right="1134" w:bottom="1134" w:left="1134" w:header="1701" w:footer="680" w:gutter="0"/>
          <w:cols w:space="708"/>
          <w:docGrid w:linePitch="360"/>
        </w:sectPr>
      </w:pPr>
      <w:r w:rsidRPr="002D689D">
        <w:t>The significant export markets for Australian beef, sheep, pig meat and offal are listed in the APVMA Regulatory Guidelines – Data Guidelines: Agricultural - Overseas trade (Part 5B)</w:t>
      </w:r>
      <w:r w:rsidR="00A96541">
        <w:rPr>
          <w:rStyle w:val="FootnoteReference"/>
        </w:rPr>
        <w:footnoteReference w:id="3"/>
      </w:r>
      <w:r w:rsidRPr="002D689D">
        <w:t>.</w:t>
      </w:r>
    </w:p>
    <w:p w14:paraId="5CEE699E" w14:textId="4156AF62" w:rsidR="00BB474D" w:rsidRPr="00156769" w:rsidRDefault="004D536B" w:rsidP="00156769">
      <w:pPr>
        <w:pStyle w:val="Heading2"/>
      </w:pPr>
      <w:bookmarkStart w:id="20" w:name="_Toc208397016"/>
      <w:r w:rsidRPr="00156769">
        <w:lastRenderedPageBreak/>
        <w:t>Proposed Australian use pattern</w:t>
      </w:r>
      <w:bookmarkEnd w:id="20"/>
    </w:p>
    <w:p w14:paraId="30ACF002" w14:textId="747E8AF0" w:rsidR="00A64A6A" w:rsidRDefault="00A64A6A" w:rsidP="00156769">
      <w:pPr>
        <w:pStyle w:val="Caption"/>
        <w:rPr>
          <w:color w:val="000000"/>
        </w:rPr>
      </w:pPr>
      <w:bookmarkStart w:id="21" w:name="_Toc208397032"/>
      <w:r w:rsidRPr="006B6367">
        <w:t xml:space="preserve">Table </w:t>
      </w:r>
      <w:r w:rsidR="006B6367" w:rsidRPr="006B6367">
        <w:fldChar w:fldCharType="begin"/>
      </w:r>
      <w:r w:rsidR="006B6367" w:rsidRPr="006B6367">
        <w:instrText xml:space="preserve"> SEQ Table \* ARABIC </w:instrText>
      </w:r>
      <w:r w:rsidR="006B6367" w:rsidRPr="006B6367">
        <w:fldChar w:fldCharType="separate"/>
      </w:r>
      <w:r w:rsidR="004E7885">
        <w:rPr>
          <w:noProof/>
        </w:rPr>
        <w:t>1</w:t>
      </w:r>
      <w:r w:rsidR="006B6367" w:rsidRPr="006B6367">
        <w:fldChar w:fldCharType="end"/>
      </w:r>
      <w:r w:rsidRPr="006B6367">
        <w:t>:</w:t>
      </w:r>
      <w:r w:rsidRPr="006B6367">
        <w:tab/>
        <w:t>Proposed use pattern – Terrad'or Herbicide (700 g/kg tiafenacil, Water dispersible granule)</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46"/>
        <w:gridCol w:w="2983"/>
        <w:gridCol w:w="2126"/>
        <w:gridCol w:w="6915"/>
      </w:tblGrid>
      <w:tr w:rsidR="009F5E20" w14:paraId="676A3E85" w14:textId="21E9A52A" w:rsidTr="009F5E20">
        <w:trPr>
          <w:tblHeader/>
        </w:trPr>
        <w:tc>
          <w:tcPr>
            <w:tcW w:w="0" w:type="auto"/>
            <w:tcBorders>
              <w:top w:val="single" w:sz="4" w:space="0" w:color="auto"/>
              <w:left w:val="nil"/>
              <w:bottom w:val="single" w:sz="4" w:space="0" w:color="auto"/>
              <w:right w:val="nil"/>
            </w:tcBorders>
            <w:shd w:val="clear" w:color="auto" w:fill="00747A" w:themeFill="background2"/>
          </w:tcPr>
          <w:p w14:paraId="4F2010F2" w14:textId="75066BE8" w:rsidR="00327AD5" w:rsidRDefault="00327AD5" w:rsidP="00051D06">
            <w:pPr>
              <w:pStyle w:val="APVMATableHead"/>
            </w:pPr>
            <w:r w:rsidRPr="00AB7C0A">
              <w:t>Crop</w:t>
            </w:r>
          </w:p>
        </w:tc>
        <w:tc>
          <w:tcPr>
            <w:tcW w:w="2983" w:type="dxa"/>
            <w:tcBorders>
              <w:top w:val="single" w:sz="4" w:space="0" w:color="auto"/>
              <w:left w:val="nil"/>
              <w:bottom w:val="single" w:sz="4" w:space="0" w:color="auto"/>
              <w:right w:val="nil"/>
            </w:tcBorders>
            <w:shd w:val="clear" w:color="auto" w:fill="00747A" w:themeFill="background2"/>
          </w:tcPr>
          <w:p w14:paraId="1C36F746" w14:textId="03E8BCD6" w:rsidR="00327AD5" w:rsidRDefault="00327AD5" w:rsidP="00051D06">
            <w:pPr>
              <w:pStyle w:val="APVMATableHead"/>
            </w:pPr>
            <w:r w:rsidRPr="00AB7C0A">
              <w:t>Weeds/Situation</w:t>
            </w:r>
          </w:p>
        </w:tc>
        <w:tc>
          <w:tcPr>
            <w:tcW w:w="2126" w:type="dxa"/>
            <w:tcBorders>
              <w:top w:val="single" w:sz="4" w:space="0" w:color="auto"/>
              <w:left w:val="nil"/>
              <w:bottom w:val="single" w:sz="4" w:space="0" w:color="auto"/>
              <w:right w:val="nil"/>
            </w:tcBorders>
            <w:shd w:val="clear" w:color="auto" w:fill="00747A" w:themeFill="background2"/>
          </w:tcPr>
          <w:p w14:paraId="03B8E65D" w14:textId="47D68640" w:rsidR="00327AD5" w:rsidRDefault="00327AD5" w:rsidP="00051D06">
            <w:pPr>
              <w:pStyle w:val="APVMATableHeadRight"/>
              <w:jc w:val="left"/>
            </w:pPr>
            <w:r w:rsidRPr="00AB7C0A">
              <w:t>Rate</w:t>
            </w:r>
          </w:p>
        </w:tc>
        <w:tc>
          <w:tcPr>
            <w:tcW w:w="6915" w:type="dxa"/>
            <w:tcBorders>
              <w:top w:val="single" w:sz="4" w:space="0" w:color="auto"/>
              <w:left w:val="nil"/>
              <w:bottom w:val="single" w:sz="4" w:space="0" w:color="auto"/>
              <w:right w:val="nil"/>
            </w:tcBorders>
            <w:shd w:val="clear" w:color="auto" w:fill="00747A" w:themeFill="background2"/>
          </w:tcPr>
          <w:p w14:paraId="1B71FAFA" w14:textId="0BE91294" w:rsidR="00327AD5" w:rsidRDefault="00327AD5" w:rsidP="00051D06">
            <w:pPr>
              <w:pStyle w:val="APVMATableHeadRight"/>
              <w:jc w:val="left"/>
            </w:pPr>
            <w:r w:rsidRPr="00AB7C0A">
              <w:t>Critical comments</w:t>
            </w:r>
          </w:p>
        </w:tc>
      </w:tr>
      <w:tr w:rsidR="00051D06" w14:paraId="50CE5186" w14:textId="77777777" w:rsidTr="009F5E20">
        <w:tc>
          <w:tcPr>
            <w:tcW w:w="0" w:type="auto"/>
            <w:gridSpan w:val="4"/>
            <w:tcBorders>
              <w:top w:val="single" w:sz="4" w:space="0" w:color="auto"/>
              <w:left w:val="nil"/>
              <w:bottom w:val="single" w:sz="4" w:space="0" w:color="auto"/>
              <w:right w:val="nil"/>
            </w:tcBorders>
          </w:tcPr>
          <w:p w14:paraId="64028C54" w14:textId="7FEF20C9" w:rsidR="00051D06" w:rsidRPr="00156769" w:rsidRDefault="00051D06" w:rsidP="00051D06">
            <w:pPr>
              <w:pStyle w:val="APVMATableSubHead"/>
            </w:pPr>
            <w:r w:rsidRPr="00051D06">
              <w:t xml:space="preserve">Section 1 </w:t>
            </w:r>
            <w:r>
              <w:t>–</w:t>
            </w:r>
            <w:r w:rsidRPr="00051D06">
              <w:t xml:space="preserve"> PRIOR</w:t>
            </w:r>
            <w:r>
              <w:t xml:space="preserve"> </w:t>
            </w:r>
            <w:r w:rsidRPr="00051D06">
              <w:t>TO SOWING</w:t>
            </w:r>
          </w:p>
        </w:tc>
      </w:tr>
      <w:tr w:rsidR="009F5E20" w14:paraId="28F8C39C" w14:textId="395CC8C3" w:rsidTr="009F5E20">
        <w:tc>
          <w:tcPr>
            <w:tcW w:w="0" w:type="auto"/>
            <w:tcBorders>
              <w:top w:val="single" w:sz="4" w:space="0" w:color="auto"/>
              <w:left w:val="nil"/>
              <w:bottom w:val="single" w:sz="4" w:space="0" w:color="auto"/>
              <w:right w:val="nil"/>
            </w:tcBorders>
          </w:tcPr>
          <w:p w14:paraId="4A1DAC0F" w14:textId="77777777" w:rsidR="00327AD5" w:rsidRPr="00156769" w:rsidRDefault="00327AD5" w:rsidP="00327AD5">
            <w:pPr>
              <w:pStyle w:val="APVMATableText"/>
            </w:pPr>
            <w:r w:rsidRPr="00156769">
              <w:t>Prior to sowing the following winter or summer broadacre crops, pastures or starting a fallow and for fallow maintenance:</w:t>
            </w:r>
          </w:p>
          <w:p w14:paraId="6F5EA53F" w14:textId="77777777" w:rsidR="00327AD5" w:rsidRPr="00156769" w:rsidRDefault="00327AD5" w:rsidP="00327AD5">
            <w:pPr>
              <w:pStyle w:val="APVMATableText"/>
            </w:pPr>
            <w:r w:rsidRPr="00156769">
              <w:t>Cereals;</w:t>
            </w:r>
            <w:r>
              <w:br/>
            </w:r>
            <w:r w:rsidRPr="00156769">
              <w:t>Pasture grasses;</w:t>
            </w:r>
            <w:r>
              <w:br/>
            </w:r>
            <w:r w:rsidRPr="00156769">
              <w:t>Pasture legumes;</w:t>
            </w:r>
            <w:r>
              <w:br/>
            </w:r>
            <w:r w:rsidRPr="00156769">
              <w:t>Pulses;</w:t>
            </w:r>
            <w:r>
              <w:br/>
            </w:r>
            <w:r w:rsidRPr="00156769">
              <w:t>Canola;</w:t>
            </w:r>
            <w:r>
              <w:br/>
            </w:r>
            <w:r w:rsidRPr="00156769">
              <w:t>Mustard (oilseed</w:t>
            </w:r>
            <w:r>
              <w:br/>
            </w:r>
            <w:r w:rsidRPr="00156769">
              <w:t>cultivars) (Brassica</w:t>
            </w:r>
            <w:r>
              <w:t xml:space="preserve"> </w:t>
            </w:r>
            <w:r w:rsidRPr="00156769">
              <w:t>juncea);</w:t>
            </w:r>
            <w:r>
              <w:br/>
            </w:r>
            <w:r w:rsidRPr="00156769">
              <w:t>Cotton;</w:t>
            </w:r>
          </w:p>
          <w:p w14:paraId="57B8FDF2" w14:textId="1CF64E03" w:rsidR="00327AD5" w:rsidRDefault="00327AD5" w:rsidP="00327AD5">
            <w:pPr>
              <w:pStyle w:val="APVMATableText"/>
            </w:pPr>
            <w:r w:rsidRPr="00156769">
              <w:t>as per the plantback table</w:t>
            </w:r>
          </w:p>
        </w:tc>
        <w:tc>
          <w:tcPr>
            <w:tcW w:w="2983" w:type="dxa"/>
            <w:tcBorders>
              <w:top w:val="single" w:sz="4" w:space="0" w:color="auto"/>
              <w:left w:val="nil"/>
              <w:bottom w:val="single" w:sz="4" w:space="0" w:color="auto"/>
              <w:right w:val="nil"/>
            </w:tcBorders>
          </w:tcPr>
          <w:p w14:paraId="6EF32373" w14:textId="2A27911B" w:rsidR="00327AD5" w:rsidRDefault="00327AD5" w:rsidP="00327AD5">
            <w:pPr>
              <w:pStyle w:val="APVMATableText"/>
            </w:pPr>
            <w:r w:rsidRPr="00156769">
              <w:t xml:space="preserve">Annual ryegrass </w:t>
            </w:r>
            <w:r w:rsidRPr="00156769">
              <w:rPr>
                <w:i/>
                <w:iCs/>
              </w:rPr>
              <w:t>(Lolium rigidum)</w:t>
            </w:r>
            <w:r w:rsidRPr="00156769">
              <w:t xml:space="preserve"> including populations with weak levels of glyphosate resistance.</w:t>
            </w:r>
          </w:p>
        </w:tc>
        <w:tc>
          <w:tcPr>
            <w:tcW w:w="2126" w:type="dxa"/>
            <w:tcBorders>
              <w:top w:val="single" w:sz="4" w:space="0" w:color="auto"/>
              <w:left w:val="nil"/>
              <w:bottom w:val="single" w:sz="4" w:space="0" w:color="auto"/>
              <w:right w:val="nil"/>
            </w:tcBorders>
          </w:tcPr>
          <w:p w14:paraId="703C7DC9" w14:textId="77777777" w:rsidR="00327AD5" w:rsidRPr="00156769" w:rsidRDefault="00327AD5" w:rsidP="00327AD5">
            <w:pPr>
              <w:pStyle w:val="APVMATableText"/>
            </w:pPr>
            <w:r w:rsidRPr="00156769">
              <w:t>40 g/ha Terrad’or® +0.6-1.8 L/ha Nufarm CRUCIAL® Herbicide^ + 0.5 L/100L Nufarm CanDo</w:t>
            </w:r>
            <w:r w:rsidRPr="00156769">
              <w:rPr>
                <w:vertAlign w:val="superscript"/>
              </w:rPr>
              <w:t>TM</w:t>
            </w:r>
            <w:r w:rsidRPr="00156769">
              <w:t xml:space="preserve"> Adjuvant*</w:t>
            </w:r>
          </w:p>
          <w:p w14:paraId="5BB274BD" w14:textId="77777777" w:rsidR="00327AD5" w:rsidRPr="00156769" w:rsidRDefault="00327AD5" w:rsidP="00327AD5">
            <w:pPr>
              <w:pStyle w:val="APVMATableText"/>
            </w:pPr>
            <w:r w:rsidRPr="00156769">
              <w:t>(28 g ai/ha)</w:t>
            </w:r>
          </w:p>
          <w:p w14:paraId="68356614" w14:textId="77777777" w:rsidR="00327AD5" w:rsidRPr="00156769" w:rsidRDefault="00327AD5" w:rsidP="00327AD5">
            <w:pPr>
              <w:pStyle w:val="APVMATableText"/>
            </w:pPr>
            <w:r w:rsidRPr="00156769">
              <w:t xml:space="preserve">OR </w:t>
            </w:r>
          </w:p>
          <w:p w14:paraId="6399EAED" w14:textId="77777777" w:rsidR="00327AD5" w:rsidRPr="00156769" w:rsidRDefault="00327AD5" w:rsidP="00327AD5">
            <w:pPr>
              <w:pStyle w:val="APVMATableText"/>
            </w:pPr>
            <w:r w:rsidRPr="00156769">
              <w:t>40 g/ha Terrad’or® + 2.0-2.4 L/ha Nufarm Shirquat® 250 Herbicide + 0.5 L/100L Nufarm CanDo</w:t>
            </w:r>
            <w:r w:rsidRPr="00156769">
              <w:rPr>
                <w:vertAlign w:val="superscript"/>
              </w:rPr>
              <w:t>TM</w:t>
            </w:r>
            <w:r w:rsidRPr="00156769">
              <w:t xml:space="preserve"> Adjuvant*</w:t>
            </w:r>
          </w:p>
          <w:p w14:paraId="00A3DA42" w14:textId="22D661E3" w:rsidR="00327AD5" w:rsidRDefault="00327AD5" w:rsidP="00327AD5">
            <w:pPr>
              <w:pStyle w:val="APVMATableTextRight"/>
              <w:jc w:val="left"/>
            </w:pPr>
            <w:r w:rsidRPr="00156769">
              <w:t>(28 g ai/ha)</w:t>
            </w:r>
          </w:p>
        </w:tc>
        <w:tc>
          <w:tcPr>
            <w:tcW w:w="6915" w:type="dxa"/>
            <w:tcBorders>
              <w:top w:val="single" w:sz="4" w:space="0" w:color="auto"/>
              <w:left w:val="nil"/>
              <w:bottom w:val="single" w:sz="4" w:space="0" w:color="auto"/>
              <w:right w:val="nil"/>
            </w:tcBorders>
          </w:tcPr>
          <w:p w14:paraId="15760880" w14:textId="77777777" w:rsidR="00327AD5" w:rsidRPr="00156769" w:rsidRDefault="00327AD5" w:rsidP="00327AD5">
            <w:pPr>
              <w:pStyle w:val="APVMATableText"/>
            </w:pPr>
            <w:r w:rsidRPr="00156769">
              <w:t>Tank mixes of Terrad’or® and Nufarm CRUCIAL® have been demonstrated to provide higher levels of final control to annual ryegrass plants with a weak level of glyphosate resistance; compared to applications of glyphosate standalone. In populations where a moderate or strong glyphosate resistance level exists; use alternate management strategies.</w:t>
            </w:r>
          </w:p>
          <w:p w14:paraId="6C30D177" w14:textId="77777777" w:rsidR="00327AD5" w:rsidRPr="00156769" w:rsidRDefault="00327AD5" w:rsidP="00327AD5">
            <w:pPr>
              <w:pStyle w:val="APVMATableText"/>
            </w:pPr>
            <w:r w:rsidRPr="00156769">
              <w:t>Annual ryegrass plants that exhibit weak resistance have 70% or more stunting compared to untreated plants when treated with glyphosate alone.</w:t>
            </w:r>
          </w:p>
          <w:p w14:paraId="27E0C090" w14:textId="77777777" w:rsidR="00327AD5" w:rsidRPr="00156769" w:rsidRDefault="00327AD5" w:rsidP="00327AD5">
            <w:pPr>
              <w:pStyle w:val="APVMATableText"/>
            </w:pPr>
            <w:r w:rsidRPr="00156769">
              <w:t>Tank mixes of Terrad’or® with Nufarm Shirquat can also be used in strategies to manage glyphosate resistant annual ryegrass.</w:t>
            </w:r>
          </w:p>
          <w:p w14:paraId="74481160" w14:textId="77777777" w:rsidR="00327AD5" w:rsidRPr="00156769" w:rsidRDefault="00327AD5" w:rsidP="00327AD5">
            <w:pPr>
              <w:pStyle w:val="APVMATableText"/>
            </w:pPr>
            <w:r w:rsidRPr="00156769">
              <w:t>Tank mixes with either Nufarm CRUCIAL or Nufarm Shirquat can be used as either single applications, or as one part of a sequential spray with 7-14 days between herbicide treatments.</w:t>
            </w:r>
          </w:p>
          <w:p w14:paraId="0BCF9181" w14:textId="77777777" w:rsidR="00327AD5" w:rsidRPr="00156769" w:rsidRDefault="00327AD5" w:rsidP="00327AD5">
            <w:pPr>
              <w:pStyle w:val="APVMATableText"/>
            </w:pPr>
            <w:r w:rsidRPr="00156769">
              <w:t>These use patterns should be used as part of an integrated weed management program; including non-herbicide methods of weed control.</w:t>
            </w:r>
          </w:p>
          <w:p w14:paraId="350DBEA2" w14:textId="77777777" w:rsidR="00327AD5" w:rsidRPr="00156769" w:rsidRDefault="00327AD5" w:rsidP="00327AD5">
            <w:pPr>
              <w:pStyle w:val="APVMATableText"/>
            </w:pPr>
            <w:r w:rsidRPr="00156769">
              <w:t>Observe the plant-back periods listed in the GENERAL INSTRUCTIONS.</w:t>
            </w:r>
          </w:p>
          <w:p w14:paraId="6B570C3D" w14:textId="77777777" w:rsidR="00327AD5" w:rsidRPr="00156769" w:rsidRDefault="00327AD5" w:rsidP="00327AD5">
            <w:pPr>
              <w:pStyle w:val="APVMATableText"/>
            </w:pPr>
            <w:r w:rsidRPr="00156769">
              <w:t>Sow following crops with a seeder that will move treated soil away from crop row (e.g. knife point with press wheels). Use of seeding machinery, or planting under conditions where product or treated soil remains or moves back into the crop row may result in crop damage. This may be caused by factors such as inappropriate seeding machinery, narrow row spacings, fast travel speeds, soil type, wind, heavy rainfall or irrigation after planting, etc. This is particularly important for susceptible crops such as canola.</w:t>
            </w:r>
          </w:p>
          <w:p w14:paraId="057D73A1" w14:textId="77777777" w:rsidR="00327AD5" w:rsidRPr="00156769" w:rsidRDefault="00327AD5" w:rsidP="00327AD5">
            <w:pPr>
              <w:pStyle w:val="APVMATableText"/>
            </w:pPr>
            <w:r w:rsidRPr="00156769">
              <w:lastRenderedPageBreak/>
              <w:t>Typically, use the minimum rate for smaller, younger weeds growing under good conditions. See GENERAL INSTRUCTIONS for further information.</w:t>
            </w:r>
          </w:p>
          <w:p w14:paraId="38C99785" w14:textId="77777777" w:rsidR="00327AD5" w:rsidRPr="00156769" w:rsidRDefault="00327AD5" w:rsidP="00327AD5">
            <w:pPr>
              <w:pStyle w:val="APVMATableText"/>
            </w:pPr>
            <w:r w:rsidRPr="00156769">
              <w:t>DO NOT apply post-sowing pre-emergent.</w:t>
            </w:r>
          </w:p>
          <w:p w14:paraId="05DF5532" w14:textId="77777777" w:rsidR="00327AD5" w:rsidRDefault="00327AD5" w:rsidP="00327AD5">
            <w:pPr>
              <w:pStyle w:val="APVMATableTextRight"/>
              <w:jc w:val="left"/>
            </w:pPr>
            <w:r w:rsidRPr="00156769">
              <w:t>Rainfast after 1 hour of daylight after application to seedling annual weeds when used with Nufarm CRUCIAL® or Nufarm Shirquat® (for other mixtures, refer to tank mix partner label for rainfastness information).</w:t>
            </w:r>
          </w:p>
          <w:p w14:paraId="63D40E38" w14:textId="77777777" w:rsidR="0003329E" w:rsidRPr="00156769" w:rsidRDefault="0003329E" w:rsidP="0003329E">
            <w:pPr>
              <w:pStyle w:val="APVMATableText"/>
            </w:pPr>
            <w:r w:rsidRPr="00156769">
              <w:t>^ Nufarm CRUCIAL is the recommended glyphosate partner. Alternative glyphosate products are listed in the compatibility section.</w:t>
            </w:r>
          </w:p>
          <w:p w14:paraId="378EBC67" w14:textId="593256E1" w:rsidR="0003329E" w:rsidRPr="00D56802" w:rsidRDefault="0003329E" w:rsidP="0003329E">
            <w:pPr>
              <w:pStyle w:val="APVMATableTextRight"/>
              <w:jc w:val="left"/>
              <w:rPr>
                <w:sz w:val="18"/>
                <w:szCs w:val="18"/>
              </w:rPr>
            </w:pPr>
            <w:r w:rsidRPr="00156769">
              <w:t>* Nufarm CanDo™ is the recommended adjuvant and should be used at 0.5 L/100 L under normal conditions. Increasing the rate to 1 L/100 L may improve performance under less than ideal conditions. Alternatively to Nufarm CanDo</w:t>
            </w:r>
            <w:r w:rsidRPr="00051D06">
              <w:rPr>
                <w:vertAlign w:val="superscript"/>
              </w:rPr>
              <w:t>TM</w:t>
            </w:r>
            <w:r w:rsidRPr="00156769">
              <w:t>, use an alternate adjuvant listed in the compatibility section at 1 L/100L unless otherwise specified.</w:t>
            </w:r>
          </w:p>
        </w:tc>
      </w:tr>
      <w:tr w:rsidR="009F5E20" w14:paraId="39F1FB83" w14:textId="3F1405AA" w:rsidTr="009F5E20">
        <w:tc>
          <w:tcPr>
            <w:tcW w:w="0" w:type="auto"/>
            <w:tcBorders>
              <w:top w:val="single" w:sz="4" w:space="0" w:color="auto"/>
              <w:left w:val="nil"/>
              <w:bottom w:val="single" w:sz="4" w:space="0" w:color="auto"/>
              <w:right w:val="nil"/>
            </w:tcBorders>
          </w:tcPr>
          <w:p w14:paraId="42B48ED7" w14:textId="09F9F98B" w:rsidR="00051D06" w:rsidRDefault="00051D06" w:rsidP="00051D06">
            <w:pPr>
              <w:pStyle w:val="APVMATableText"/>
            </w:pPr>
          </w:p>
        </w:tc>
        <w:tc>
          <w:tcPr>
            <w:tcW w:w="2983" w:type="dxa"/>
            <w:tcBorders>
              <w:top w:val="single" w:sz="4" w:space="0" w:color="auto"/>
              <w:left w:val="nil"/>
              <w:bottom w:val="single" w:sz="4" w:space="0" w:color="auto"/>
              <w:right w:val="nil"/>
            </w:tcBorders>
          </w:tcPr>
          <w:p w14:paraId="23D893A4" w14:textId="1C1E9021" w:rsidR="00051D06" w:rsidRDefault="00051D06" w:rsidP="00051D06">
            <w:pPr>
              <w:pStyle w:val="APVMATableText"/>
            </w:pPr>
            <w:r w:rsidRPr="00156769">
              <w:t>Annual grass and broadleaf weeds are controlled as listed in Section 2 weed table. Terrad’or® will also increase speed of brownout of treated broadleaf and grass weeds, especially at the highest application rate.</w:t>
            </w:r>
          </w:p>
        </w:tc>
        <w:tc>
          <w:tcPr>
            <w:tcW w:w="2126" w:type="dxa"/>
            <w:tcBorders>
              <w:top w:val="single" w:sz="4" w:space="0" w:color="auto"/>
              <w:left w:val="nil"/>
              <w:bottom w:val="single" w:sz="4" w:space="0" w:color="auto"/>
              <w:right w:val="nil"/>
            </w:tcBorders>
          </w:tcPr>
          <w:p w14:paraId="23B66382" w14:textId="77777777" w:rsidR="00051D06" w:rsidRPr="00156769" w:rsidRDefault="00051D06" w:rsidP="00051D06">
            <w:pPr>
              <w:pStyle w:val="APVMATableText"/>
            </w:pPr>
            <w:r w:rsidRPr="00156769">
              <w:t>20-40 g/ha Terrad’or® + 0.5 L/100L Nufarm CanDo</w:t>
            </w:r>
            <w:r w:rsidRPr="00156769">
              <w:rPr>
                <w:vertAlign w:val="superscript"/>
              </w:rPr>
              <w:t>TM</w:t>
            </w:r>
            <w:r w:rsidRPr="00156769">
              <w:t xml:space="preserve"> Adjuvant*</w:t>
            </w:r>
          </w:p>
          <w:p w14:paraId="27143298" w14:textId="77777777" w:rsidR="00051D06" w:rsidRPr="00156769" w:rsidRDefault="00051D06" w:rsidP="00051D06">
            <w:pPr>
              <w:pStyle w:val="APVMATableText"/>
            </w:pPr>
            <w:r w:rsidRPr="00156769">
              <w:t>(14-28 g ai/ha)</w:t>
            </w:r>
          </w:p>
          <w:p w14:paraId="4CE5A5D1" w14:textId="77777777" w:rsidR="00051D06" w:rsidRPr="00156769" w:rsidRDefault="00051D06" w:rsidP="00051D06">
            <w:pPr>
              <w:pStyle w:val="APVMATableText"/>
            </w:pPr>
            <w:r w:rsidRPr="00156769">
              <w:t>OR</w:t>
            </w:r>
          </w:p>
          <w:p w14:paraId="21173066" w14:textId="77777777" w:rsidR="00051D06" w:rsidRPr="00156769" w:rsidRDefault="00051D06" w:rsidP="00051D06">
            <w:pPr>
              <w:pStyle w:val="APVMATableText"/>
            </w:pPr>
            <w:r w:rsidRPr="00156769">
              <w:t>15-40 g/ha Terrad’or® + 0.6-1.8 L/ha Nufarm CRUCIAL® Herbicide^ + 0.5 L/100L Nufarm CanDo</w:t>
            </w:r>
            <w:r w:rsidRPr="00156769">
              <w:rPr>
                <w:vertAlign w:val="superscript"/>
              </w:rPr>
              <w:t>TM</w:t>
            </w:r>
            <w:r w:rsidRPr="00156769">
              <w:t xml:space="preserve"> Adjuvant*</w:t>
            </w:r>
          </w:p>
          <w:p w14:paraId="46A4C3A2" w14:textId="11A87AFF" w:rsidR="00051D06" w:rsidRDefault="00051D06" w:rsidP="00051D06">
            <w:pPr>
              <w:pStyle w:val="APVMATableTextRight"/>
              <w:jc w:val="left"/>
            </w:pPr>
            <w:r w:rsidRPr="00156769">
              <w:t>(10.5-28 g ai/ha)</w:t>
            </w:r>
          </w:p>
        </w:tc>
        <w:tc>
          <w:tcPr>
            <w:tcW w:w="6915" w:type="dxa"/>
            <w:tcBorders>
              <w:top w:val="single" w:sz="4" w:space="0" w:color="auto"/>
              <w:left w:val="nil"/>
              <w:bottom w:val="single" w:sz="4" w:space="0" w:color="auto"/>
              <w:right w:val="nil"/>
            </w:tcBorders>
          </w:tcPr>
          <w:p w14:paraId="0783361F" w14:textId="77777777" w:rsidR="00051D06" w:rsidRPr="00156769" w:rsidRDefault="00051D06" w:rsidP="00051D06">
            <w:pPr>
              <w:pStyle w:val="APVMATableText"/>
            </w:pPr>
            <w:r w:rsidRPr="00156769">
              <w:t>Observe the plant-back periods listed in the GENERAL INSTRUCTIONS.</w:t>
            </w:r>
          </w:p>
          <w:p w14:paraId="4FC0008D" w14:textId="77777777" w:rsidR="00051D06" w:rsidRPr="00156769" w:rsidRDefault="00051D06" w:rsidP="00051D06">
            <w:pPr>
              <w:pStyle w:val="APVMATableText"/>
            </w:pPr>
            <w:r w:rsidRPr="00156769">
              <w:t>Sow following crops with a seeder that will move treated soil away from crop row (e.g. knife point with press wheels). Use of seeding machinery, or planting under conditions where product or treated soil remains or moves back into the crop row may result in crop damage. This may be caused by factors such as inappropriate seeding machinery, narrow row spacings, fast travel speeds, soil type, wind, heavy rainfall or irrigation after planting, etc. This is particularly important for susceptible crops such as canola.</w:t>
            </w:r>
          </w:p>
          <w:p w14:paraId="13E21165" w14:textId="77777777" w:rsidR="00051D06" w:rsidRPr="00156769" w:rsidRDefault="00051D06" w:rsidP="00051D06">
            <w:pPr>
              <w:pStyle w:val="APVMATableText"/>
            </w:pPr>
            <w:r w:rsidRPr="00156769">
              <w:t>DO NOT apply post-sowing pre-emergent.</w:t>
            </w:r>
          </w:p>
          <w:p w14:paraId="62C1FFF2" w14:textId="77777777" w:rsidR="00051D06" w:rsidRPr="00156769" w:rsidRDefault="00051D06" w:rsidP="00051D06">
            <w:pPr>
              <w:pStyle w:val="APVMATableText"/>
            </w:pPr>
            <w:r w:rsidRPr="00156769">
              <w:t>Rainfast after 1 hour of daylight after application to seedling annual weeds when used with Nufarm CanDo</w:t>
            </w:r>
            <w:r w:rsidRPr="00156769">
              <w:rPr>
                <w:vertAlign w:val="superscript"/>
              </w:rPr>
              <w:t>TM</w:t>
            </w:r>
            <w:r w:rsidRPr="00156769">
              <w:t xml:space="preserve"> or with Nufarm CRUCIAL® and Nufarm CanDo</w:t>
            </w:r>
            <w:r w:rsidRPr="00156769">
              <w:rPr>
                <w:vertAlign w:val="superscript"/>
              </w:rPr>
              <w:t>TM</w:t>
            </w:r>
            <w:r w:rsidRPr="00156769">
              <w:t xml:space="preserve"> (for other mixtures, refer to tank mix partner label for rainfastness information).</w:t>
            </w:r>
          </w:p>
          <w:p w14:paraId="4784BFDB" w14:textId="77777777" w:rsidR="00051D06" w:rsidRPr="00156769" w:rsidRDefault="00051D06" w:rsidP="00051D06">
            <w:pPr>
              <w:pStyle w:val="APVMATableText"/>
            </w:pPr>
            <w:r w:rsidRPr="00156769">
              <w:t>Refer to Section 2 for specific minimum application rates for each weed. Typically, use the minimum rate for smaller, younger weeds growing under good conditions. See GENERAL INSTRUCTIONS for further information.</w:t>
            </w:r>
          </w:p>
          <w:p w14:paraId="4AC0FF56" w14:textId="77777777" w:rsidR="00051D06" w:rsidRPr="00156769" w:rsidRDefault="00051D06" w:rsidP="00051D06">
            <w:pPr>
              <w:pStyle w:val="APVMATableText"/>
            </w:pPr>
            <w:r w:rsidRPr="00156769">
              <w:lastRenderedPageBreak/>
              <w:t>To broaden the weed spectrum Terrad’or® may be tank mixed with the recommended rate of another knockdown herbicide other than glyphosate (Nufarm Shirquat® 250, Spray.Seed*, Nufarm BIFFO®, Amitrole T, Nufarm DROPZONE®, Nufarm 2,4-D Ester 680, Nufarm Kamba® 750).</w:t>
            </w:r>
          </w:p>
          <w:p w14:paraId="69106AB8" w14:textId="77777777" w:rsidR="00051D06" w:rsidRPr="00156769" w:rsidRDefault="00051D06" w:rsidP="00051D06">
            <w:pPr>
              <w:pStyle w:val="APVMATableText"/>
            </w:pPr>
            <w:r w:rsidRPr="00156769">
              <w:t>^ Nufarm CRUCIAL is the recommended glyphosate partner. Alternative glyphosate products are listed in the compatibility section.</w:t>
            </w:r>
          </w:p>
          <w:p w14:paraId="7E2A1250" w14:textId="35DB04F0" w:rsidR="00051D06" w:rsidRPr="00D56802" w:rsidRDefault="00051D06" w:rsidP="00051D06">
            <w:pPr>
              <w:pStyle w:val="APVMATableTextRight"/>
              <w:jc w:val="left"/>
              <w:rPr>
                <w:sz w:val="18"/>
                <w:szCs w:val="18"/>
              </w:rPr>
            </w:pPr>
            <w:r w:rsidRPr="00156769">
              <w:t>* Nufarm CanDo™ is the recommended adjuvant. Alternative adjuvants are listed in the compatibility section and should be used at 1 L/100L unless otherwise specified.</w:t>
            </w:r>
          </w:p>
        </w:tc>
      </w:tr>
      <w:tr w:rsidR="00051D06" w14:paraId="5096C87C" w14:textId="77777777" w:rsidTr="009F5E20">
        <w:tc>
          <w:tcPr>
            <w:tcW w:w="0" w:type="auto"/>
            <w:gridSpan w:val="4"/>
            <w:tcBorders>
              <w:top w:val="single" w:sz="4" w:space="0" w:color="auto"/>
              <w:left w:val="nil"/>
              <w:bottom w:val="single" w:sz="4" w:space="0" w:color="auto"/>
              <w:right w:val="nil"/>
            </w:tcBorders>
          </w:tcPr>
          <w:p w14:paraId="7FAAA55C" w14:textId="2B1A8E4A" w:rsidR="00051D06" w:rsidRPr="00156769" w:rsidRDefault="00051D06" w:rsidP="00051D06">
            <w:pPr>
              <w:pStyle w:val="APVMATableSubHead"/>
            </w:pPr>
            <w:r w:rsidRPr="00051D06">
              <w:lastRenderedPageBreak/>
              <w:t>Section 4. PRE-HARVEST APPLICATION</w:t>
            </w:r>
          </w:p>
        </w:tc>
      </w:tr>
      <w:tr w:rsidR="00051D06" w14:paraId="43E9E58D" w14:textId="77777777" w:rsidTr="009F5E20">
        <w:tc>
          <w:tcPr>
            <w:tcW w:w="0" w:type="auto"/>
            <w:tcBorders>
              <w:top w:val="single" w:sz="4" w:space="0" w:color="auto"/>
              <w:left w:val="nil"/>
              <w:bottom w:val="single" w:sz="4" w:space="0" w:color="auto"/>
              <w:right w:val="nil"/>
            </w:tcBorders>
          </w:tcPr>
          <w:p w14:paraId="352DBCF8" w14:textId="77777777" w:rsidR="00051D06" w:rsidRPr="00156769" w:rsidRDefault="00051D06" w:rsidP="00051D06">
            <w:pPr>
              <w:pStyle w:val="APVMATableText"/>
            </w:pPr>
            <w:r w:rsidRPr="00156769">
              <w:t>Wheat</w:t>
            </w:r>
          </w:p>
          <w:p w14:paraId="36B740B9" w14:textId="77777777" w:rsidR="00051D06" w:rsidRPr="00156769" w:rsidRDefault="00051D06" w:rsidP="00051D06">
            <w:pPr>
              <w:pStyle w:val="APVMATableText"/>
            </w:pPr>
            <w:r w:rsidRPr="00156769">
              <w:t>Including Durum</w:t>
            </w:r>
          </w:p>
          <w:p w14:paraId="749D74B0" w14:textId="2F3ACFC0" w:rsidR="00051D06" w:rsidRDefault="00051D06" w:rsidP="00051D06">
            <w:pPr>
              <w:pStyle w:val="APVMATableText"/>
            </w:pPr>
            <w:r w:rsidRPr="00156769">
              <w:t>(BBCH 75-83 only)</w:t>
            </w:r>
          </w:p>
        </w:tc>
        <w:tc>
          <w:tcPr>
            <w:tcW w:w="2983" w:type="dxa"/>
            <w:tcBorders>
              <w:top w:val="single" w:sz="4" w:space="0" w:color="auto"/>
              <w:left w:val="nil"/>
              <w:bottom w:val="single" w:sz="4" w:space="0" w:color="auto"/>
              <w:right w:val="nil"/>
            </w:tcBorders>
          </w:tcPr>
          <w:p w14:paraId="7E40CAB8" w14:textId="77777777" w:rsidR="00051D06" w:rsidRPr="00156769" w:rsidRDefault="00051D06" w:rsidP="00051D06">
            <w:pPr>
              <w:pStyle w:val="APVMATableText"/>
            </w:pPr>
            <w:r w:rsidRPr="00156769">
              <w:t>Desiccation and seed set reduction of:</w:t>
            </w:r>
          </w:p>
          <w:p w14:paraId="16ADEA1C" w14:textId="77777777" w:rsidR="00051D06" w:rsidRPr="00156769" w:rsidRDefault="00051D06" w:rsidP="00051D06">
            <w:pPr>
              <w:pStyle w:val="APVMATableText"/>
            </w:pPr>
            <w:r w:rsidRPr="00156769">
              <w:t>Annual ryegrass (</w:t>
            </w:r>
            <w:r w:rsidRPr="00156769">
              <w:rPr>
                <w:i/>
                <w:iCs/>
              </w:rPr>
              <w:t>Lolium rigidum</w:t>
            </w:r>
            <w:r w:rsidRPr="00156769">
              <w:t>)</w:t>
            </w:r>
          </w:p>
          <w:p w14:paraId="28FAF1FD" w14:textId="77777777" w:rsidR="00051D06" w:rsidRPr="00156769" w:rsidRDefault="00051D06" w:rsidP="00051D06">
            <w:pPr>
              <w:pStyle w:val="APVMATableText"/>
            </w:pPr>
            <w:r w:rsidRPr="00156769">
              <w:t>Prickly lettuce (</w:t>
            </w:r>
            <w:r w:rsidRPr="00156769">
              <w:rPr>
                <w:i/>
                <w:iCs/>
              </w:rPr>
              <w:t>Lactuca serriola</w:t>
            </w:r>
            <w:r w:rsidRPr="00156769">
              <w:t>)</w:t>
            </w:r>
          </w:p>
          <w:p w14:paraId="3E224B21" w14:textId="77777777" w:rsidR="00051D06" w:rsidRPr="00156769" w:rsidRDefault="00051D06" w:rsidP="00051D06">
            <w:pPr>
              <w:pStyle w:val="APVMATableText"/>
            </w:pPr>
            <w:r w:rsidRPr="00156769">
              <w:t>Sowthistle (</w:t>
            </w:r>
            <w:r w:rsidRPr="00156769">
              <w:rPr>
                <w:i/>
                <w:iCs/>
              </w:rPr>
              <w:t>Sonchus oleraceus</w:t>
            </w:r>
            <w:r w:rsidRPr="00156769">
              <w:t>)</w:t>
            </w:r>
          </w:p>
          <w:p w14:paraId="44A9111F" w14:textId="77777777" w:rsidR="00051D06" w:rsidRPr="00156769" w:rsidRDefault="00051D06" w:rsidP="00051D06">
            <w:pPr>
              <w:pStyle w:val="APVMATableText"/>
            </w:pPr>
            <w:r w:rsidRPr="00156769">
              <w:t>Wild radish (</w:t>
            </w:r>
            <w:r w:rsidRPr="00156769">
              <w:rPr>
                <w:i/>
                <w:iCs/>
              </w:rPr>
              <w:t>Raphanus raphanistrum</w:t>
            </w:r>
            <w:r w:rsidRPr="00156769">
              <w:t>)</w:t>
            </w:r>
          </w:p>
          <w:p w14:paraId="2502ADD3" w14:textId="77777777" w:rsidR="00051D06" w:rsidRPr="00156769" w:rsidRDefault="00051D06" w:rsidP="00051D06">
            <w:pPr>
              <w:pStyle w:val="APVMATableText"/>
            </w:pPr>
          </w:p>
          <w:p w14:paraId="57928856" w14:textId="72D35024" w:rsidR="00051D06" w:rsidRPr="00156769" w:rsidRDefault="00051D06" w:rsidP="00051D06">
            <w:pPr>
              <w:pStyle w:val="APVMATableText"/>
            </w:pPr>
            <w:r w:rsidRPr="00156769">
              <w:t>Harvest aid</w:t>
            </w:r>
          </w:p>
        </w:tc>
        <w:tc>
          <w:tcPr>
            <w:tcW w:w="2126" w:type="dxa"/>
            <w:tcBorders>
              <w:top w:val="single" w:sz="4" w:space="0" w:color="auto"/>
              <w:left w:val="nil"/>
              <w:bottom w:val="single" w:sz="4" w:space="0" w:color="auto"/>
              <w:right w:val="nil"/>
            </w:tcBorders>
          </w:tcPr>
          <w:p w14:paraId="2FB662C6" w14:textId="77777777" w:rsidR="00051D06" w:rsidRPr="00156769" w:rsidRDefault="00051D06" w:rsidP="00051D06">
            <w:pPr>
              <w:pStyle w:val="APVMATableText"/>
            </w:pPr>
            <w:r w:rsidRPr="00156769">
              <w:t>40 g/ha Terrad’or®</w:t>
            </w:r>
          </w:p>
          <w:p w14:paraId="02F81CC7" w14:textId="77777777" w:rsidR="00051D06" w:rsidRPr="00156769" w:rsidRDefault="00051D06" w:rsidP="00051D06">
            <w:pPr>
              <w:pStyle w:val="APVMATableText"/>
            </w:pPr>
            <w:r w:rsidRPr="00156769">
              <w:t>+ 0.5 L/100 L Nufarm CanDo</w:t>
            </w:r>
            <w:r w:rsidRPr="004E13E3">
              <w:rPr>
                <w:vertAlign w:val="superscript"/>
              </w:rPr>
              <w:t xml:space="preserve">TM </w:t>
            </w:r>
            <w:r w:rsidRPr="00156769">
              <w:t>Adjuvant</w:t>
            </w:r>
          </w:p>
          <w:p w14:paraId="2B852396" w14:textId="03749F6A" w:rsidR="00051D06" w:rsidRPr="00156769" w:rsidRDefault="00051D06" w:rsidP="00051D06">
            <w:pPr>
              <w:pStyle w:val="APVMATableText"/>
            </w:pPr>
            <w:r w:rsidRPr="00156769">
              <w:t>(28 g ai/ha)</w:t>
            </w:r>
          </w:p>
        </w:tc>
        <w:tc>
          <w:tcPr>
            <w:tcW w:w="6915" w:type="dxa"/>
            <w:tcBorders>
              <w:top w:val="single" w:sz="4" w:space="0" w:color="auto"/>
              <w:left w:val="nil"/>
              <w:bottom w:val="single" w:sz="4" w:space="0" w:color="auto"/>
              <w:right w:val="nil"/>
            </w:tcBorders>
          </w:tcPr>
          <w:p w14:paraId="2C1463ED" w14:textId="77777777" w:rsidR="00051D06" w:rsidRPr="004E13E3" w:rsidRDefault="00051D06" w:rsidP="00051D06">
            <w:pPr>
              <w:pStyle w:val="APVMATableText"/>
            </w:pPr>
            <w:r w:rsidRPr="004E13E3">
              <w:t>DO NOT use on crops intended for seed production or sprouting.</w:t>
            </w:r>
          </w:p>
          <w:p w14:paraId="254A5155" w14:textId="77777777" w:rsidR="00051D06" w:rsidRPr="004E13E3" w:rsidRDefault="00051D06" w:rsidP="00051D06">
            <w:pPr>
              <w:pStyle w:val="APVMATableText"/>
            </w:pPr>
            <w:r w:rsidRPr="004E13E3">
              <w:t>DO NOT apply more than one (1) pre-harvest application of Terrad’or® per crop.</w:t>
            </w:r>
          </w:p>
          <w:p w14:paraId="2F1EF718" w14:textId="77777777" w:rsidR="00051D06" w:rsidRPr="004E13E3" w:rsidRDefault="00051D06" w:rsidP="00051D06">
            <w:pPr>
              <w:pStyle w:val="APVMATableText"/>
            </w:pPr>
            <w:r w:rsidRPr="004E13E3">
              <w:t>DO NOT apply on crops which will be windrowed, for use only on direct harvested crops.</w:t>
            </w:r>
          </w:p>
          <w:p w14:paraId="51FA214E" w14:textId="77777777" w:rsidR="00051D06" w:rsidRPr="004E13E3" w:rsidRDefault="00051D06" w:rsidP="00051D06">
            <w:pPr>
              <w:pStyle w:val="APVMATableText"/>
            </w:pPr>
            <w:r w:rsidRPr="004E13E3">
              <w:t>DO NOT apply before Zadoks crop stage 75 (BBCH75) otherwise yield and grain quality penalties may occur. This is described as ‘medium milk’; when grains have reached their final size.</w:t>
            </w:r>
          </w:p>
          <w:p w14:paraId="03DC9DC5" w14:textId="77777777" w:rsidR="00051D06" w:rsidRPr="004E13E3" w:rsidRDefault="00051D06" w:rsidP="00051D06">
            <w:pPr>
              <w:pStyle w:val="APVMATableText"/>
            </w:pPr>
            <w:r w:rsidRPr="004E13E3">
              <w:t>DO NOT apply after Zadoks crop stage 83 (BBCH83) otherwise residues may be detected in harvested grain. This is described as ‘early dough’. Note that whilst the harvest withholding period is not required when used as directed, it is critical that this growth stage restriction is followed. Typically crops will not be ready to harvest for at least 21 days after application.</w:t>
            </w:r>
          </w:p>
          <w:p w14:paraId="419D4411" w14:textId="77777777" w:rsidR="00051D06" w:rsidRDefault="00051D06" w:rsidP="00051D06">
            <w:pPr>
              <w:pStyle w:val="APVMATableText"/>
            </w:pPr>
            <w:r w:rsidRPr="004E13E3">
              <w:t>Some minor black spotting may be observed on stems and glumes of wheat following application but does not impact yield or grain quality.</w:t>
            </w:r>
          </w:p>
          <w:p w14:paraId="2FC4E261" w14:textId="77777777" w:rsidR="009F5E20" w:rsidRDefault="009F5E20" w:rsidP="00051D06">
            <w:pPr>
              <w:pStyle w:val="APVMATableText"/>
            </w:pPr>
          </w:p>
          <w:p w14:paraId="7A980E50" w14:textId="77777777" w:rsidR="009F5E20" w:rsidRDefault="009F5E20" w:rsidP="00051D06">
            <w:pPr>
              <w:pStyle w:val="APVMATableText"/>
            </w:pPr>
          </w:p>
          <w:p w14:paraId="1B896ADF" w14:textId="77777777" w:rsidR="009F5E20" w:rsidRPr="004E13E3" w:rsidRDefault="009F5E20" w:rsidP="00051D06">
            <w:pPr>
              <w:pStyle w:val="APVMATableText"/>
            </w:pPr>
          </w:p>
          <w:p w14:paraId="49490E2D" w14:textId="77777777" w:rsidR="00051D06" w:rsidRPr="004E13E3" w:rsidRDefault="00051D06" w:rsidP="00051D06">
            <w:pPr>
              <w:pStyle w:val="APVMATableText"/>
            </w:pPr>
            <w:r w:rsidRPr="004E13E3">
              <w:lastRenderedPageBreak/>
              <w:t>Along with desiccation and seed set reduction of annual ryegrass, prickly lettuce, sowthistle and wild radish, Terrad’or® acts as a harvest aid through desiccation of weeds and foliage which can aid timely and efficient harvesting. Note that in some situations weed regrowth may occur, however significant seed set reduction can still be achieved. Efficacy of Terrad'or® may vary depending on:</w:t>
            </w:r>
          </w:p>
          <w:p w14:paraId="12B1B190" w14:textId="77777777" w:rsidR="00051D06" w:rsidRDefault="00051D06" w:rsidP="00051D06">
            <w:pPr>
              <w:pStyle w:val="APVMATableBullet"/>
            </w:pPr>
            <w:r>
              <w:t>Environmental conditions (ie: soil moisture, air temperature) prior to, and following, spray application.</w:t>
            </w:r>
          </w:p>
          <w:p w14:paraId="45F5934A" w14:textId="77777777" w:rsidR="00051D06" w:rsidRDefault="00051D06" w:rsidP="00051D06">
            <w:pPr>
              <w:pStyle w:val="APVMATableBullet"/>
            </w:pPr>
            <w:r>
              <w:t>Spray coverage (penetration into crop canopy) on the target. Terrad'or® will only provide seed set reduction to weeds where they receive adequate coverage from an application.</w:t>
            </w:r>
          </w:p>
          <w:p w14:paraId="79205DA3" w14:textId="77777777" w:rsidR="00051D06" w:rsidRDefault="00051D06" w:rsidP="00051D06">
            <w:pPr>
              <w:pStyle w:val="APVMATableBullet"/>
            </w:pPr>
            <w:r>
              <w:t>Growth stage of target weeds. Higher levels of seed set reduction are observed where weeds are at flowering or early seed development stages. This targeted weed stage may not coincide with the recommended application timing based on crop growth stage, but Terrad’or® can only be applied in the BBCH75-83 crop growth stage. Once weed seeds have set, the application of Terrad’or® will only have an effect as a harvest aid.</w:t>
            </w:r>
          </w:p>
          <w:p w14:paraId="2DB2EAE4" w14:textId="69B53BA9" w:rsidR="00051D06" w:rsidRPr="00156769" w:rsidRDefault="00051D06" w:rsidP="00051D06">
            <w:pPr>
              <w:pStyle w:val="APVMATableText"/>
            </w:pPr>
            <w:r w:rsidRPr="004E13E3">
              <w:t>* Nufarm CanDo™ is the recommended adjuvant. Alternative adjuvants are listed in the compatibility section and should be used at 1 L/100L unless otherwise specified.</w:t>
            </w:r>
          </w:p>
        </w:tc>
      </w:tr>
    </w:tbl>
    <w:p w14:paraId="54594239" w14:textId="77777777" w:rsidR="005735ED" w:rsidRDefault="005735ED" w:rsidP="00A64A6A">
      <w:pPr>
        <w:pStyle w:val="NormalText"/>
        <w:sectPr w:rsidR="005735ED" w:rsidSect="00327AD5">
          <w:headerReference w:type="even" r:id="rId30"/>
          <w:pgSz w:w="16838" w:h="11906" w:orient="landscape" w:code="9"/>
          <w:pgMar w:top="2835" w:right="1134" w:bottom="1134" w:left="1134" w:header="1701" w:footer="680" w:gutter="0"/>
          <w:cols w:space="708"/>
          <w:docGrid w:linePitch="360"/>
        </w:sectPr>
      </w:pPr>
    </w:p>
    <w:p w14:paraId="7EC8AC45" w14:textId="77777777" w:rsidR="00CD1F89" w:rsidRPr="00665D4C" w:rsidRDefault="00CD1F89" w:rsidP="004E13E3">
      <w:pPr>
        <w:pStyle w:val="Heading3"/>
        <w:rPr>
          <w:i/>
        </w:rPr>
      </w:pPr>
      <w:bookmarkStart w:id="22" w:name="_Toc231889747"/>
      <w:bookmarkStart w:id="23" w:name="_Toc2243850"/>
      <w:bookmarkStart w:id="24" w:name="_Toc208397017"/>
      <w:bookmarkEnd w:id="18"/>
      <w:r w:rsidRPr="00665D4C">
        <w:lastRenderedPageBreak/>
        <w:t>Withholding periods</w:t>
      </w:r>
      <w:bookmarkEnd w:id="24"/>
    </w:p>
    <w:p w14:paraId="7385D67D" w14:textId="77777777" w:rsidR="00CD1F89" w:rsidRPr="004E13E3" w:rsidRDefault="00CD1F89" w:rsidP="004E13E3">
      <w:pPr>
        <w:pStyle w:val="APVMAText"/>
      </w:pPr>
      <w:r w:rsidRPr="004E13E3">
        <w:t>Harvest: Not required when used as directed</w:t>
      </w:r>
    </w:p>
    <w:p w14:paraId="70826A53" w14:textId="727C5AF8" w:rsidR="00CD1F89" w:rsidRPr="004E13E3" w:rsidRDefault="00CD1F89" w:rsidP="004E13E3">
      <w:pPr>
        <w:pStyle w:val="APVMAText"/>
      </w:pPr>
      <w:r w:rsidRPr="004E13E3">
        <w:t>Grazing:</w:t>
      </w:r>
    </w:p>
    <w:p w14:paraId="6D187064" w14:textId="637D20EB" w:rsidR="00CD1F89" w:rsidRPr="004E13E3" w:rsidRDefault="00CD1F89" w:rsidP="004E13E3">
      <w:pPr>
        <w:pStyle w:val="APVMAText"/>
      </w:pPr>
      <w:r w:rsidRPr="004E13E3">
        <w:t>Wheat</w:t>
      </w:r>
      <w:r w:rsidR="004D536B" w:rsidRPr="004E13E3">
        <w:t>, Fallow</w:t>
      </w:r>
      <w:r w:rsidRPr="004E13E3">
        <w:t xml:space="preserve">: </w:t>
      </w:r>
      <w:r w:rsidR="004D536B" w:rsidRPr="004E13E3">
        <w:t>DO NOT graze treated areas or cut for stockfood for 7 days after application.</w:t>
      </w:r>
    </w:p>
    <w:p w14:paraId="148FEAE4" w14:textId="77777777" w:rsidR="00CD1F89" w:rsidRPr="00665D4C" w:rsidRDefault="00CD1F89" w:rsidP="004E13E3">
      <w:pPr>
        <w:pStyle w:val="Heading3"/>
        <w:rPr>
          <w:i/>
        </w:rPr>
      </w:pPr>
      <w:bookmarkStart w:id="25" w:name="_Toc208397018"/>
      <w:r w:rsidRPr="00665D4C">
        <w:t>Trade advice</w:t>
      </w:r>
      <w:bookmarkEnd w:id="25"/>
    </w:p>
    <w:p w14:paraId="7032ED6A" w14:textId="77777777" w:rsidR="00CD1F89" w:rsidRDefault="00CD1F89" w:rsidP="00CD1F89">
      <w:pPr>
        <w:pStyle w:val="APVMAText"/>
      </w:pPr>
      <w:r>
        <w:t>Livestock destined for export markets</w:t>
      </w:r>
    </w:p>
    <w:p w14:paraId="6CCAEB60" w14:textId="77777777" w:rsidR="00CD1F89" w:rsidRDefault="00CD1F89" w:rsidP="00CD1F89">
      <w:pPr>
        <w:pStyle w:val="APVMAText"/>
      </w:pPr>
      <w: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3FB4A30F" w14:textId="02208CF2" w:rsidR="00CD1F89" w:rsidRDefault="00CD1F89" w:rsidP="00CD1F89">
      <w:pPr>
        <w:pStyle w:val="APVMAText"/>
      </w:pPr>
      <w:r>
        <w:t xml:space="preserve">Export slaughter interval (ESI) </w:t>
      </w:r>
      <w:r w:rsidR="00C175E9">
        <w:t>3</w:t>
      </w:r>
      <w:r>
        <w:t xml:space="preserve"> days</w:t>
      </w:r>
    </w:p>
    <w:p w14:paraId="5239F59A" w14:textId="44A8C9A5" w:rsidR="00CD1F89" w:rsidRDefault="00CD1F89" w:rsidP="00CD1F89">
      <w:pPr>
        <w:pStyle w:val="APVMAText"/>
      </w:pPr>
      <w:r>
        <w:t>Livestock that has grazed on or been fed treated crops</w:t>
      </w:r>
      <w:r w:rsidR="00C175E9">
        <w:t xml:space="preserve"> or weeds</w:t>
      </w:r>
      <w:r>
        <w:t xml:space="preserve"> should be placed on clean feed for </w:t>
      </w:r>
      <w:r w:rsidR="00C175E9">
        <w:t>3</w:t>
      </w:r>
      <w:r>
        <w:t xml:space="preserve"> days prior to slaughter.</w:t>
      </w:r>
    </w:p>
    <w:p w14:paraId="28529C15" w14:textId="77777777" w:rsidR="006D36C8" w:rsidRDefault="006D36C8" w:rsidP="00032787">
      <w:pPr>
        <w:pStyle w:val="Heading2"/>
      </w:pPr>
      <w:bookmarkStart w:id="26" w:name="_Toc208397019"/>
      <w:r>
        <w:t>Results from residues trials presented to the APVMA</w:t>
      </w:r>
      <w:bookmarkEnd w:id="22"/>
      <w:bookmarkEnd w:id="23"/>
      <w:bookmarkEnd w:id="26"/>
    </w:p>
    <w:p w14:paraId="6C4A3E6D" w14:textId="75D18F8B" w:rsidR="00CD1F89" w:rsidRDefault="00CD1F89" w:rsidP="004E13E3">
      <w:pPr>
        <w:pStyle w:val="Heading3"/>
      </w:pPr>
      <w:bookmarkStart w:id="27" w:name="_Toc231889748"/>
      <w:bookmarkStart w:id="28" w:name="_Toc2243851"/>
      <w:bookmarkStart w:id="29" w:name="_Toc208397020"/>
      <w:r w:rsidRPr="004E13E3">
        <w:t>Wheat</w:t>
      </w:r>
      <w:bookmarkEnd w:id="29"/>
    </w:p>
    <w:p w14:paraId="3F1FA54E" w14:textId="0EE91043" w:rsidR="00C175E9" w:rsidRDefault="00CD1F89" w:rsidP="001B297F">
      <w:pPr>
        <w:pStyle w:val="APVMAText"/>
      </w:pPr>
      <w:r w:rsidRPr="005275BE">
        <w:t xml:space="preserve">The critical use pattern for </w:t>
      </w:r>
      <w:r>
        <w:t xml:space="preserve">wheat is for </w:t>
      </w:r>
      <w:r w:rsidR="00C175E9">
        <w:t xml:space="preserve">a maximum of one </w:t>
      </w:r>
      <w:r w:rsidR="00C175E9" w:rsidRPr="00C175E9">
        <w:t>pre-harvest application per crop, applied between BBCH</w:t>
      </w:r>
      <w:r w:rsidR="005654A6">
        <w:rPr>
          <w:rStyle w:val="FootnoteReference"/>
        </w:rPr>
        <w:footnoteReference w:id="4"/>
      </w:r>
      <w:r w:rsidR="00C175E9" w:rsidRPr="00C175E9">
        <w:t xml:space="preserve"> 75-83 only (medium milk to early dough) at a rate of 28 g ai/ha + 0.5 L/100 L Nufarm CanDo™ Adjuvant, in conjunction with a harvest withholding period (WHP) of ‘Not required when used as directed’ and a grazing WHP of 7 days. The wheat may also receive the registered application prior to sowing.</w:t>
      </w:r>
    </w:p>
    <w:p w14:paraId="1CE17904" w14:textId="13A938C9" w:rsidR="00C175E9" w:rsidRDefault="00C175E9" w:rsidP="00CD1F89">
      <w:pPr>
        <w:pStyle w:val="APVMAText"/>
      </w:pPr>
      <w:r>
        <w:t xml:space="preserve">A total of 11 Australian trials for tiafenacil on wheat </w:t>
      </w:r>
      <w:r w:rsidRPr="00C175E9">
        <w:t>were considered relevant to the proposed use of</w:t>
      </w:r>
      <w:r>
        <w:t xml:space="preserve"> tiafenacil on wheat.</w:t>
      </w:r>
    </w:p>
    <w:p w14:paraId="4B0C0932" w14:textId="55F4C850" w:rsidR="00CD1F89" w:rsidRPr="00CD1F89" w:rsidRDefault="00CD1F89" w:rsidP="004E13E3">
      <w:pPr>
        <w:pStyle w:val="Heading4"/>
      </w:pPr>
      <w:r w:rsidRPr="00CD1F89">
        <w:t>Wheat grains</w:t>
      </w:r>
    </w:p>
    <w:p w14:paraId="7AC17F4C" w14:textId="2C5417A6" w:rsidR="00C175E9" w:rsidRDefault="00CD1F89" w:rsidP="001B297F">
      <w:pPr>
        <w:pStyle w:val="APVMAText"/>
      </w:pPr>
      <w:r w:rsidRPr="00150E6B">
        <w:t xml:space="preserve">In </w:t>
      </w:r>
      <w:r w:rsidR="00C175E9" w:rsidRPr="00C175E9">
        <w:t xml:space="preserve">9 Australian trials on wheat, parent tiafenacil residues on wheat grains at commercial harvest [21-46 days after last application (DALA)], following an incorporation by sowing (IBS) application of a WG formulation containing tiafenacil at 27.6-29.7 g ai/ha (~1-1.1 × the currently registered rate for the IBS use) followed by one foliar application at BBCH 83 at 27.0-30.1 g ai/ha (~1-1.1 × the proposed rate), were &lt; 0.010 mg/kg </w:t>
      </w:r>
      <w:r w:rsidR="005654A6">
        <w:t>[</w:t>
      </w:r>
      <w:r w:rsidR="00C175E9" w:rsidRPr="00C175E9">
        <w:t xml:space="preserve">&lt; </w:t>
      </w:r>
      <w:r w:rsidR="00FD741A">
        <w:t xml:space="preserve">Limit of Quantification </w:t>
      </w:r>
      <w:r w:rsidR="005654A6">
        <w:t>(</w:t>
      </w:r>
      <w:r w:rsidR="00C175E9" w:rsidRPr="00C175E9">
        <w:t>LOQ</w:t>
      </w:r>
      <w:r w:rsidR="005654A6">
        <w:t>)</w:t>
      </w:r>
      <w:r w:rsidR="00C175E9" w:rsidRPr="00C175E9">
        <w:t>, n=9</w:t>
      </w:r>
      <w:r w:rsidR="005654A6">
        <w:t>]</w:t>
      </w:r>
      <w:r w:rsidR="00C175E9" w:rsidRPr="00C175E9">
        <w:t>.</w:t>
      </w:r>
    </w:p>
    <w:p w14:paraId="0EC5D2C2" w14:textId="7184277A" w:rsidR="00C175E9" w:rsidRDefault="00C175E9" w:rsidP="001B297F">
      <w:pPr>
        <w:pStyle w:val="APVMAText"/>
      </w:pPr>
      <w:r w:rsidRPr="00C175E9">
        <w:lastRenderedPageBreak/>
        <w:t>In 2 Australian trials on wheat, parent tiafenacil residues on wheat grains at commercial harvest [23-24 days after application (DAA)], following one foliar application of a WG formulation containing tiafenacil at BBCH 83 at 26.9-30.1 g ai/ha (~1-1.1 × the proposed rate), were &lt; 0.01 mg/kg (&lt; LOQ, n=2).</w:t>
      </w:r>
    </w:p>
    <w:p w14:paraId="6126B69B" w14:textId="77777777" w:rsidR="009034D3" w:rsidRDefault="009034D3" w:rsidP="003C4241">
      <w:pPr>
        <w:pStyle w:val="APVMAText"/>
      </w:pPr>
      <w:r>
        <w:t>Based on the available data, the current tiafenacil MRL of *0.01 mg/kg for GC 0080 Cereal grains remain appropriate and should cover the proposed pre-harvest use on wheat.</w:t>
      </w:r>
    </w:p>
    <w:p w14:paraId="3C6D46F2" w14:textId="61EA2BD5" w:rsidR="00CD1F89" w:rsidRPr="00CD1F89" w:rsidRDefault="00CD1F89" w:rsidP="004E13E3">
      <w:pPr>
        <w:pStyle w:val="Heading4"/>
      </w:pPr>
      <w:r w:rsidRPr="00CD1F89">
        <w:t>Wheat forage and fodder</w:t>
      </w:r>
    </w:p>
    <w:p w14:paraId="7FF25BAE" w14:textId="1B99E6E8" w:rsidR="00A2344E" w:rsidRDefault="00A2344E" w:rsidP="003C4241">
      <w:pPr>
        <w:pStyle w:val="APVMAText"/>
      </w:pPr>
      <w:bookmarkStart w:id="30" w:name="_Hlk200107295"/>
      <w:r>
        <w:t>In 9 Australian trials on wheat, parent tiafenacil residues on wheat forage at 6-7 DALA and wheat straw at commercial harvest (21-46 DALA), following an IBS application of a WG formulation containing tiafenacil at 27.6-29.7 g ai/ha (~1-1.1 × the currently registered rate for the IBS use) followed by one foliar application at BBCH 83 at 27.0-30.1 g ai/ha (~1-1.1 × the proposed rate), were in ranked order:</w:t>
      </w:r>
    </w:p>
    <w:p w14:paraId="4AA0C5EC" w14:textId="6A2DDE23" w:rsidR="00A2344E" w:rsidRDefault="00A2344E" w:rsidP="003C4241">
      <w:pPr>
        <w:pStyle w:val="Bullet1"/>
      </w:pPr>
      <w:r>
        <w:t xml:space="preserve">forage: 0.10, 0.115, 0.128, 0.334, 0.400, 0.484, 0.652 and 0.801 mg/kg </w:t>
      </w:r>
      <w:r w:rsidR="00B707B0">
        <w:t>on a dry weight (</w:t>
      </w:r>
      <w:r>
        <w:t>DW</w:t>
      </w:r>
      <w:r w:rsidR="00B707B0">
        <w:t>) basis</w:t>
      </w:r>
      <w:r>
        <w:t xml:space="preserve"> (n=8)</w:t>
      </w:r>
    </w:p>
    <w:p w14:paraId="1EF20DA4" w14:textId="3B4A28E3" w:rsidR="00A2344E" w:rsidRDefault="00A2344E" w:rsidP="003C4241">
      <w:pPr>
        <w:pStyle w:val="Bullet1"/>
      </w:pPr>
      <w:r>
        <w:t>straw: 0.029, 0.064, 0.078 (2), 0.081, 0.100, 0.11, 0.137 and 0.167 mg/kg DW (n=9)</w:t>
      </w:r>
    </w:p>
    <w:p w14:paraId="332D863C" w14:textId="3F7C7C8B" w:rsidR="00A2344E" w:rsidRDefault="00A2344E" w:rsidP="003C4241">
      <w:pPr>
        <w:pStyle w:val="APVMAText"/>
      </w:pPr>
      <w:r>
        <w:t>In 2 Australian trials on wheat, parent tiafenacil residues on wheat forage at 6-8 DALA and wheat straw at commercial harvest (23-24 DALA, converted to a dry weight basis using 88% dry matter), following one foliar application of a WG formulation containing tiafenacil at BBCH 83 at 26.9-30.1 g ai/ha (~1-1.1 × the proposed rate), were in ranked order:</w:t>
      </w:r>
    </w:p>
    <w:p w14:paraId="0DE0876A" w14:textId="77777777" w:rsidR="00A2344E" w:rsidRDefault="00A2344E" w:rsidP="003C4241">
      <w:pPr>
        <w:pStyle w:val="Bullet1"/>
      </w:pPr>
      <w:r>
        <w:t>forage: 0.34 and 0.68 mg/kg DW</w:t>
      </w:r>
    </w:p>
    <w:p w14:paraId="703B22F8" w14:textId="1197FA94" w:rsidR="00A2344E" w:rsidRDefault="00A2344E" w:rsidP="003C4241">
      <w:pPr>
        <w:pStyle w:val="Bullet1"/>
      </w:pPr>
      <w:r>
        <w:t>straw: 0.086 and 0.25 mg/kg DW</w:t>
      </w:r>
    </w:p>
    <w:p w14:paraId="630261AC" w14:textId="70EBAEE0" w:rsidR="00A2344E" w:rsidRDefault="00A2344E" w:rsidP="003C4241">
      <w:pPr>
        <w:pStyle w:val="APVMAText"/>
      </w:pPr>
      <w:r>
        <w:t>The combined dataset for each matrix is:</w:t>
      </w:r>
    </w:p>
    <w:p w14:paraId="6D69F3E0" w14:textId="77777777" w:rsidR="00A2344E" w:rsidRDefault="00A2344E" w:rsidP="003C4241">
      <w:pPr>
        <w:pStyle w:val="Bullet1"/>
      </w:pPr>
      <w:r>
        <w:t xml:space="preserve">forage: </w:t>
      </w:r>
      <w:r w:rsidRPr="00C31481">
        <w:t>0.10, 0.115, 0.128, 0.334,</w:t>
      </w:r>
      <w:r>
        <w:t xml:space="preserve"> 0.34,</w:t>
      </w:r>
      <w:r w:rsidRPr="00C31481">
        <w:t xml:space="preserve"> 0.400, 0.484, 0.652</w:t>
      </w:r>
      <w:r>
        <w:t>, 0.68</w:t>
      </w:r>
      <w:r w:rsidRPr="00C31481">
        <w:t xml:space="preserve"> and 0.801 mg/kg DW (n=</w:t>
      </w:r>
      <w:r>
        <w:t>10</w:t>
      </w:r>
      <w:r w:rsidRPr="00C31481">
        <w:t>)</w:t>
      </w:r>
    </w:p>
    <w:p w14:paraId="4F111B35" w14:textId="5813A641" w:rsidR="00A2344E" w:rsidRDefault="00A2344E" w:rsidP="003C4241">
      <w:pPr>
        <w:pStyle w:val="Bullet1"/>
      </w:pPr>
      <w:r>
        <w:t xml:space="preserve">straw: </w:t>
      </w:r>
      <w:r w:rsidRPr="00C31481">
        <w:t>0.029, 0.064, 0.078 (2), 0.081,</w:t>
      </w:r>
      <w:r>
        <w:t xml:space="preserve"> 0.086,</w:t>
      </w:r>
      <w:r w:rsidRPr="00C31481">
        <w:t xml:space="preserve"> 0.100, 0.11, 0.137</w:t>
      </w:r>
      <w:r>
        <w:t xml:space="preserve">, </w:t>
      </w:r>
      <w:r w:rsidRPr="00C31481">
        <w:t>0.167</w:t>
      </w:r>
      <w:r>
        <w:t xml:space="preserve"> and 0.25</w:t>
      </w:r>
      <w:r w:rsidRPr="00C31481">
        <w:t xml:space="preserve"> mg/kg DW (n=</w:t>
      </w:r>
      <w:r>
        <w:t>11</w:t>
      </w:r>
      <w:r w:rsidRPr="00C31481">
        <w:t>)</w:t>
      </w:r>
      <w:bookmarkEnd w:id="30"/>
    </w:p>
    <w:p w14:paraId="6112086B" w14:textId="5256E1DD" w:rsidR="00A2344E" w:rsidRDefault="00A2344E" w:rsidP="003C4241">
      <w:pPr>
        <w:pStyle w:val="APVMAText"/>
      </w:pPr>
      <w:bookmarkStart w:id="31" w:name="_Hlk203121540"/>
      <w:r>
        <w:t xml:space="preserve">Based on the combined forage dataset, the </w:t>
      </w:r>
      <w:r w:rsidR="005654A6">
        <w:t>Organisation for Economic Co-operation and Development</w:t>
      </w:r>
      <w:r w:rsidR="00912039">
        <w:t xml:space="preserve"> (OECD)</w:t>
      </w:r>
      <w:r>
        <w:t xml:space="preserve"> MRL calculator estimates an MRL of 1.5 mg/kg. The STMR is 0.37 mg/kg. A tiafenacil MRL of </w:t>
      </w:r>
      <w:bookmarkStart w:id="32" w:name="_Hlk200633030"/>
      <w:r>
        <w:t xml:space="preserve">1.5 mg/kg for Wheat forage </w:t>
      </w:r>
      <w:bookmarkEnd w:id="32"/>
      <w:r>
        <w:t>is considered appropriate for the proposed use on wheat in conjunction with a grazing WHP of 7 days.</w:t>
      </w:r>
    </w:p>
    <w:p w14:paraId="0BD9C9E4" w14:textId="77777777" w:rsidR="00A2344E" w:rsidRDefault="00A2344E" w:rsidP="003C4241">
      <w:pPr>
        <w:pStyle w:val="APVMAText"/>
      </w:pPr>
      <w:r>
        <w:t xml:space="preserve">Based on the combined straw dataset, the OECD MRL calculator estimates an MRL of 0.4 mg/kg. The STMR is 0.086 mg/kg. A tiafenacil MRL of </w:t>
      </w:r>
      <w:bookmarkStart w:id="33" w:name="_Hlk200633039"/>
      <w:r>
        <w:t>0.4 mg/kg for AS 0654 Wheat straw and fodder, dry</w:t>
      </w:r>
      <w:bookmarkEnd w:id="33"/>
      <w:r>
        <w:t xml:space="preserve"> is considered appropriate for the proposed use on wheat in conjunction with a grazing WHP of 7 days.</w:t>
      </w:r>
    </w:p>
    <w:p w14:paraId="3D22DB36" w14:textId="77777777" w:rsidR="00A2344E" w:rsidRDefault="00A2344E" w:rsidP="003C4241">
      <w:pPr>
        <w:pStyle w:val="APVMAText"/>
      </w:pPr>
      <w:bookmarkStart w:id="34" w:name="_Hlk203134444"/>
      <w:r>
        <w:t xml:space="preserve">Noting the recommended tiafenacil MRLs for Wheat forage and AS 0654 Wheat straw and fodder, dry, </w:t>
      </w:r>
      <w:bookmarkStart w:id="35" w:name="_Hlk200633054"/>
      <w:r>
        <w:t xml:space="preserve">the current tiafenacil MRL of *0.01 mg/kg for </w:t>
      </w:r>
      <w:r w:rsidRPr="00C73B41">
        <w:t>Cereal forage and fodder</w:t>
      </w:r>
      <w:r>
        <w:t xml:space="preserve"> should be amended to “Cereal </w:t>
      </w:r>
      <w:r w:rsidRPr="00C73B41">
        <w:t>forage and fodder</w:t>
      </w:r>
      <w:r>
        <w:t xml:space="preserve"> {except Wheat forage; Wheat </w:t>
      </w:r>
      <w:r w:rsidRPr="00C73B41">
        <w:t>straw and fodder, dry</w:t>
      </w:r>
      <w:r>
        <w:t>} at *0.01 mg/kg.</w:t>
      </w:r>
    </w:p>
    <w:p w14:paraId="037CCB00" w14:textId="77777777" w:rsidR="000748B1" w:rsidRDefault="000748B1" w:rsidP="000748B1">
      <w:pPr>
        <w:pStyle w:val="Heading3"/>
      </w:pPr>
      <w:bookmarkStart w:id="36" w:name="_Toc202370891"/>
      <w:bookmarkStart w:id="37" w:name="_Hlk207973251"/>
      <w:bookmarkStart w:id="38" w:name="_Toc208397021"/>
      <w:bookmarkEnd w:id="31"/>
      <w:bookmarkEnd w:id="34"/>
      <w:bookmarkEnd w:id="35"/>
      <w:r>
        <w:lastRenderedPageBreak/>
        <w:t>Fallow</w:t>
      </w:r>
      <w:bookmarkEnd w:id="38"/>
    </w:p>
    <w:bookmarkEnd w:id="36"/>
    <w:p w14:paraId="00716899" w14:textId="5801FE99" w:rsidR="00D4497B" w:rsidRPr="003C4241" w:rsidRDefault="00D4497B" w:rsidP="003C4241">
      <w:pPr>
        <w:pStyle w:val="APVMAText"/>
      </w:pPr>
      <w:r w:rsidRPr="003C4241">
        <w:t>The Applicant has requested to remove the current grazing restraint for fallow (i.e. Do not allow livestock to graze treated weeds) and establish a grazing WHP of 7 days for fallow.</w:t>
      </w:r>
    </w:p>
    <w:p w14:paraId="1B61F0DC" w14:textId="57EAA5A2" w:rsidR="00BE2DDA" w:rsidRPr="003C4241" w:rsidRDefault="00BE2DDA" w:rsidP="003C4241">
      <w:pPr>
        <w:pStyle w:val="APVMAText"/>
      </w:pPr>
      <w:r w:rsidRPr="003C4241">
        <w:t xml:space="preserve">A total of </w:t>
      </w:r>
      <w:r w:rsidR="00D4497B" w:rsidRPr="003C4241">
        <w:t>24</w:t>
      </w:r>
      <w:r w:rsidRPr="003C4241">
        <w:t xml:space="preserve"> Australian trials for tiafenacil on </w:t>
      </w:r>
      <w:r w:rsidR="002014ED" w:rsidRPr="003C4241">
        <w:t>chickpea (</w:t>
      </w:r>
      <w:r w:rsidR="00966BB9" w:rsidRPr="003C4241">
        <w:t>1</w:t>
      </w:r>
      <w:r w:rsidR="002014ED" w:rsidRPr="003C4241">
        <w:t>), faba beans (3), field peas (2), lentils (2), lupins (4)</w:t>
      </w:r>
      <w:r w:rsidR="00486398" w:rsidRPr="003C4241">
        <w:t xml:space="preserve"> and </w:t>
      </w:r>
      <w:r w:rsidRPr="003C4241">
        <w:t>wheat</w:t>
      </w:r>
      <w:r w:rsidR="002014ED" w:rsidRPr="003C4241">
        <w:t xml:space="preserve"> (12) </w:t>
      </w:r>
      <w:r w:rsidRPr="003C4241">
        <w:t xml:space="preserve">were considered relevant to the proposed </w:t>
      </w:r>
      <w:r w:rsidR="00D4497B" w:rsidRPr="003C4241">
        <w:t>grazing WHP of 7 days for fallow</w:t>
      </w:r>
      <w:r w:rsidR="003677E5" w:rsidRPr="003C4241">
        <w:t>.</w:t>
      </w:r>
    </w:p>
    <w:p w14:paraId="1C36FA67" w14:textId="4022B887" w:rsidR="00CD1F89" w:rsidRPr="00D5302A" w:rsidRDefault="00D5302A" w:rsidP="004E13E3">
      <w:pPr>
        <w:pStyle w:val="Heading4"/>
      </w:pPr>
      <w:r w:rsidRPr="00D5302A">
        <w:t>Wheat</w:t>
      </w:r>
    </w:p>
    <w:p w14:paraId="06061DE3" w14:textId="71876390" w:rsidR="00D5302A" w:rsidRDefault="00D5302A" w:rsidP="003C4241">
      <w:pPr>
        <w:pStyle w:val="APVMAText"/>
      </w:pPr>
      <w:r>
        <w:t>In 12 Australian trials on wheat, parent tiafenacil residues on wheat forage at 6-8 DALA, following 1-2 applications of a WG formulation containing tiafenacil at either of the following use patterns:</w:t>
      </w:r>
    </w:p>
    <w:p w14:paraId="64E22BFD" w14:textId="3E06E780" w:rsidR="00D5302A" w:rsidRPr="00396892" w:rsidRDefault="00D5302A" w:rsidP="003C4241">
      <w:pPr>
        <w:pStyle w:val="APVMAListNumbered"/>
      </w:pPr>
      <w:r w:rsidRPr="00396892">
        <w:t xml:space="preserve">an IBS application at 27.6-29.7 g ai/ha (~1-1.1 × the currently registered rate) followed by one foliar application at BBCH </w:t>
      </w:r>
      <w:r>
        <w:t>77-87</w:t>
      </w:r>
      <w:r w:rsidRPr="00396892">
        <w:t xml:space="preserve"> at 27.0-30.1 g ai/ha (~1-1.1 × the proposed rate), or</w:t>
      </w:r>
    </w:p>
    <w:p w14:paraId="53BE788D" w14:textId="29EBEA33" w:rsidR="00D5302A" w:rsidRPr="00396892" w:rsidRDefault="00D5302A" w:rsidP="003C4241">
      <w:pPr>
        <w:pStyle w:val="APVMAListNumbered"/>
      </w:pPr>
      <w:r w:rsidRPr="00396892">
        <w:t>one foliar application at BBCH 83</w:t>
      </w:r>
      <w:r>
        <w:t>-85</w:t>
      </w:r>
      <w:r w:rsidRPr="00396892">
        <w:t xml:space="preserve"> at 26.9-30.1 g ai/ha (~1-1.1 × the proposed rate), were in ranked order:</w:t>
      </w:r>
    </w:p>
    <w:p w14:paraId="4D23ABCA" w14:textId="57A0A56E" w:rsidR="00D5302A" w:rsidRDefault="00D5302A" w:rsidP="003C4241">
      <w:pPr>
        <w:pStyle w:val="Bullet2"/>
      </w:pPr>
      <w:r>
        <w:t xml:space="preserve">forage: </w:t>
      </w:r>
      <w:r w:rsidRPr="00C31481">
        <w:t>0.10, 0.115, 0.128,</w:t>
      </w:r>
      <w:r>
        <w:t xml:space="preserve"> 0.21,</w:t>
      </w:r>
      <w:r w:rsidRPr="00C31481">
        <w:t xml:space="preserve"> 0.334,</w:t>
      </w:r>
      <w:r>
        <w:t xml:space="preserve"> 0.34,</w:t>
      </w:r>
      <w:r w:rsidRPr="00C31481">
        <w:t xml:space="preserve"> 0.400, 0.484, 0.652</w:t>
      </w:r>
      <w:r>
        <w:t xml:space="preserve">, 0.68, </w:t>
      </w:r>
      <w:r w:rsidRPr="00C31481">
        <w:t>0.801</w:t>
      </w:r>
      <w:r>
        <w:t xml:space="preserve"> and 1.1</w:t>
      </w:r>
      <w:r w:rsidRPr="00C31481">
        <w:t xml:space="preserve"> mg/kg DW (n=</w:t>
      </w:r>
      <w:r>
        <w:t>12</w:t>
      </w:r>
      <w:r w:rsidRPr="00C31481">
        <w:t>)</w:t>
      </w:r>
    </w:p>
    <w:p w14:paraId="6890FFEF" w14:textId="6E5EFB0A" w:rsidR="00CD1F89" w:rsidRPr="002014ED" w:rsidRDefault="002014ED" w:rsidP="004E13E3">
      <w:pPr>
        <w:pStyle w:val="Heading4"/>
      </w:pPr>
      <w:r w:rsidRPr="002014ED">
        <w:t>Pulses</w:t>
      </w:r>
    </w:p>
    <w:p w14:paraId="161D9D97" w14:textId="47EF338E" w:rsidR="00966BB9" w:rsidRPr="00966BB9" w:rsidRDefault="00966BB9" w:rsidP="003C4241">
      <w:pPr>
        <w:pStyle w:val="APVMAText"/>
        <w:rPr>
          <w:szCs w:val="20"/>
        </w:rPr>
      </w:pPr>
      <w:r>
        <w:t xml:space="preserve">In 12 Australian trials on chickpea (1), faba beans (3), field peas (2) lentils (2) and lupins (4), parent tiafenacil residues on pulse forage at 6-7 DAA/DALA (or later if higher residues are observed), following 1-2 </w:t>
      </w:r>
      <w:r w:rsidRPr="00966BB9">
        <w:rPr>
          <w:szCs w:val="20"/>
        </w:rPr>
        <w:t>applications of a WG formulation containing tiafenacil at either of the following use patterns:</w:t>
      </w:r>
    </w:p>
    <w:p w14:paraId="09336474" w14:textId="77777777" w:rsidR="00966BB9" w:rsidRPr="00966BB9" w:rsidRDefault="00966BB9" w:rsidP="003C4241">
      <w:pPr>
        <w:pStyle w:val="APVMAListNumbered"/>
        <w:numPr>
          <w:ilvl w:val="0"/>
          <w:numId w:val="12"/>
        </w:numPr>
      </w:pPr>
      <w:r w:rsidRPr="00966BB9">
        <w:t>an IBS application at 27.8-29.7 g ai/ha (~1-1.1 × the currently registered rate) followed by one foliar application at BBCH 79-88 at 26.3-31.8 g ai/ha (~0.9-1.1 × the proposed rate), or</w:t>
      </w:r>
    </w:p>
    <w:p w14:paraId="13A16B45" w14:textId="77777777" w:rsidR="00966BB9" w:rsidRPr="00966BB9" w:rsidRDefault="00966BB9" w:rsidP="003C4241">
      <w:pPr>
        <w:pStyle w:val="APVMAListNumbered"/>
        <w:numPr>
          <w:ilvl w:val="0"/>
          <w:numId w:val="12"/>
        </w:numPr>
      </w:pPr>
      <w:r w:rsidRPr="00966BB9">
        <w:t>one foliar application at BBCH 84-89 at 25.9-30.6 g ai/ha (~0.9-1.1 × the proposed rate), were in ranked order:</w:t>
      </w:r>
    </w:p>
    <w:p w14:paraId="329CE13A" w14:textId="77777777" w:rsidR="00966BB9" w:rsidRPr="00966BB9" w:rsidRDefault="00966BB9" w:rsidP="003C4241">
      <w:pPr>
        <w:pStyle w:val="Bullet2"/>
      </w:pPr>
      <w:r w:rsidRPr="00966BB9">
        <w:t>forage: &lt; 0.01, 0.097, 0.14, 0.176, 0.19, 0.237, 0.357, 0.45, 0.515, 0.592, 0.800 and 1.2 mg/kg DW (n=12)</w:t>
      </w:r>
    </w:p>
    <w:p w14:paraId="40592817" w14:textId="1529CAF7" w:rsidR="00966BB9" w:rsidRPr="00AD7C9A" w:rsidRDefault="00966BB9" w:rsidP="003C4241">
      <w:pPr>
        <w:pStyle w:val="APVMAText"/>
      </w:pPr>
      <w:r w:rsidRPr="00AD7C9A">
        <w:t>The available wheat forage and pulse forage data are combined to estimate an MRL to cover potential residues in weeds, following the use of tiafenacil in fallow situations.</w:t>
      </w:r>
    </w:p>
    <w:p w14:paraId="3763BFBD" w14:textId="6A84ABA4" w:rsidR="00966BB9" w:rsidRPr="00AD7C9A" w:rsidRDefault="00966BB9" w:rsidP="003C4241">
      <w:pPr>
        <w:pStyle w:val="APVMAText"/>
      </w:pPr>
      <w:r w:rsidRPr="00AD7C9A">
        <w:t>The combined dataset suitable for the estimation of an MRL, are, in ranked order: &lt; 0.01, 0.097,</w:t>
      </w:r>
      <w:r w:rsidR="003C43A6">
        <w:t xml:space="preserve"> 0.10,</w:t>
      </w:r>
      <w:r w:rsidRPr="00AD7C9A">
        <w:t xml:space="preserve"> 0.115, 0.128, 0.14, 0.176, 0.19, 0.21, 0.237, 0.334, 0.34, 0.357, 0.400, 0.45, 0.484, 0.515, 0.592, 0.652, 0.68, 0.800, 0.801, 1.1 and 1.2 mg/kg DW (n=24). The OECD MRL calculator estimates an MRL of 2 mg/kg. The STMR is 0.35 mg/kg.</w:t>
      </w:r>
    </w:p>
    <w:p w14:paraId="0C0B6B84" w14:textId="3D4D8E0A" w:rsidR="00CD1F89" w:rsidRPr="00966BB9" w:rsidRDefault="00B707B0" w:rsidP="003C4241">
      <w:pPr>
        <w:pStyle w:val="APVMAText"/>
      </w:pPr>
      <w:r w:rsidRPr="00C02B0C">
        <w:t>Noting that the highest residue (HR) from the extrapolation of wheat and pulse forage to treated weeds in fallow situations is</w:t>
      </w:r>
      <w:r w:rsidR="00AD7C9A" w:rsidRPr="00C02B0C">
        <w:t xml:space="preserve"> 1.2 mg/kg</w:t>
      </w:r>
      <w:r w:rsidRPr="00C02B0C">
        <w:t xml:space="preserve"> DW and that it is considered appropriate to establish MRLs which are at least 2× the HR as a conservative approach</w:t>
      </w:r>
      <w:r w:rsidR="00AD7C9A" w:rsidRPr="00C02B0C">
        <w:t>, a tiafenacil MRL of 3 mg/kg for Primary feed commodities {except Cereal forage and fodder; Mixed pastures (leguminous</w:t>
      </w:r>
      <w:r w:rsidR="00AD7C9A" w:rsidRPr="00AD7C9A">
        <w:t xml:space="preserve">/grasses); Mustard seed forage and fodder; Pulse </w:t>
      </w:r>
      <w:r w:rsidR="00AD7C9A" w:rsidRPr="003C4241">
        <w:lastRenderedPageBreak/>
        <w:t>forage and fodder; Rape seed [canola] forage and fodder; Wheat forage; Wheat straw and fodder, dry} is recommended, noting also that the current Cereal forage and fodder MRL should be deleted and tiafenacil MRLs for Wheat forage and AS 0654 Wheat straw and fodder, dry are recommended.</w:t>
      </w:r>
    </w:p>
    <w:p w14:paraId="46326410" w14:textId="77777777" w:rsidR="00CD1F89" w:rsidRPr="004E13E3" w:rsidRDefault="00CD1F89" w:rsidP="004E13E3">
      <w:pPr>
        <w:pStyle w:val="Heading3"/>
      </w:pPr>
      <w:bookmarkStart w:id="39" w:name="_Toc208397022"/>
      <w:r w:rsidRPr="004E13E3">
        <w:t>Animal commodities</w:t>
      </w:r>
      <w:bookmarkEnd w:id="39"/>
    </w:p>
    <w:p w14:paraId="304664E4" w14:textId="7EF02314" w:rsidR="00CD1F89" w:rsidRDefault="00CD1F89" w:rsidP="004E13E3">
      <w:pPr>
        <w:pStyle w:val="Heading4"/>
      </w:pPr>
      <w:r w:rsidRPr="0084202F">
        <w:t>Cattle</w:t>
      </w:r>
    </w:p>
    <w:p w14:paraId="1799493C" w14:textId="74B230D3" w:rsidR="00CD1F89" w:rsidRPr="004E13E3" w:rsidRDefault="00CD1F89" w:rsidP="004E13E3">
      <w:pPr>
        <w:pStyle w:val="APVMAText"/>
      </w:pPr>
      <w:r w:rsidRPr="004E13E3">
        <w:t xml:space="preserve">Based on </w:t>
      </w:r>
      <w:r w:rsidR="00977CC1" w:rsidRPr="004E13E3">
        <w:t>the available data (pulse forage HR for tiafenacil parent = 1.2 mg/kg DW and M-01 residues of 0.29 mg/kg in the same trial</w:t>
      </w:r>
      <w:r w:rsidR="004E7B9E" w:rsidRPr="004E13E3">
        <w:t>, which forms part of the residue definition for animal commodities for tiafenacil</w:t>
      </w:r>
      <w:r w:rsidR="00977CC1" w:rsidRPr="004E13E3">
        <w:t>), the existing dietary burden for dairy cattle and beef cattle will increase to 1.5 ppm each</w:t>
      </w:r>
      <w:r w:rsidRPr="004E13E3">
        <w:t xml:space="preserve">. </w:t>
      </w:r>
      <w:r w:rsidR="00977CC1" w:rsidRPr="004E13E3">
        <w:t xml:space="preserve">A </w:t>
      </w:r>
      <w:r w:rsidRPr="004E13E3">
        <w:t xml:space="preserve">dairy cattle transfer study for </w:t>
      </w:r>
      <w:r w:rsidR="00977CC1" w:rsidRPr="004E13E3">
        <w:t>tiafenacil</w:t>
      </w:r>
      <w:r w:rsidRPr="004E13E3">
        <w:t xml:space="preserve"> has been </w:t>
      </w:r>
      <w:r w:rsidR="00977CC1" w:rsidRPr="004E13E3">
        <w:t>submitted</w:t>
      </w:r>
      <w:r w:rsidRPr="004E13E3">
        <w:t>. Estimated residues in tissues and milk from a dietary burden of 1</w:t>
      </w:r>
      <w:r w:rsidR="0062091D" w:rsidRPr="004E13E3">
        <w:t>.5</w:t>
      </w:r>
      <w:r w:rsidRPr="004E13E3">
        <w:t xml:space="preserve"> ppm are summarised below.</w:t>
      </w:r>
    </w:p>
    <w:p w14:paraId="6E9B446E" w14:textId="40BFBE69" w:rsidR="00CD1F89" w:rsidRPr="004E13E3" w:rsidRDefault="00CD1F89" w:rsidP="004E13E3">
      <w:pPr>
        <w:pStyle w:val="Caption"/>
      </w:pPr>
      <w:bookmarkStart w:id="40" w:name="_Toc152840425"/>
      <w:bookmarkStart w:id="41" w:name="_Toc202370959"/>
      <w:bookmarkStart w:id="42" w:name="_Toc208397033"/>
      <w:r w:rsidRPr="004E13E3">
        <w:t xml:space="preserve">Table </w:t>
      </w:r>
      <w:r w:rsidR="005B1363" w:rsidRPr="006B6367">
        <w:fldChar w:fldCharType="begin"/>
      </w:r>
      <w:r w:rsidR="005B1363" w:rsidRPr="006B6367">
        <w:instrText xml:space="preserve"> SEQ Table \* ARABIC </w:instrText>
      </w:r>
      <w:r w:rsidR="005B1363" w:rsidRPr="006B6367">
        <w:fldChar w:fldCharType="separate"/>
      </w:r>
      <w:r w:rsidR="004E7885">
        <w:rPr>
          <w:noProof/>
        </w:rPr>
        <w:t>2</w:t>
      </w:r>
      <w:r w:rsidR="005B1363" w:rsidRPr="006B6367">
        <w:fldChar w:fldCharType="end"/>
      </w:r>
      <w:r w:rsidRPr="004E13E3">
        <w:t>:</w:t>
      </w:r>
      <w:r w:rsidRPr="004E13E3">
        <w:tab/>
        <w:t>Estimated residues in mammalian tissues and milk and required MRLs</w:t>
      </w:r>
      <w:bookmarkEnd w:id="40"/>
      <w:bookmarkEnd w:id="41"/>
      <w:bookmarkEnd w:id="42"/>
    </w:p>
    <w:tbl>
      <w:tblPr>
        <w:tblW w:w="5000" w:type="pct"/>
        <w:tblLook w:val="00A0" w:firstRow="1" w:lastRow="0" w:firstColumn="1" w:lastColumn="0" w:noHBand="0" w:noVBand="0"/>
      </w:tblPr>
      <w:tblGrid>
        <w:gridCol w:w="2696"/>
        <w:gridCol w:w="1388"/>
        <w:gridCol w:w="1388"/>
        <w:gridCol w:w="1388"/>
        <w:gridCol w:w="1388"/>
        <w:gridCol w:w="1390"/>
      </w:tblGrid>
      <w:tr w:rsidR="00CD1F89" w:rsidRPr="00430DD5" w14:paraId="5E642885" w14:textId="77777777" w:rsidTr="004032CF">
        <w:trPr>
          <w:tblHeader/>
        </w:trPr>
        <w:tc>
          <w:tcPr>
            <w:tcW w:w="1399" w:type="pct"/>
            <w:vMerge w:val="restart"/>
            <w:tcBorders>
              <w:top w:val="single" w:sz="4" w:space="0" w:color="auto"/>
              <w:bottom w:val="single" w:sz="6" w:space="0" w:color="000000"/>
            </w:tcBorders>
            <w:shd w:val="clear" w:color="auto" w:fill="00747A" w:themeFill="background2"/>
            <w:vAlign w:val="center"/>
          </w:tcPr>
          <w:p w14:paraId="559D34A8" w14:textId="77777777" w:rsidR="00CD1F89" w:rsidRPr="005275BE" w:rsidRDefault="00CD1F89" w:rsidP="004032CF">
            <w:pPr>
              <w:pStyle w:val="APVMATableHead"/>
            </w:pPr>
            <w:r w:rsidRPr="005275BE">
              <w:t>Feeding level (ppm)</w:t>
            </w:r>
          </w:p>
        </w:tc>
        <w:tc>
          <w:tcPr>
            <w:tcW w:w="720" w:type="pct"/>
            <w:tcBorders>
              <w:top w:val="single" w:sz="4" w:space="0" w:color="auto"/>
            </w:tcBorders>
            <w:shd w:val="clear" w:color="auto" w:fill="00747A" w:themeFill="background2"/>
          </w:tcPr>
          <w:p w14:paraId="0AFA0540" w14:textId="77777777" w:rsidR="00CD1F89" w:rsidRPr="005275BE" w:rsidRDefault="00CD1F89" w:rsidP="004032CF">
            <w:pPr>
              <w:pStyle w:val="APVMATableHeadRight"/>
              <w:jc w:val="center"/>
            </w:pPr>
            <w:r w:rsidRPr="005275BE">
              <w:t>Milk</w:t>
            </w:r>
          </w:p>
        </w:tc>
        <w:tc>
          <w:tcPr>
            <w:tcW w:w="720" w:type="pct"/>
            <w:tcBorders>
              <w:top w:val="single" w:sz="4" w:space="0" w:color="auto"/>
            </w:tcBorders>
            <w:shd w:val="clear" w:color="auto" w:fill="00747A" w:themeFill="background2"/>
          </w:tcPr>
          <w:p w14:paraId="34A81129" w14:textId="77777777" w:rsidR="00CD1F89" w:rsidRPr="005275BE" w:rsidRDefault="00CD1F89" w:rsidP="004032CF">
            <w:pPr>
              <w:pStyle w:val="APVMATableHeadRight"/>
              <w:jc w:val="center"/>
            </w:pPr>
            <w:r w:rsidRPr="005275BE">
              <w:t>Muscle</w:t>
            </w:r>
          </w:p>
        </w:tc>
        <w:tc>
          <w:tcPr>
            <w:tcW w:w="720" w:type="pct"/>
            <w:tcBorders>
              <w:top w:val="single" w:sz="4" w:space="0" w:color="auto"/>
            </w:tcBorders>
            <w:shd w:val="clear" w:color="auto" w:fill="00747A" w:themeFill="background2"/>
          </w:tcPr>
          <w:p w14:paraId="2EA7327A" w14:textId="77777777" w:rsidR="00CD1F89" w:rsidRPr="005275BE" w:rsidRDefault="00CD1F89" w:rsidP="004032CF">
            <w:pPr>
              <w:pStyle w:val="APVMATableHeadRight"/>
              <w:jc w:val="center"/>
            </w:pPr>
            <w:r w:rsidRPr="005275BE">
              <w:t>Liver</w:t>
            </w:r>
          </w:p>
        </w:tc>
        <w:tc>
          <w:tcPr>
            <w:tcW w:w="720" w:type="pct"/>
            <w:tcBorders>
              <w:top w:val="single" w:sz="4" w:space="0" w:color="auto"/>
            </w:tcBorders>
            <w:shd w:val="clear" w:color="auto" w:fill="00747A" w:themeFill="background2"/>
          </w:tcPr>
          <w:p w14:paraId="5F485154" w14:textId="77777777" w:rsidR="00CD1F89" w:rsidRPr="005275BE" w:rsidRDefault="00CD1F89" w:rsidP="004032CF">
            <w:pPr>
              <w:pStyle w:val="APVMATableHeadRight"/>
              <w:jc w:val="center"/>
            </w:pPr>
            <w:r w:rsidRPr="005275BE">
              <w:t>Kidney</w:t>
            </w:r>
          </w:p>
        </w:tc>
        <w:tc>
          <w:tcPr>
            <w:tcW w:w="721" w:type="pct"/>
            <w:tcBorders>
              <w:top w:val="single" w:sz="4" w:space="0" w:color="auto"/>
            </w:tcBorders>
            <w:shd w:val="clear" w:color="auto" w:fill="00747A" w:themeFill="background2"/>
          </w:tcPr>
          <w:p w14:paraId="7464E9A4" w14:textId="77777777" w:rsidR="00CD1F89" w:rsidRPr="005275BE" w:rsidRDefault="00CD1F89" w:rsidP="004032CF">
            <w:pPr>
              <w:pStyle w:val="APVMATableHeadRight"/>
              <w:jc w:val="center"/>
            </w:pPr>
            <w:r w:rsidRPr="005275BE">
              <w:t>Fat</w:t>
            </w:r>
          </w:p>
        </w:tc>
      </w:tr>
      <w:tr w:rsidR="00CD1F89" w:rsidRPr="00430DD5" w14:paraId="38336F4A" w14:textId="77777777" w:rsidTr="004032CF">
        <w:trPr>
          <w:tblHeader/>
        </w:trPr>
        <w:tc>
          <w:tcPr>
            <w:tcW w:w="1399" w:type="pct"/>
            <w:vMerge/>
            <w:tcBorders>
              <w:bottom w:val="single" w:sz="6" w:space="0" w:color="000000"/>
            </w:tcBorders>
            <w:shd w:val="clear" w:color="auto" w:fill="00747A" w:themeFill="background2"/>
          </w:tcPr>
          <w:p w14:paraId="43735E8B" w14:textId="77777777" w:rsidR="00CD1F89" w:rsidRPr="005275BE" w:rsidRDefault="00CD1F89" w:rsidP="004032CF">
            <w:pPr>
              <w:pStyle w:val="APVMATableHead"/>
            </w:pPr>
          </w:p>
        </w:tc>
        <w:tc>
          <w:tcPr>
            <w:tcW w:w="3601" w:type="pct"/>
            <w:gridSpan w:val="5"/>
            <w:tcBorders>
              <w:bottom w:val="single" w:sz="6" w:space="0" w:color="000000"/>
            </w:tcBorders>
            <w:shd w:val="clear" w:color="auto" w:fill="00747A" w:themeFill="background2"/>
          </w:tcPr>
          <w:p w14:paraId="3BFEC760" w14:textId="481976E2" w:rsidR="00CD1F89" w:rsidRPr="005275BE" w:rsidRDefault="0062091D" w:rsidP="004032CF">
            <w:pPr>
              <w:pStyle w:val="APVMATableHeadRight"/>
              <w:jc w:val="center"/>
            </w:pPr>
            <w:r w:rsidRPr="0062091D">
              <w:t>Tiafenacil + M-01 residues, expressed as parent (mg/kg)</w:t>
            </w:r>
          </w:p>
        </w:tc>
      </w:tr>
      <w:tr w:rsidR="00CD1F89" w:rsidRPr="00430DD5" w14:paraId="5FDBFD60" w14:textId="77777777" w:rsidTr="004032CF">
        <w:trPr>
          <w:trHeight w:val="340"/>
        </w:trPr>
        <w:tc>
          <w:tcPr>
            <w:tcW w:w="1399" w:type="pct"/>
            <w:tcBorders>
              <w:top w:val="single" w:sz="6" w:space="0" w:color="000000"/>
            </w:tcBorders>
          </w:tcPr>
          <w:p w14:paraId="28413350" w14:textId="5B63BC40" w:rsidR="00CD1F89" w:rsidRPr="005275BE" w:rsidRDefault="0062091D" w:rsidP="004032CF">
            <w:pPr>
              <w:pStyle w:val="APVMATableText"/>
            </w:pPr>
            <w:r>
              <w:t>5</w:t>
            </w:r>
            <w:r w:rsidR="00CD1F89" w:rsidRPr="005275BE">
              <w:t xml:space="preserve"> (observed)</w:t>
            </w:r>
          </w:p>
        </w:tc>
        <w:tc>
          <w:tcPr>
            <w:tcW w:w="720" w:type="pct"/>
          </w:tcPr>
          <w:p w14:paraId="685A5E33" w14:textId="409AFC4C" w:rsidR="00CD1F89" w:rsidRPr="005275BE" w:rsidRDefault="00C00A1E" w:rsidP="004032CF">
            <w:pPr>
              <w:pStyle w:val="APVMATableTextRight"/>
              <w:jc w:val="center"/>
            </w:pPr>
            <w:r>
              <w:t>&lt; 0.02</w:t>
            </w:r>
          </w:p>
        </w:tc>
        <w:tc>
          <w:tcPr>
            <w:tcW w:w="720" w:type="pct"/>
          </w:tcPr>
          <w:p w14:paraId="6DDCB812" w14:textId="226B093F" w:rsidR="00CD1F89" w:rsidRPr="005275BE" w:rsidRDefault="00C00A1E" w:rsidP="004032CF">
            <w:pPr>
              <w:pStyle w:val="APVMATableTextRight"/>
              <w:jc w:val="center"/>
            </w:pPr>
            <w:r>
              <w:t>&lt; 0.02</w:t>
            </w:r>
          </w:p>
        </w:tc>
        <w:tc>
          <w:tcPr>
            <w:tcW w:w="720" w:type="pct"/>
          </w:tcPr>
          <w:p w14:paraId="478E79CF" w14:textId="593D1412" w:rsidR="00CD1F89" w:rsidRPr="005275BE" w:rsidRDefault="00C00A1E" w:rsidP="004032CF">
            <w:pPr>
              <w:pStyle w:val="APVMATableTextRight"/>
              <w:jc w:val="center"/>
            </w:pPr>
            <w:r>
              <w:t>0.244</w:t>
            </w:r>
          </w:p>
        </w:tc>
        <w:tc>
          <w:tcPr>
            <w:tcW w:w="720" w:type="pct"/>
          </w:tcPr>
          <w:p w14:paraId="3FE3CA00" w14:textId="23942C08" w:rsidR="00CD1F89" w:rsidRPr="005275BE" w:rsidRDefault="00C00A1E" w:rsidP="004032CF">
            <w:pPr>
              <w:pStyle w:val="APVMATableTextRight"/>
              <w:jc w:val="center"/>
            </w:pPr>
            <w:r>
              <w:t>0.176</w:t>
            </w:r>
          </w:p>
        </w:tc>
        <w:tc>
          <w:tcPr>
            <w:tcW w:w="721" w:type="pct"/>
          </w:tcPr>
          <w:p w14:paraId="20C926A3" w14:textId="3CE6157D" w:rsidR="00CD1F89" w:rsidRPr="005275BE" w:rsidRDefault="00CD1F89" w:rsidP="004032CF">
            <w:pPr>
              <w:pStyle w:val="APVMATableTextRight"/>
              <w:jc w:val="center"/>
            </w:pPr>
            <w:r w:rsidRPr="005275BE">
              <w:t>0.0</w:t>
            </w:r>
            <w:r w:rsidR="00C00A1E">
              <w:t>88</w:t>
            </w:r>
          </w:p>
        </w:tc>
      </w:tr>
      <w:tr w:rsidR="00CD1F89" w:rsidRPr="00430DD5" w14:paraId="2A7CA885" w14:textId="77777777" w:rsidTr="004032CF">
        <w:trPr>
          <w:trHeight w:val="338"/>
        </w:trPr>
        <w:tc>
          <w:tcPr>
            <w:tcW w:w="1399" w:type="pct"/>
            <w:tcBorders>
              <w:bottom w:val="single" w:sz="4" w:space="0" w:color="auto"/>
            </w:tcBorders>
          </w:tcPr>
          <w:p w14:paraId="5A6A2A1D" w14:textId="55276AEF" w:rsidR="00CD1F89" w:rsidRPr="005275BE" w:rsidRDefault="00C00A1E" w:rsidP="004032CF">
            <w:pPr>
              <w:pStyle w:val="APVMATableText"/>
            </w:pPr>
            <w:r>
              <w:t>1.5</w:t>
            </w:r>
            <w:r w:rsidR="00CD1F89" w:rsidRPr="005275BE">
              <w:t xml:space="preserve"> (estimated burden)</w:t>
            </w:r>
          </w:p>
        </w:tc>
        <w:tc>
          <w:tcPr>
            <w:tcW w:w="720" w:type="pct"/>
          </w:tcPr>
          <w:p w14:paraId="35DE8648" w14:textId="7C3FE4AA" w:rsidR="00CD1F89" w:rsidRPr="005275BE" w:rsidRDefault="00C00A1E" w:rsidP="004032CF">
            <w:pPr>
              <w:pStyle w:val="APVMATableTextRight"/>
              <w:jc w:val="center"/>
            </w:pPr>
            <w:r>
              <w:t>&lt; 0.02</w:t>
            </w:r>
          </w:p>
        </w:tc>
        <w:tc>
          <w:tcPr>
            <w:tcW w:w="720" w:type="pct"/>
          </w:tcPr>
          <w:p w14:paraId="34D259A4" w14:textId="59E682FD" w:rsidR="00CD1F89" w:rsidRPr="005275BE" w:rsidRDefault="00C00A1E" w:rsidP="004032CF">
            <w:pPr>
              <w:pStyle w:val="APVMATableTextRight"/>
              <w:jc w:val="center"/>
            </w:pPr>
            <w:r>
              <w:t>&lt; 0.02</w:t>
            </w:r>
          </w:p>
        </w:tc>
        <w:tc>
          <w:tcPr>
            <w:tcW w:w="720" w:type="pct"/>
          </w:tcPr>
          <w:p w14:paraId="04C5A81F" w14:textId="16E0D723" w:rsidR="00CD1F89" w:rsidRPr="005275BE" w:rsidRDefault="00C00A1E" w:rsidP="004032CF">
            <w:pPr>
              <w:pStyle w:val="APVMATableTextRight"/>
              <w:jc w:val="center"/>
            </w:pPr>
            <w:r>
              <w:t>0.073</w:t>
            </w:r>
          </w:p>
        </w:tc>
        <w:tc>
          <w:tcPr>
            <w:tcW w:w="720" w:type="pct"/>
          </w:tcPr>
          <w:p w14:paraId="2DCF61F0" w14:textId="4B99F7C0" w:rsidR="00CD1F89" w:rsidRPr="005275BE" w:rsidRDefault="00C00A1E" w:rsidP="004032CF">
            <w:pPr>
              <w:pStyle w:val="APVMATableTextRight"/>
              <w:jc w:val="center"/>
            </w:pPr>
            <w:r>
              <w:t>0.053</w:t>
            </w:r>
          </w:p>
        </w:tc>
        <w:tc>
          <w:tcPr>
            <w:tcW w:w="721" w:type="pct"/>
            <w:tcBorders>
              <w:bottom w:val="single" w:sz="4" w:space="0" w:color="auto"/>
            </w:tcBorders>
          </w:tcPr>
          <w:p w14:paraId="07ED0244" w14:textId="7F5421E4" w:rsidR="00CD1F89" w:rsidRPr="005275BE" w:rsidRDefault="00C00A1E" w:rsidP="004032CF">
            <w:pPr>
              <w:pStyle w:val="APVMATableTextRight"/>
              <w:jc w:val="center"/>
            </w:pPr>
            <w:r>
              <w:t>0.026</w:t>
            </w:r>
          </w:p>
        </w:tc>
      </w:tr>
      <w:tr w:rsidR="00CD1F89" w:rsidRPr="00430DD5" w14:paraId="4199700E" w14:textId="77777777" w:rsidTr="004032CF">
        <w:trPr>
          <w:trHeight w:val="338"/>
        </w:trPr>
        <w:tc>
          <w:tcPr>
            <w:tcW w:w="1399" w:type="pct"/>
            <w:tcBorders>
              <w:top w:val="single" w:sz="4" w:space="0" w:color="auto"/>
              <w:bottom w:val="dotted" w:sz="4" w:space="0" w:color="auto"/>
            </w:tcBorders>
          </w:tcPr>
          <w:p w14:paraId="0B59CA8A" w14:textId="77777777" w:rsidR="00CD1F89" w:rsidRPr="005275BE" w:rsidRDefault="00CD1F89" w:rsidP="004032CF">
            <w:pPr>
              <w:pStyle w:val="APVMATableText"/>
            </w:pPr>
            <w:r w:rsidRPr="005275BE">
              <w:t>Established MRLs</w:t>
            </w:r>
          </w:p>
        </w:tc>
        <w:tc>
          <w:tcPr>
            <w:tcW w:w="720" w:type="pct"/>
            <w:tcBorders>
              <w:top w:val="single" w:sz="4" w:space="0" w:color="auto"/>
              <w:bottom w:val="dotted" w:sz="4" w:space="0" w:color="auto"/>
            </w:tcBorders>
          </w:tcPr>
          <w:p w14:paraId="0EBBC9E8" w14:textId="21C2679F" w:rsidR="00CD1F89" w:rsidRPr="005275BE" w:rsidRDefault="00C00A1E" w:rsidP="004032CF">
            <w:pPr>
              <w:pStyle w:val="APVMATableTextRight"/>
            </w:pPr>
            <w:r>
              <w:t>*</w:t>
            </w:r>
            <w:r w:rsidR="00CD1F89">
              <w:t>0.0</w:t>
            </w:r>
            <w:r>
              <w:t>2</w:t>
            </w:r>
            <w:r w:rsidR="00CD1F89" w:rsidRPr="005275BE">
              <w:t xml:space="preserve"> (milks)</w:t>
            </w:r>
          </w:p>
        </w:tc>
        <w:tc>
          <w:tcPr>
            <w:tcW w:w="720" w:type="pct"/>
            <w:tcBorders>
              <w:top w:val="single" w:sz="4" w:space="0" w:color="auto"/>
              <w:bottom w:val="dotted" w:sz="4" w:space="0" w:color="auto"/>
            </w:tcBorders>
          </w:tcPr>
          <w:p w14:paraId="553D7E7B" w14:textId="438AA18D" w:rsidR="00CD1F89" w:rsidRPr="005275BE" w:rsidRDefault="00C00A1E" w:rsidP="004032CF">
            <w:pPr>
              <w:pStyle w:val="APVMATableTextRight"/>
            </w:pPr>
            <w:r>
              <w:t>*</w:t>
            </w:r>
            <w:r w:rsidR="00CD1F89" w:rsidRPr="005275BE">
              <w:t>0.</w:t>
            </w:r>
            <w:r w:rsidR="004032CF">
              <w:t>0</w:t>
            </w:r>
            <w:r w:rsidR="00CD1F89" w:rsidRPr="005275BE">
              <w:t>2 (meat)</w:t>
            </w:r>
          </w:p>
        </w:tc>
        <w:tc>
          <w:tcPr>
            <w:tcW w:w="1440" w:type="pct"/>
            <w:gridSpan w:val="2"/>
            <w:tcBorders>
              <w:top w:val="single" w:sz="4" w:space="0" w:color="auto"/>
              <w:bottom w:val="dotted" w:sz="4" w:space="0" w:color="auto"/>
            </w:tcBorders>
          </w:tcPr>
          <w:p w14:paraId="332A0D2D" w14:textId="63A48DDA" w:rsidR="00CD1F89" w:rsidRPr="005275BE" w:rsidRDefault="00C00A1E" w:rsidP="004032CF">
            <w:pPr>
              <w:pStyle w:val="APVMATableTextRight"/>
              <w:jc w:val="center"/>
            </w:pPr>
            <w:r>
              <w:t>*</w:t>
            </w:r>
            <w:r w:rsidR="00CD1F89" w:rsidRPr="005275BE">
              <w:t>0.</w:t>
            </w:r>
            <w:r>
              <w:t>02</w:t>
            </w:r>
            <w:r w:rsidR="00CD1F89" w:rsidRPr="005275BE">
              <w:t xml:space="preserve"> (offal)</w:t>
            </w:r>
          </w:p>
        </w:tc>
        <w:tc>
          <w:tcPr>
            <w:tcW w:w="721" w:type="pct"/>
            <w:tcBorders>
              <w:top w:val="single" w:sz="4" w:space="0" w:color="auto"/>
              <w:bottom w:val="dotted" w:sz="4" w:space="0" w:color="auto"/>
            </w:tcBorders>
          </w:tcPr>
          <w:p w14:paraId="6F483EAD" w14:textId="77777777" w:rsidR="00CD1F89" w:rsidRPr="005275BE" w:rsidRDefault="00CD1F89" w:rsidP="004032CF">
            <w:pPr>
              <w:pStyle w:val="APVMATableTextRight"/>
              <w:jc w:val="center"/>
            </w:pPr>
            <w:r>
              <w:t>–</w:t>
            </w:r>
          </w:p>
        </w:tc>
      </w:tr>
      <w:tr w:rsidR="00CD1F89" w:rsidRPr="00430DD5" w14:paraId="5E797B22" w14:textId="77777777" w:rsidTr="004032CF">
        <w:trPr>
          <w:trHeight w:val="338"/>
        </w:trPr>
        <w:tc>
          <w:tcPr>
            <w:tcW w:w="1399" w:type="pct"/>
            <w:tcBorders>
              <w:top w:val="dotted" w:sz="4" w:space="0" w:color="auto"/>
              <w:bottom w:val="single" w:sz="4" w:space="0" w:color="auto"/>
            </w:tcBorders>
          </w:tcPr>
          <w:p w14:paraId="366C90A5" w14:textId="77777777" w:rsidR="00CD1F89" w:rsidRPr="005275BE" w:rsidRDefault="00CD1F89" w:rsidP="004032CF">
            <w:pPr>
              <w:pStyle w:val="APVMATableText"/>
            </w:pPr>
            <w:r w:rsidRPr="005275BE">
              <w:t>Recommended MRLs</w:t>
            </w:r>
          </w:p>
        </w:tc>
        <w:tc>
          <w:tcPr>
            <w:tcW w:w="720" w:type="pct"/>
            <w:tcBorders>
              <w:top w:val="dotted" w:sz="4" w:space="0" w:color="auto"/>
              <w:bottom w:val="single" w:sz="4" w:space="0" w:color="auto"/>
            </w:tcBorders>
          </w:tcPr>
          <w:p w14:paraId="7DF5CF52" w14:textId="519A6E3A" w:rsidR="00CD1F89" w:rsidRPr="005275BE" w:rsidRDefault="00C00A1E" w:rsidP="004032CF">
            <w:pPr>
              <w:pStyle w:val="APVMATableTextRight"/>
              <w:jc w:val="center"/>
            </w:pPr>
            <w:r>
              <w:t>No change</w:t>
            </w:r>
          </w:p>
        </w:tc>
        <w:tc>
          <w:tcPr>
            <w:tcW w:w="720" w:type="pct"/>
            <w:tcBorders>
              <w:top w:val="dotted" w:sz="4" w:space="0" w:color="auto"/>
              <w:bottom w:val="single" w:sz="4" w:space="0" w:color="auto"/>
            </w:tcBorders>
          </w:tcPr>
          <w:p w14:paraId="5A1F84A2" w14:textId="1A916D47" w:rsidR="00CD1F89" w:rsidRPr="005275BE" w:rsidRDefault="00E76858" w:rsidP="004032CF">
            <w:pPr>
              <w:pStyle w:val="APVMATableTextRight"/>
              <w:jc w:val="center"/>
            </w:pPr>
            <w:r>
              <w:t>C</w:t>
            </w:r>
            <w:r w:rsidR="00C00A1E">
              <w:t xml:space="preserve">hange to </w:t>
            </w:r>
            <w:r w:rsidR="006C5C12">
              <w:t>0.05 (meat [</w:t>
            </w:r>
            <w:r w:rsidR="00C00A1E">
              <w:t xml:space="preserve">in </w:t>
            </w:r>
            <w:r>
              <w:t xml:space="preserve">the </w:t>
            </w:r>
            <w:r w:rsidR="00C00A1E">
              <w:t>fat</w:t>
            </w:r>
            <w:r w:rsidR="006C5C12">
              <w:t>])</w:t>
            </w:r>
          </w:p>
        </w:tc>
        <w:tc>
          <w:tcPr>
            <w:tcW w:w="1440" w:type="pct"/>
            <w:gridSpan w:val="2"/>
            <w:tcBorders>
              <w:top w:val="dotted" w:sz="4" w:space="0" w:color="auto"/>
              <w:bottom w:val="single" w:sz="4" w:space="0" w:color="auto"/>
            </w:tcBorders>
          </w:tcPr>
          <w:p w14:paraId="063020D5" w14:textId="6333DF18" w:rsidR="00CD1F89" w:rsidRPr="005275BE" w:rsidRDefault="00CD1F89" w:rsidP="004032CF">
            <w:pPr>
              <w:pStyle w:val="APVMATableTextRight"/>
              <w:jc w:val="center"/>
            </w:pPr>
            <w:r>
              <w:t>0.</w:t>
            </w:r>
            <w:r w:rsidR="00C00A1E">
              <w:t>1</w:t>
            </w:r>
          </w:p>
        </w:tc>
        <w:tc>
          <w:tcPr>
            <w:tcW w:w="721" w:type="pct"/>
            <w:tcBorders>
              <w:top w:val="dotted" w:sz="4" w:space="0" w:color="auto"/>
              <w:bottom w:val="single" w:sz="4" w:space="0" w:color="auto"/>
            </w:tcBorders>
          </w:tcPr>
          <w:p w14:paraId="7F684705" w14:textId="0A1AE973" w:rsidR="00CD1F89" w:rsidRPr="005275BE" w:rsidRDefault="00A02767" w:rsidP="004032CF">
            <w:pPr>
              <w:pStyle w:val="APVMATableTextRight"/>
              <w:jc w:val="center"/>
            </w:pPr>
            <w:r>
              <w:t xml:space="preserve">Captured in </w:t>
            </w:r>
            <w:r w:rsidR="00945FB8">
              <w:t xml:space="preserve">recommended meat </w:t>
            </w:r>
            <w:r w:rsidR="00E76858">
              <w:t xml:space="preserve">[in the fat] </w:t>
            </w:r>
            <w:r w:rsidR="00945FB8">
              <w:t>MRL (0.05)</w:t>
            </w:r>
          </w:p>
        </w:tc>
      </w:tr>
    </w:tbl>
    <w:p w14:paraId="37973405" w14:textId="6C9B08BC" w:rsidR="00A5681F" w:rsidRPr="004E13E3" w:rsidRDefault="00CD1F89" w:rsidP="004E13E3">
      <w:pPr>
        <w:pStyle w:val="APVMAText"/>
      </w:pPr>
      <w:r w:rsidRPr="004E13E3">
        <w:t xml:space="preserve">To account for the potential transfer of </w:t>
      </w:r>
      <w:r w:rsidR="00A5681F" w:rsidRPr="004E13E3">
        <w:t>tiafenacil</w:t>
      </w:r>
      <w:r w:rsidRPr="004E13E3">
        <w:t xml:space="preserve"> residues to livestock commodities which may occur as a result of the proposed</w:t>
      </w:r>
      <w:r w:rsidR="00A5681F" w:rsidRPr="004E13E3">
        <w:t xml:space="preserve"> establishment of a grazing WHP for fallow</w:t>
      </w:r>
      <w:r w:rsidRPr="004E13E3">
        <w:t xml:space="preserve">, it is recommended that the current </w:t>
      </w:r>
      <w:r w:rsidR="00A5681F" w:rsidRPr="004E13E3">
        <w:t>tiafenacil</w:t>
      </w:r>
      <w:r w:rsidRPr="004E13E3">
        <w:t xml:space="preserve"> MRL</w:t>
      </w:r>
      <w:r w:rsidR="00DB3C5A" w:rsidRPr="004E13E3">
        <w:t>s of *0.02 mg/kg for MO 0105 Edible offal (mammalian) be increased to 0.1 mg/kg and *0.02 mg/kg for MM 0095 Meat (mammalian) be replaced with 0.05 mg/kg for MM 0095 Meat (mammalian) [in the fat].</w:t>
      </w:r>
    </w:p>
    <w:p w14:paraId="3E5393DA" w14:textId="77777777" w:rsidR="00CD1F89" w:rsidRPr="004E13E3" w:rsidRDefault="00CD1F89" w:rsidP="004E13E3">
      <w:pPr>
        <w:pStyle w:val="APVMAText"/>
      </w:pPr>
      <w:r w:rsidRPr="004E13E3">
        <w:t>Consideration of an Export Slaughter Interval (ESI)</w:t>
      </w:r>
    </w:p>
    <w:p w14:paraId="3B6B15A6" w14:textId="2F07BC95" w:rsidR="00DB3C5A" w:rsidRPr="004E13E3" w:rsidRDefault="00E1260A" w:rsidP="004E13E3">
      <w:pPr>
        <w:pStyle w:val="APVMAText"/>
      </w:pPr>
      <w:r w:rsidRPr="004E13E3">
        <w:t xml:space="preserve">The JMPR has not evaluated tiafenacil and there are currently no Codex MRLs for tiafenacil. Noting that no animal commodity MRLs for tiafenacil are established by Codex and in international markets (EU, Japan, USA, China Korea and Taiwan), the endpoint for an ESI will be taken as the LOQ (0.02 mg/kg). As residues </w:t>
      </w:r>
      <w:r w:rsidR="004E7B9E" w:rsidRPr="004E13E3">
        <w:t xml:space="preserve">in the available transfer study </w:t>
      </w:r>
      <w:r w:rsidRPr="004E13E3">
        <w:t>were all &lt; LOQ after 3 days depuration following feeding at 50 ppm, the proposed 3 day ESI should ensure there are no residues in animal meat, fat and offal for export.</w:t>
      </w:r>
    </w:p>
    <w:p w14:paraId="09BD8680" w14:textId="77777777" w:rsidR="00CD1F89" w:rsidRDefault="00CD1F89" w:rsidP="004E13E3">
      <w:pPr>
        <w:pStyle w:val="Heading4"/>
      </w:pPr>
      <w:r w:rsidRPr="0084202F">
        <w:t>Poultry</w:t>
      </w:r>
    </w:p>
    <w:p w14:paraId="6C80170C" w14:textId="09012983" w:rsidR="00591702" w:rsidRDefault="00E1260A" w:rsidP="004E13E3">
      <w:pPr>
        <w:pStyle w:val="APVMAText"/>
      </w:pPr>
      <w:r>
        <w:t xml:space="preserve">No changes are required to the current tiafenacil MRL of *0.01 mg/kg for GC 0080 Cereal grains. As cereal grains can form 100% of the diet for poultry, the maximum livestock dietary burden for tiafenacil for poultry </w:t>
      </w:r>
      <w:r>
        <w:lastRenderedPageBreak/>
        <w:t>(0.01 ppm) is unchanged and the current tiafenacil poultry commodity MRLs established at the LOQ (*0.02 mg/kg) should remain appropriate.</w:t>
      </w:r>
    </w:p>
    <w:p w14:paraId="5472EA15" w14:textId="77777777" w:rsidR="006D36C8" w:rsidRDefault="006D36C8" w:rsidP="00032787">
      <w:pPr>
        <w:pStyle w:val="Heading2"/>
      </w:pPr>
      <w:bookmarkStart w:id="43" w:name="_Toc208397023"/>
      <w:bookmarkEnd w:id="37"/>
      <w:r>
        <w:t>Overseas registration and approved label instructions</w:t>
      </w:r>
      <w:bookmarkEnd w:id="27"/>
      <w:bookmarkEnd w:id="28"/>
      <w:bookmarkEnd w:id="43"/>
    </w:p>
    <w:p w14:paraId="26D1FF91" w14:textId="7A05774F" w:rsidR="00591702" w:rsidRDefault="00591702" w:rsidP="00CD1F89">
      <w:pPr>
        <w:pStyle w:val="APVMAText"/>
      </w:pPr>
      <w:bookmarkStart w:id="44" w:name="_Toc231889749"/>
      <w:bookmarkStart w:id="45" w:name="_Toc2243852"/>
      <w:r w:rsidRPr="00591702">
        <w:t>The Applicant did not provide details of overseas registrations of Terrad'or Herbicide, but did supply details of MRLs established for tiafenacil in the USA, Canada, Brazil and South Korea.</w:t>
      </w:r>
    </w:p>
    <w:p w14:paraId="0CB29406" w14:textId="12455002" w:rsidR="006D36C8" w:rsidRDefault="00957A91" w:rsidP="00032787">
      <w:pPr>
        <w:pStyle w:val="Heading2"/>
      </w:pPr>
      <w:bookmarkStart w:id="46" w:name="_Toc208397024"/>
      <w:r>
        <w:t>Codex Alimentarius C</w:t>
      </w:r>
      <w:r w:rsidR="006D36C8">
        <w:t>ommission and overseas MRLs</w:t>
      </w:r>
      <w:bookmarkEnd w:id="44"/>
      <w:bookmarkEnd w:id="45"/>
      <w:bookmarkEnd w:id="46"/>
    </w:p>
    <w:p w14:paraId="0F900F8D" w14:textId="05F704B2" w:rsidR="005B1363" w:rsidRDefault="00591702" w:rsidP="00CD1F89">
      <w:pPr>
        <w:pStyle w:val="APVMAText"/>
      </w:pPr>
      <w:bookmarkStart w:id="47" w:name="_Toc252955169"/>
      <w:r w:rsidRPr="004E13E3">
        <w:t>The Codex Alimentarius Commission (Codex) is responsible for establishing Codex Maximum Residue Limits (CXLs) for pesticides. Codex CXLs are primarily intended to facilitate international trade and accommodate differences in Good Agricultural Practice (GAP) employed by various countries. Some countries may accept Codex CXLs when importing foods. Tiafenacil has not been considered by Codex. The following relevant international MRLs have been established for tiafenacil</w:t>
      </w:r>
      <w:r w:rsidR="00CD1F89" w:rsidRPr="004E13E3">
        <w:t>.</w:t>
      </w:r>
      <w:r w:rsidR="005B1363">
        <w:br w:type="page"/>
      </w:r>
    </w:p>
    <w:p w14:paraId="7A625A36" w14:textId="457D59E3" w:rsidR="00CD1F89" w:rsidRPr="005275BE" w:rsidRDefault="00CD1F89" w:rsidP="00CD1F89">
      <w:pPr>
        <w:pStyle w:val="Caption"/>
      </w:pPr>
      <w:bookmarkStart w:id="48" w:name="_Toc202370963"/>
      <w:bookmarkStart w:id="49" w:name="_Toc208397034"/>
      <w:r w:rsidRPr="005275BE">
        <w:lastRenderedPageBreak/>
        <w:t xml:space="preserve">Table </w:t>
      </w:r>
      <w:r w:rsidR="005B1363" w:rsidRPr="006B6367">
        <w:fldChar w:fldCharType="begin"/>
      </w:r>
      <w:r w:rsidR="005B1363" w:rsidRPr="006B6367">
        <w:instrText xml:space="preserve"> SEQ Table \* ARABIC </w:instrText>
      </w:r>
      <w:r w:rsidR="005B1363" w:rsidRPr="006B6367">
        <w:fldChar w:fldCharType="separate"/>
      </w:r>
      <w:r w:rsidR="004E7885">
        <w:rPr>
          <w:noProof/>
        </w:rPr>
        <w:t>3</w:t>
      </w:r>
      <w:r w:rsidR="005B1363" w:rsidRPr="006B6367">
        <w:fldChar w:fldCharType="end"/>
      </w:r>
      <w:r w:rsidRPr="005275BE">
        <w:t>:</w:t>
      </w:r>
      <w:r w:rsidRPr="005275BE">
        <w:tab/>
        <w:t xml:space="preserve">Overseas MRLs/tolerances for </w:t>
      </w:r>
      <w:bookmarkEnd w:id="48"/>
      <w:r w:rsidR="00591702">
        <w:t>tiafenacil</w:t>
      </w:r>
      <w:bookmarkEnd w:id="49"/>
    </w:p>
    <w:tbl>
      <w:tblPr>
        <w:tblpPr w:leftFromText="180" w:rightFromText="180" w:vertAnchor="text" w:tblpY="1"/>
        <w:tblOverlap w:val="never"/>
        <w:tblW w:w="49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977"/>
        <w:gridCol w:w="4396"/>
      </w:tblGrid>
      <w:tr w:rsidR="00591702" w:rsidRPr="006475F3" w14:paraId="1B27E0FA" w14:textId="77777777" w:rsidTr="00963CC2">
        <w:trPr>
          <w:tblHeader/>
        </w:trPr>
        <w:tc>
          <w:tcPr>
            <w:tcW w:w="1119" w:type="pct"/>
            <w:vMerge w:val="restart"/>
            <w:tcBorders>
              <w:top w:val="single" w:sz="4" w:space="0" w:color="auto"/>
              <w:left w:val="nil"/>
              <w:bottom w:val="single" w:sz="12" w:space="0" w:color="291427" w:themeColor="accent5" w:themeShade="80"/>
              <w:right w:val="nil"/>
            </w:tcBorders>
            <w:shd w:val="clear" w:color="auto" w:fill="00686E" w:themeFill="background2" w:themeFillShade="E6"/>
            <w:vAlign w:val="center"/>
          </w:tcPr>
          <w:p w14:paraId="2A2BCF11" w14:textId="77777777" w:rsidR="00591702" w:rsidRPr="005275BE" w:rsidRDefault="00591702" w:rsidP="004032CF">
            <w:pPr>
              <w:pStyle w:val="APVMATableHead"/>
              <w:ind w:right="-114"/>
            </w:pPr>
            <w:r w:rsidRPr="005275BE">
              <w:t>Commodity</w:t>
            </w:r>
          </w:p>
        </w:tc>
        <w:tc>
          <w:tcPr>
            <w:tcW w:w="3879" w:type="pct"/>
            <w:gridSpan w:val="2"/>
            <w:tcBorders>
              <w:top w:val="single" w:sz="4" w:space="0" w:color="auto"/>
              <w:left w:val="nil"/>
              <w:bottom w:val="single" w:sz="4" w:space="0" w:color="291427" w:themeColor="accent5" w:themeShade="80"/>
              <w:right w:val="nil"/>
            </w:tcBorders>
            <w:shd w:val="clear" w:color="auto" w:fill="00686E" w:themeFill="background2" w:themeFillShade="E6"/>
          </w:tcPr>
          <w:p w14:paraId="6E26568F" w14:textId="0FB43418" w:rsidR="00591702" w:rsidRPr="005275BE" w:rsidRDefault="00591702" w:rsidP="004E13E3">
            <w:pPr>
              <w:pStyle w:val="APVMATableHeadRight"/>
              <w:jc w:val="left"/>
            </w:pPr>
            <w:r w:rsidRPr="00591702">
              <w:t xml:space="preserve">Tolerance for residues arising from the use of </w:t>
            </w:r>
            <w:r>
              <w:t>tiafenacil</w:t>
            </w:r>
            <w:r w:rsidRPr="00591702">
              <w:t xml:space="preserve"> (mg/kg)</w:t>
            </w:r>
          </w:p>
        </w:tc>
      </w:tr>
      <w:tr w:rsidR="00963CC2" w:rsidRPr="006475F3" w14:paraId="5BCBD4DE" w14:textId="77777777" w:rsidTr="00963CC2">
        <w:trPr>
          <w:tblHeader/>
        </w:trPr>
        <w:tc>
          <w:tcPr>
            <w:tcW w:w="1119" w:type="pct"/>
            <w:vMerge/>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3EE94C9" w14:textId="77777777" w:rsidR="00591702" w:rsidRPr="005275BE" w:rsidRDefault="00591702" w:rsidP="004032CF">
            <w:pPr>
              <w:pStyle w:val="APVMATableHead"/>
            </w:pPr>
          </w:p>
        </w:tc>
        <w:tc>
          <w:tcPr>
            <w:tcW w:w="156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2CEC52D" w14:textId="446044A1" w:rsidR="00591702" w:rsidRPr="005275BE" w:rsidRDefault="00591702" w:rsidP="004E13E3">
            <w:pPr>
              <w:pStyle w:val="APVMATableHeadRight"/>
              <w:ind w:right="-127"/>
              <w:jc w:val="left"/>
            </w:pPr>
            <w:r w:rsidRPr="005275BE">
              <w:t>Australia</w:t>
            </w:r>
            <w:r w:rsidR="00F00854">
              <w:rPr>
                <w:rStyle w:val="FootnoteReference"/>
              </w:rPr>
              <w:footnoteReference w:id="5"/>
            </w:r>
          </w:p>
        </w:tc>
        <w:tc>
          <w:tcPr>
            <w:tcW w:w="231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2566444" w14:textId="52E81C9B" w:rsidR="00591702" w:rsidRPr="005275BE" w:rsidRDefault="00591702" w:rsidP="004E13E3">
            <w:pPr>
              <w:pStyle w:val="APVMATableHeadRight"/>
              <w:ind w:right="97"/>
              <w:jc w:val="left"/>
            </w:pPr>
            <w:r>
              <w:t>USA</w:t>
            </w:r>
            <w:r w:rsidR="00F00854">
              <w:rPr>
                <w:rStyle w:val="FootnoteReference"/>
              </w:rPr>
              <w:footnoteReference w:id="6"/>
            </w:r>
          </w:p>
        </w:tc>
      </w:tr>
      <w:tr w:rsidR="00963CC2" w:rsidRPr="006475F3" w14:paraId="62E2EE02" w14:textId="77777777" w:rsidTr="00963CC2">
        <w:tc>
          <w:tcPr>
            <w:tcW w:w="1119" w:type="pct"/>
            <w:tcBorders>
              <w:top w:val="single" w:sz="12" w:space="0" w:color="291427" w:themeColor="accent5" w:themeShade="80"/>
              <w:left w:val="nil"/>
              <w:bottom w:val="single" w:sz="4" w:space="0" w:color="291427" w:themeColor="accent5" w:themeShade="80"/>
              <w:right w:val="nil"/>
            </w:tcBorders>
          </w:tcPr>
          <w:p w14:paraId="35B23F09" w14:textId="77777777" w:rsidR="00963CC2" w:rsidRPr="004E13E3" w:rsidRDefault="00963CC2" w:rsidP="004E13E3">
            <w:pPr>
              <w:pStyle w:val="APVMATableText"/>
            </w:pPr>
            <w:r w:rsidRPr="004E13E3">
              <w:t>Residue definition</w:t>
            </w:r>
          </w:p>
        </w:tc>
        <w:tc>
          <w:tcPr>
            <w:tcW w:w="1567" w:type="pct"/>
            <w:tcBorders>
              <w:top w:val="single" w:sz="12" w:space="0" w:color="291427" w:themeColor="accent5" w:themeShade="80"/>
              <w:left w:val="nil"/>
              <w:bottom w:val="single" w:sz="4" w:space="0" w:color="291427" w:themeColor="accent5" w:themeShade="80"/>
              <w:right w:val="nil"/>
            </w:tcBorders>
          </w:tcPr>
          <w:p w14:paraId="0FE753F2" w14:textId="77777777" w:rsidR="00963CC2" w:rsidRDefault="00963CC2" w:rsidP="004E13E3">
            <w:pPr>
              <w:pStyle w:val="APVMATableText"/>
            </w:pPr>
            <w:r>
              <w:t>Commodities of plant origin for enforcement: Tiafenacil</w:t>
            </w:r>
          </w:p>
          <w:p w14:paraId="122915D0" w14:textId="388C1BC5" w:rsidR="00963CC2" w:rsidRPr="005275BE" w:rsidRDefault="00963CC2" w:rsidP="004E13E3">
            <w:pPr>
              <w:pStyle w:val="APVMATableText"/>
            </w:pPr>
            <w:r>
              <w:t>Commodities of animal origin: Sum of tiafenacil and 3-(2-(2-chloro-4-fluoro-5-(3-methyl-2,6-dioxo-4-(trifluoromethyl)-2,3-dihydropyrimidin-1(6H)-yl) phenylthio)propanamido)propanoic acid (M-01), expressed as tiafenacil</w:t>
            </w:r>
          </w:p>
        </w:tc>
        <w:tc>
          <w:tcPr>
            <w:tcW w:w="2314" w:type="pct"/>
            <w:tcBorders>
              <w:top w:val="single" w:sz="4" w:space="0" w:color="auto"/>
              <w:left w:val="nil"/>
              <w:bottom w:val="single" w:sz="4" w:space="0" w:color="auto"/>
              <w:right w:val="nil"/>
            </w:tcBorders>
          </w:tcPr>
          <w:p w14:paraId="62C28545" w14:textId="77777777" w:rsidR="00963CC2" w:rsidRPr="00963CC2" w:rsidRDefault="00963CC2" w:rsidP="004E13E3">
            <w:pPr>
              <w:pStyle w:val="APVMATableText"/>
            </w:pPr>
            <w:r w:rsidRPr="00963CC2">
              <w:t>Food: tiafenacil, methyl N-[2-[[2-chloro-5-[3,6-dihydro-3-methyl-2,6-dioxo-4-(trifluoromethyl)-1(2H)-pyrimidinyl]-4-fluorophenyl]thio]-1-oxopropyl]-β-alaninate</w:t>
            </w:r>
          </w:p>
          <w:p w14:paraId="52C14215" w14:textId="5B7F8F2B" w:rsidR="00963CC2" w:rsidRPr="005275BE" w:rsidRDefault="00963CC2" w:rsidP="004E13E3">
            <w:pPr>
              <w:pStyle w:val="APVMATableText"/>
            </w:pPr>
            <w:r w:rsidRPr="00963CC2">
              <w:t>Feed: sum of tiafenacil, methyl N-[2-[[2-chloro-5-[3,6-dihydro-3-methyl-2,6-dioxo-4-(trifluoromethyl)-1(2H)-pyrimidinyl]-4-fluorophenyl]thio]-1-oxopropyl]-β-alaninate and its metabolites 2-(2-chloro-4-fluoro-5-(3-methyl-2,6-dioxo-4-(trifluoromethyl)-2,3-dihydropyrimidin-1(6H)-yl)phenylsulfinyl)propanoic acid and 2-(2-chloro-5-(2,6-dioxo-4-(trifluoromethyl)-2,3-dihydropyrimidin-1(6H)-yl)-4-fluorophenylsulfinyl)propanoic acid, calculated as the stoichiometric equivalent of tiafenacil</w:t>
            </w:r>
          </w:p>
        </w:tc>
      </w:tr>
      <w:tr w:rsidR="00963CC2" w:rsidRPr="006475F3" w14:paraId="3997A983" w14:textId="77777777" w:rsidTr="00963CC2">
        <w:tc>
          <w:tcPr>
            <w:tcW w:w="1119" w:type="pct"/>
            <w:tcBorders>
              <w:top w:val="single" w:sz="4" w:space="0" w:color="291427" w:themeColor="accent5" w:themeShade="80"/>
              <w:left w:val="nil"/>
              <w:bottom w:val="single" w:sz="4" w:space="0" w:color="291427" w:themeColor="accent5" w:themeShade="80"/>
              <w:right w:val="nil"/>
            </w:tcBorders>
          </w:tcPr>
          <w:p w14:paraId="36D1B4D8" w14:textId="10D3829C" w:rsidR="00963CC2" w:rsidRPr="004E13E3" w:rsidRDefault="00854261" w:rsidP="004E13E3">
            <w:pPr>
              <w:pStyle w:val="APVMATableText"/>
            </w:pPr>
            <w:r w:rsidRPr="004E13E3">
              <w:t>Cereal grains</w:t>
            </w:r>
          </w:p>
        </w:tc>
        <w:tc>
          <w:tcPr>
            <w:tcW w:w="1567" w:type="pct"/>
            <w:tcBorders>
              <w:top w:val="single" w:sz="4" w:space="0" w:color="auto"/>
              <w:left w:val="nil"/>
              <w:bottom w:val="single" w:sz="4" w:space="0" w:color="auto"/>
              <w:right w:val="nil"/>
            </w:tcBorders>
          </w:tcPr>
          <w:p w14:paraId="574C8C4C" w14:textId="479D8C3A" w:rsidR="00963CC2" w:rsidRPr="005275BE" w:rsidRDefault="00D42266" w:rsidP="004E13E3">
            <w:pPr>
              <w:pStyle w:val="APVMATableText"/>
            </w:pPr>
            <w:r w:rsidRPr="00D42266">
              <w:t>*0.01 (no change proposed)</w:t>
            </w:r>
          </w:p>
        </w:tc>
        <w:tc>
          <w:tcPr>
            <w:tcW w:w="2314" w:type="pct"/>
            <w:tcBorders>
              <w:top w:val="single" w:sz="4" w:space="0" w:color="auto"/>
              <w:left w:val="nil"/>
              <w:bottom w:val="single" w:sz="4" w:space="0" w:color="auto"/>
              <w:right w:val="nil"/>
            </w:tcBorders>
          </w:tcPr>
          <w:p w14:paraId="7F195472" w14:textId="382A1732" w:rsidR="00963CC2" w:rsidRPr="005275BE" w:rsidRDefault="005D4E52" w:rsidP="004E13E3">
            <w:pPr>
              <w:pStyle w:val="APVMATableText"/>
            </w:pPr>
            <w:r w:rsidRPr="005D4E52">
              <w:t>0.01 (wheat, grain)</w:t>
            </w:r>
          </w:p>
        </w:tc>
      </w:tr>
      <w:tr w:rsidR="00963CC2" w:rsidRPr="006475F3" w14:paraId="0103BC11" w14:textId="77777777" w:rsidTr="00963CC2">
        <w:tc>
          <w:tcPr>
            <w:tcW w:w="1119" w:type="pct"/>
            <w:tcBorders>
              <w:top w:val="single" w:sz="4" w:space="0" w:color="291427" w:themeColor="accent5" w:themeShade="80"/>
              <w:left w:val="nil"/>
              <w:bottom w:val="single" w:sz="4" w:space="0" w:color="291427" w:themeColor="accent5" w:themeShade="80"/>
              <w:right w:val="nil"/>
            </w:tcBorders>
          </w:tcPr>
          <w:p w14:paraId="0A4ECB4D" w14:textId="77777777" w:rsidR="00963CC2" w:rsidRPr="004E13E3" w:rsidRDefault="00963CC2" w:rsidP="004E13E3">
            <w:pPr>
              <w:pStyle w:val="APVMATableText"/>
            </w:pPr>
            <w:r w:rsidRPr="004E13E3">
              <w:t>Edible offal (mammalian)</w:t>
            </w:r>
          </w:p>
        </w:tc>
        <w:tc>
          <w:tcPr>
            <w:tcW w:w="1567" w:type="pct"/>
            <w:tcBorders>
              <w:top w:val="single" w:sz="4" w:space="0" w:color="auto"/>
              <w:left w:val="nil"/>
              <w:bottom w:val="single" w:sz="4" w:space="0" w:color="auto"/>
              <w:right w:val="nil"/>
            </w:tcBorders>
          </w:tcPr>
          <w:p w14:paraId="45C4999F" w14:textId="77777777" w:rsidR="00D42266" w:rsidRDefault="00D42266" w:rsidP="004E13E3">
            <w:pPr>
              <w:pStyle w:val="APVMATableText"/>
            </w:pPr>
            <w:r>
              <w:t>*0.02 (current)</w:t>
            </w:r>
          </w:p>
          <w:p w14:paraId="47F55413" w14:textId="22464287" w:rsidR="00963CC2" w:rsidRPr="005275BE" w:rsidRDefault="00D42266" w:rsidP="004E13E3">
            <w:pPr>
              <w:pStyle w:val="APVMATableText"/>
            </w:pPr>
            <w:r>
              <w:t>0.1 (proposed)</w:t>
            </w:r>
          </w:p>
        </w:tc>
        <w:tc>
          <w:tcPr>
            <w:tcW w:w="2314" w:type="pct"/>
            <w:tcBorders>
              <w:top w:val="single" w:sz="4" w:space="0" w:color="auto"/>
              <w:left w:val="nil"/>
              <w:bottom w:val="single" w:sz="4" w:space="0" w:color="auto"/>
              <w:right w:val="nil"/>
            </w:tcBorders>
          </w:tcPr>
          <w:p w14:paraId="702AA76E" w14:textId="607A1634" w:rsidR="00963CC2" w:rsidRPr="005275BE" w:rsidRDefault="005D4E52" w:rsidP="004E13E3">
            <w:pPr>
              <w:pStyle w:val="APVMATableText"/>
            </w:pPr>
            <w:r>
              <w:t>-</w:t>
            </w:r>
          </w:p>
        </w:tc>
      </w:tr>
      <w:tr w:rsidR="00963CC2" w:rsidRPr="006475F3" w14:paraId="2348446D" w14:textId="77777777" w:rsidTr="00963CC2">
        <w:tc>
          <w:tcPr>
            <w:tcW w:w="1119" w:type="pct"/>
            <w:tcBorders>
              <w:top w:val="single" w:sz="4" w:space="0" w:color="291427" w:themeColor="accent5" w:themeShade="80"/>
              <w:left w:val="nil"/>
              <w:bottom w:val="single" w:sz="4" w:space="0" w:color="291427" w:themeColor="accent5" w:themeShade="80"/>
              <w:right w:val="nil"/>
            </w:tcBorders>
          </w:tcPr>
          <w:p w14:paraId="07528A28" w14:textId="77777777" w:rsidR="00963CC2" w:rsidRPr="004E13E3" w:rsidRDefault="00963CC2" w:rsidP="004E13E3">
            <w:pPr>
              <w:pStyle w:val="APVMATableText"/>
            </w:pPr>
            <w:r w:rsidRPr="004E13E3">
              <w:t>Meat (mammalian) [in the fat]</w:t>
            </w:r>
          </w:p>
        </w:tc>
        <w:tc>
          <w:tcPr>
            <w:tcW w:w="1567" w:type="pct"/>
            <w:tcBorders>
              <w:top w:val="single" w:sz="4" w:space="0" w:color="auto"/>
              <w:left w:val="nil"/>
              <w:bottom w:val="single" w:sz="4" w:space="0" w:color="auto"/>
              <w:right w:val="nil"/>
            </w:tcBorders>
          </w:tcPr>
          <w:p w14:paraId="1F827FC7" w14:textId="77777777" w:rsidR="00D42266" w:rsidRDefault="00D42266" w:rsidP="004E13E3">
            <w:pPr>
              <w:pStyle w:val="APVMATableText"/>
            </w:pPr>
            <w:r>
              <w:t>*0.02 (current, not in fat)</w:t>
            </w:r>
          </w:p>
          <w:p w14:paraId="5DD743AF" w14:textId="6C6CAFCF" w:rsidR="00963CC2" w:rsidRPr="005275BE" w:rsidRDefault="00D42266" w:rsidP="004E13E3">
            <w:pPr>
              <w:pStyle w:val="APVMATableText"/>
            </w:pPr>
            <w:r>
              <w:t>0.05 (proposed)</w:t>
            </w:r>
          </w:p>
        </w:tc>
        <w:tc>
          <w:tcPr>
            <w:tcW w:w="2314" w:type="pct"/>
            <w:tcBorders>
              <w:top w:val="single" w:sz="4" w:space="0" w:color="auto"/>
              <w:left w:val="nil"/>
              <w:bottom w:val="single" w:sz="4" w:space="0" w:color="auto"/>
              <w:right w:val="nil"/>
            </w:tcBorders>
          </w:tcPr>
          <w:p w14:paraId="525C8D19" w14:textId="46B2BF94" w:rsidR="00963CC2" w:rsidRPr="005275BE" w:rsidRDefault="005D4E52" w:rsidP="004E13E3">
            <w:pPr>
              <w:pStyle w:val="APVMATableText"/>
            </w:pPr>
            <w:r>
              <w:t>-</w:t>
            </w:r>
          </w:p>
        </w:tc>
      </w:tr>
      <w:tr w:rsidR="00963CC2" w:rsidRPr="006475F3" w14:paraId="76E85B6C" w14:textId="77777777" w:rsidTr="00963CC2">
        <w:tc>
          <w:tcPr>
            <w:tcW w:w="1119" w:type="pct"/>
            <w:tcBorders>
              <w:top w:val="single" w:sz="4" w:space="0" w:color="291427" w:themeColor="accent5" w:themeShade="80"/>
              <w:left w:val="nil"/>
              <w:bottom w:val="single" w:sz="4" w:space="0" w:color="291427" w:themeColor="accent5" w:themeShade="80"/>
              <w:right w:val="nil"/>
            </w:tcBorders>
          </w:tcPr>
          <w:p w14:paraId="2675C910" w14:textId="01175B7B" w:rsidR="00963CC2" w:rsidRPr="004E13E3" w:rsidRDefault="00854261" w:rsidP="004E13E3">
            <w:pPr>
              <w:pStyle w:val="APVMATableText"/>
            </w:pPr>
            <w:r w:rsidRPr="004E13E3">
              <w:t>Wheat forage</w:t>
            </w:r>
          </w:p>
        </w:tc>
        <w:tc>
          <w:tcPr>
            <w:tcW w:w="1567" w:type="pct"/>
            <w:tcBorders>
              <w:top w:val="single" w:sz="4" w:space="0" w:color="auto"/>
              <w:left w:val="nil"/>
              <w:bottom w:val="single" w:sz="4" w:space="0" w:color="auto"/>
              <w:right w:val="nil"/>
            </w:tcBorders>
          </w:tcPr>
          <w:p w14:paraId="2ECFD699" w14:textId="77777777" w:rsidR="00D42266" w:rsidRDefault="00D42266" w:rsidP="004E13E3">
            <w:pPr>
              <w:pStyle w:val="APVMATableText"/>
            </w:pPr>
            <w:r>
              <w:t>*0.01 (Cereal forage and fodder)</w:t>
            </w:r>
          </w:p>
          <w:p w14:paraId="510C364C" w14:textId="76686BB8" w:rsidR="00963CC2" w:rsidRPr="005275BE" w:rsidRDefault="00D42266" w:rsidP="004E13E3">
            <w:pPr>
              <w:pStyle w:val="APVMATableText"/>
            </w:pPr>
            <w:r>
              <w:t>1.5 (proposed)</w:t>
            </w:r>
          </w:p>
        </w:tc>
        <w:tc>
          <w:tcPr>
            <w:tcW w:w="2314" w:type="pct"/>
            <w:tcBorders>
              <w:top w:val="single" w:sz="4" w:space="0" w:color="auto"/>
              <w:left w:val="nil"/>
              <w:bottom w:val="single" w:sz="4" w:space="0" w:color="auto"/>
              <w:right w:val="nil"/>
            </w:tcBorders>
          </w:tcPr>
          <w:p w14:paraId="62C907F6" w14:textId="00603F64" w:rsidR="00963CC2" w:rsidRPr="005275BE" w:rsidRDefault="005D4E52" w:rsidP="004E13E3">
            <w:pPr>
              <w:pStyle w:val="APVMATableText"/>
            </w:pPr>
            <w:r w:rsidRPr="005D4E52">
              <w:t>0.05 (Wheat, forage)</w:t>
            </w:r>
          </w:p>
        </w:tc>
      </w:tr>
      <w:tr w:rsidR="00963CC2" w:rsidRPr="006475F3" w14:paraId="3EAF73CB" w14:textId="77777777" w:rsidTr="00963CC2">
        <w:tc>
          <w:tcPr>
            <w:tcW w:w="1119" w:type="pct"/>
            <w:tcBorders>
              <w:top w:val="single" w:sz="4" w:space="0" w:color="291427" w:themeColor="accent5" w:themeShade="80"/>
              <w:left w:val="nil"/>
              <w:bottom w:val="single" w:sz="4" w:space="0" w:color="291427" w:themeColor="accent5" w:themeShade="80"/>
              <w:right w:val="nil"/>
            </w:tcBorders>
          </w:tcPr>
          <w:p w14:paraId="4B08305A" w14:textId="16FAB7E3" w:rsidR="00963CC2" w:rsidRPr="004E13E3" w:rsidRDefault="00854261" w:rsidP="004E13E3">
            <w:pPr>
              <w:pStyle w:val="APVMATableText"/>
            </w:pPr>
            <w:r w:rsidRPr="004E13E3">
              <w:t>Wheat straw and fodder, dry</w:t>
            </w:r>
          </w:p>
        </w:tc>
        <w:tc>
          <w:tcPr>
            <w:tcW w:w="1567" w:type="pct"/>
            <w:tcBorders>
              <w:top w:val="single" w:sz="4" w:space="0" w:color="auto"/>
              <w:left w:val="nil"/>
              <w:bottom w:val="single" w:sz="4" w:space="0" w:color="auto"/>
              <w:right w:val="nil"/>
            </w:tcBorders>
          </w:tcPr>
          <w:p w14:paraId="70470013" w14:textId="77777777" w:rsidR="00D42266" w:rsidRDefault="00D42266" w:rsidP="004E13E3">
            <w:pPr>
              <w:pStyle w:val="APVMATableText"/>
            </w:pPr>
            <w:r>
              <w:t>*0.01 (Cereal forage and fodder)</w:t>
            </w:r>
          </w:p>
          <w:p w14:paraId="1433B8C0" w14:textId="6EDACD0A" w:rsidR="00963CC2" w:rsidRPr="005275BE" w:rsidRDefault="00D42266" w:rsidP="004E13E3">
            <w:pPr>
              <w:pStyle w:val="APVMATableText"/>
            </w:pPr>
            <w:r>
              <w:t>0.4 (proposed)</w:t>
            </w:r>
          </w:p>
        </w:tc>
        <w:tc>
          <w:tcPr>
            <w:tcW w:w="2314" w:type="pct"/>
            <w:tcBorders>
              <w:top w:val="single" w:sz="4" w:space="0" w:color="auto"/>
              <w:left w:val="nil"/>
              <w:bottom w:val="single" w:sz="4" w:space="0" w:color="auto"/>
              <w:right w:val="nil"/>
            </w:tcBorders>
          </w:tcPr>
          <w:p w14:paraId="349A705E" w14:textId="77777777" w:rsidR="005D4E52" w:rsidRDefault="005D4E52" w:rsidP="004E13E3">
            <w:pPr>
              <w:pStyle w:val="APVMATableText"/>
            </w:pPr>
            <w:r>
              <w:t>0.08 (Wheat, hay),</w:t>
            </w:r>
          </w:p>
          <w:p w14:paraId="1D7FB7A7" w14:textId="23D59666" w:rsidR="00963CC2" w:rsidRPr="005275BE" w:rsidRDefault="005D4E52" w:rsidP="004E13E3">
            <w:pPr>
              <w:pStyle w:val="APVMATableText"/>
            </w:pPr>
            <w:r>
              <w:t>0.07 (Wheat straw)</w:t>
            </w:r>
          </w:p>
        </w:tc>
      </w:tr>
    </w:tbl>
    <w:p w14:paraId="746DC3F4" w14:textId="100F4C90" w:rsidR="00591702" w:rsidRPr="00591702" w:rsidRDefault="00591702" w:rsidP="004E13E3">
      <w:pPr>
        <w:pStyle w:val="APVMASourceTableNote"/>
      </w:pPr>
      <w:r w:rsidRPr="00591702">
        <w:t>No tiafenacil MRLs are currently established by Codex and in the EU, Japan, Taiwan and China.</w:t>
      </w:r>
    </w:p>
    <w:p w14:paraId="7CDBBD8E" w14:textId="5B9E03A1" w:rsidR="00CD1F89" w:rsidRDefault="00591702" w:rsidP="009F5E20">
      <w:pPr>
        <w:pStyle w:val="APVMASourceTableNote"/>
        <w:sectPr w:rsidR="00CD1F89" w:rsidSect="00591702">
          <w:pgSz w:w="11906" w:h="16838" w:code="9"/>
          <w:pgMar w:top="2835" w:right="1134" w:bottom="1134" w:left="1134" w:header="1701" w:footer="680" w:gutter="0"/>
          <w:cols w:space="708"/>
          <w:docGrid w:linePitch="360"/>
        </w:sectPr>
      </w:pPr>
      <w:r w:rsidRPr="00591702">
        <w:t>Tiafenacil MRLs are currently established in Korea but not for wheat and animal commodities relevant to this evaluation.</w:t>
      </w:r>
    </w:p>
    <w:p w14:paraId="7421D16B" w14:textId="75AA2750" w:rsidR="006D36C8" w:rsidRPr="005B1363" w:rsidRDefault="006D36C8" w:rsidP="005B1363">
      <w:pPr>
        <w:pStyle w:val="Heading2"/>
      </w:pPr>
      <w:bookmarkStart w:id="50" w:name="_Toc231889750"/>
      <w:bookmarkStart w:id="51" w:name="_Toc2243853"/>
      <w:bookmarkStart w:id="52" w:name="_Toc208397025"/>
      <w:bookmarkEnd w:id="47"/>
      <w:r w:rsidRPr="005B1363">
        <w:lastRenderedPageBreak/>
        <w:t xml:space="preserve">Current and proposed Australian MRLs for </w:t>
      </w:r>
      <w:bookmarkEnd w:id="50"/>
      <w:bookmarkEnd w:id="51"/>
      <w:r w:rsidR="0089181B" w:rsidRPr="005B1363">
        <w:t>tiafenacil</w:t>
      </w:r>
      <w:bookmarkEnd w:id="52"/>
    </w:p>
    <w:p w14:paraId="394E5E5C" w14:textId="0544C076" w:rsidR="00CD1F89" w:rsidRDefault="00CD1F89" w:rsidP="00CD1F89">
      <w:pPr>
        <w:pStyle w:val="Caption"/>
      </w:pPr>
      <w:bookmarkStart w:id="53" w:name="_Toc152840430"/>
      <w:bookmarkStart w:id="54" w:name="_Toc202370965"/>
      <w:bookmarkStart w:id="55" w:name="_Toc231889751"/>
      <w:bookmarkStart w:id="56" w:name="_Toc2243854"/>
      <w:bookmarkStart w:id="57" w:name="_Toc208397035"/>
      <w:r w:rsidRPr="005275BE">
        <w:t xml:space="preserve">Table </w:t>
      </w:r>
      <w:r w:rsidR="005B1363" w:rsidRPr="006B6367">
        <w:fldChar w:fldCharType="begin"/>
      </w:r>
      <w:r w:rsidR="005B1363" w:rsidRPr="006B6367">
        <w:instrText xml:space="preserve"> SEQ Table \* ARABIC </w:instrText>
      </w:r>
      <w:r w:rsidR="005B1363" w:rsidRPr="006B6367">
        <w:fldChar w:fldCharType="separate"/>
      </w:r>
      <w:r w:rsidR="004E7885">
        <w:rPr>
          <w:noProof/>
        </w:rPr>
        <w:t>4</w:t>
      </w:r>
      <w:r w:rsidR="005B1363" w:rsidRPr="006B6367">
        <w:fldChar w:fldCharType="end"/>
      </w:r>
      <w:r w:rsidRPr="005275BE">
        <w:t>:</w:t>
      </w:r>
      <w:r w:rsidRPr="005275BE">
        <w:tab/>
        <w:t xml:space="preserve">Current MRL Standard </w:t>
      </w:r>
      <w:r>
        <w:t>–</w:t>
      </w:r>
      <w:r w:rsidRPr="005275BE">
        <w:t xml:space="preserve"> Table 1</w:t>
      </w:r>
      <w:bookmarkEnd w:id="53"/>
      <w:bookmarkEnd w:id="54"/>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CD1F89" w14:paraId="7DC053A8" w14:textId="77777777" w:rsidTr="004032CF">
        <w:trPr>
          <w:tblHeader/>
        </w:trPr>
        <w:tc>
          <w:tcPr>
            <w:tcW w:w="1613" w:type="pct"/>
            <w:tcBorders>
              <w:top w:val="single" w:sz="4" w:space="0" w:color="auto"/>
              <w:left w:val="nil"/>
              <w:bottom w:val="single" w:sz="4" w:space="0" w:color="auto"/>
              <w:right w:val="nil"/>
            </w:tcBorders>
            <w:shd w:val="clear" w:color="auto" w:fill="00747A" w:themeFill="background2"/>
          </w:tcPr>
          <w:p w14:paraId="0E86B243" w14:textId="77777777" w:rsidR="00CD1F89" w:rsidRDefault="00CD1F89" w:rsidP="004032CF">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607168B7" w14:textId="77777777" w:rsidR="00CD1F89" w:rsidRDefault="00CD1F89" w:rsidP="004032CF">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79CB0D0B" w14:textId="77777777" w:rsidR="00CD1F89" w:rsidRDefault="00CD1F89" w:rsidP="004032CF">
            <w:pPr>
              <w:pStyle w:val="APVMATableHeadRight"/>
            </w:pPr>
            <w:r>
              <w:t>MRL (mg/kg)</w:t>
            </w:r>
          </w:p>
        </w:tc>
      </w:tr>
      <w:tr w:rsidR="00CD1F89" w14:paraId="47DC1FB3" w14:textId="77777777" w:rsidTr="004032CF">
        <w:tc>
          <w:tcPr>
            <w:tcW w:w="5000" w:type="pct"/>
            <w:gridSpan w:val="3"/>
            <w:tcBorders>
              <w:top w:val="single" w:sz="4" w:space="0" w:color="auto"/>
              <w:left w:val="nil"/>
              <w:bottom w:val="single" w:sz="4" w:space="0" w:color="auto"/>
              <w:right w:val="nil"/>
            </w:tcBorders>
          </w:tcPr>
          <w:p w14:paraId="56564D30" w14:textId="12A76B82" w:rsidR="00CD1F89" w:rsidRPr="005275BE" w:rsidRDefault="0089181B" w:rsidP="004032CF">
            <w:pPr>
              <w:pStyle w:val="MRLActiveName"/>
            </w:pPr>
            <w:r>
              <w:t>Tiafenacil</w:t>
            </w:r>
          </w:p>
        </w:tc>
      </w:tr>
      <w:tr w:rsidR="00CD1F89" w14:paraId="1F0046DE" w14:textId="77777777" w:rsidTr="004032CF">
        <w:tc>
          <w:tcPr>
            <w:tcW w:w="1613" w:type="pct"/>
            <w:tcBorders>
              <w:top w:val="single" w:sz="4" w:space="0" w:color="auto"/>
              <w:left w:val="nil"/>
              <w:bottom w:val="single" w:sz="4" w:space="0" w:color="auto"/>
              <w:right w:val="nil"/>
            </w:tcBorders>
            <w:vAlign w:val="bottom"/>
          </w:tcPr>
          <w:p w14:paraId="62B8FA21" w14:textId="0A71CE7C" w:rsidR="00CD1F89" w:rsidRDefault="00CD1F89" w:rsidP="004032CF">
            <w:pPr>
              <w:pStyle w:val="APVMATableText"/>
            </w:pPr>
            <w:r w:rsidRPr="00ED3A2F">
              <w:rPr>
                <w:rFonts w:eastAsia="Calibri"/>
                <w:szCs w:val="17"/>
              </w:rPr>
              <w:t xml:space="preserve">GC </w:t>
            </w:r>
            <w:r w:rsidR="0089181B">
              <w:rPr>
                <w:rFonts w:eastAsia="Calibri"/>
                <w:szCs w:val="17"/>
              </w:rPr>
              <w:t>0080</w:t>
            </w:r>
          </w:p>
        </w:tc>
        <w:tc>
          <w:tcPr>
            <w:tcW w:w="2392" w:type="pct"/>
            <w:tcBorders>
              <w:top w:val="single" w:sz="4" w:space="0" w:color="auto"/>
              <w:left w:val="nil"/>
              <w:bottom w:val="single" w:sz="4" w:space="0" w:color="auto"/>
              <w:right w:val="nil"/>
            </w:tcBorders>
            <w:vAlign w:val="bottom"/>
          </w:tcPr>
          <w:p w14:paraId="6D60B79A" w14:textId="6B8B96E8" w:rsidR="00CD1F89" w:rsidRDefault="0089181B" w:rsidP="004032CF">
            <w:pPr>
              <w:pStyle w:val="APVMATableText"/>
            </w:pPr>
            <w:r>
              <w:rPr>
                <w:rFonts w:eastAsia="Calibri"/>
                <w:szCs w:val="17"/>
              </w:rPr>
              <w:t>Cereal grains</w:t>
            </w:r>
          </w:p>
        </w:tc>
        <w:tc>
          <w:tcPr>
            <w:tcW w:w="995" w:type="pct"/>
            <w:tcBorders>
              <w:top w:val="single" w:sz="4" w:space="0" w:color="auto"/>
              <w:left w:val="nil"/>
              <w:bottom w:val="single" w:sz="4" w:space="0" w:color="auto"/>
              <w:right w:val="nil"/>
            </w:tcBorders>
            <w:vAlign w:val="bottom"/>
          </w:tcPr>
          <w:p w14:paraId="32707333" w14:textId="60CC23A4" w:rsidR="00CD1F89" w:rsidRDefault="0089181B" w:rsidP="004032CF">
            <w:pPr>
              <w:pStyle w:val="APVMATableTextRight"/>
            </w:pPr>
            <w:r>
              <w:rPr>
                <w:rFonts w:eastAsia="Calibri"/>
              </w:rPr>
              <w:t>*0.01</w:t>
            </w:r>
          </w:p>
        </w:tc>
      </w:tr>
      <w:tr w:rsidR="00CD1F89" w14:paraId="3AC695D2" w14:textId="77777777" w:rsidTr="004032CF">
        <w:tc>
          <w:tcPr>
            <w:tcW w:w="1613" w:type="pct"/>
            <w:tcBorders>
              <w:top w:val="single" w:sz="4" w:space="0" w:color="auto"/>
              <w:left w:val="nil"/>
              <w:bottom w:val="single" w:sz="4" w:space="0" w:color="auto"/>
              <w:right w:val="nil"/>
            </w:tcBorders>
            <w:vAlign w:val="bottom"/>
          </w:tcPr>
          <w:p w14:paraId="68AB763B" w14:textId="77777777" w:rsidR="00CD1F89" w:rsidRDefault="00CD1F89" w:rsidP="004032CF">
            <w:pPr>
              <w:pStyle w:val="APVMATableText"/>
            </w:pPr>
            <w:r w:rsidRPr="00ED3A2F">
              <w:rPr>
                <w:rFonts w:eastAsia="Calibri"/>
                <w:color w:val="000000"/>
                <w:szCs w:val="17"/>
              </w:rPr>
              <w:t>MO 0105</w:t>
            </w:r>
          </w:p>
        </w:tc>
        <w:tc>
          <w:tcPr>
            <w:tcW w:w="2392" w:type="pct"/>
            <w:tcBorders>
              <w:top w:val="single" w:sz="4" w:space="0" w:color="auto"/>
              <w:left w:val="nil"/>
              <w:bottom w:val="single" w:sz="4" w:space="0" w:color="auto"/>
              <w:right w:val="nil"/>
            </w:tcBorders>
            <w:vAlign w:val="bottom"/>
          </w:tcPr>
          <w:p w14:paraId="14E3AF7F" w14:textId="77777777" w:rsidR="00CD1F89" w:rsidRDefault="00CD1F89" w:rsidP="004032CF">
            <w:pPr>
              <w:pStyle w:val="APVMATableText"/>
            </w:pPr>
            <w:r w:rsidRPr="00ED3A2F">
              <w:rPr>
                <w:rFonts w:eastAsia="Calibri"/>
                <w:color w:val="000000"/>
                <w:szCs w:val="17"/>
              </w:rPr>
              <w:t>Edible offal (mammalian)</w:t>
            </w:r>
          </w:p>
        </w:tc>
        <w:tc>
          <w:tcPr>
            <w:tcW w:w="995" w:type="pct"/>
            <w:tcBorders>
              <w:top w:val="single" w:sz="4" w:space="0" w:color="auto"/>
              <w:left w:val="nil"/>
              <w:bottom w:val="single" w:sz="4" w:space="0" w:color="auto"/>
              <w:right w:val="nil"/>
            </w:tcBorders>
            <w:vAlign w:val="bottom"/>
          </w:tcPr>
          <w:p w14:paraId="7DD04A7D" w14:textId="389B58FF" w:rsidR="00CD1F89" w:rsidRDefault="0089181B" w:rsidP="004032CF">
            <w:pPr>
              <w:pStyle w:val="APVMATableTextRight"/>
            </w:pPr>
            <w:r>
              <w:rPr>
                <w:rFonts w:eastAsia="Calibri"/>
                <w:color w:val="000000"/>
              </w:rPr>
              <w:t>*0.02</w:t>
            </w:r>
          </w:p>
        </w:tc>
      </w:tr>
      <w:tr w:rsidR="00CD1F89" w14:paraId="11FFB885" w14:textId="77777777" w:rsidTr="004032CF">
        <w:tc>
          <w:tcPr>
            <w:tcW w:w="1613" w:type="pct"/>
            <w:tcBorders>
              <w:top w:val="single" w:sz="4" w:space="0" w:color="auto"/>
              <w:left w:val="nil"/>
              <w:bottom w:val="single" w:sz="4" w:space="0" w:color="auto"/>
              <w:right w:val="nil"/>
            </w:tcBorders>
            <w:vAlign w:val="bottom"/>
          </w:tcPr>
          <w:p w14:paraId="6F6E6F3B" w14:textId="77777777" w:rsidR="00CD1F89" w:rsidRDefault="00CD1F89" w:rsidP="004032CF">
            <w:pPr>
              <w:pStyle w:val="APVMATableText"/>
            </w:pPr>
            <w:r w:rsidRPr="00ED3A2F">
              <w:rPr>
                <w:rFonts w:eastAsia="Calibri"/>
                <w:color w:val="000000"/>
                <w:szCs w:val="17"/>
              </w:rPr>
              <w:t>PE 0112</w:t>
            </w:r>
          </w:p>
        </w:tc>
        <w:tc>
          <w:tcPr>
            <w:tcW w:w="2392" w:type="pct"/>
            <w:tcBorders>
              <w:top w:val="single" w:sz="4" w:space="0" w:color="auto"/>
              <w:left w:val="nil"/>
              <w:bottom w:val="single" w:sz="4" w:space="0" w:color="auto"/>
              <w:right w:val="nil"/>
            </w:tcBorders>
            <w:vAlign w:val="bottom"/>
          </w:tcPr>
          <w:p w14:paraId="7AAE1162" w14:textId="77777777" w:rsidR="00CD1F89" w:rsidRDefault="00CD1F89" w:rsidP="004032CF">
            <w:pPr>
              <w:pStyle w:val="APVMATableText"/>
            </w:pPr>
            <w:r w:rsidRPr="00ED3A2F">
              <w:rPr>
                <w:rFonts w:eastAsia="Calibri"/>
                <w:color w:val="000000"/>
                <w:szCs w:val="17"/>
              </w:rPr>
              <w:t>Eggs</w:t>
            </w:r>
          </w:p>
        </w:tc>
        <w:tc>
          <w:tcPr>
            <w:tcW w:w="995" w:type="pct"/>
            <w:tcBorders>
              <w:top w:val="single" w:sz="4" w:space="0" w:color="auto"/>
              <w:left w:val="nil"/>
              <w:bottom w:val="single" w:sz="4" w:space="0" w:color="auto"/>
              <w:right w:val="nil"/>
            </w:tcBorders>
            <w:vAlign w:val="bottom"/>
          </w:tcPr>
          <w:p w14:paraId="02DDCCA0" w14:textId="7C79B43F" w:rsidR="00CD1F89" w:rsidRDefault="0089181B" w:rsidP="004032CF">
            <w:pPr>
              <w:pStyle w:val="APVMATableTextRight"/>
            </w:pPr>
            <w:r>
              <w:rPr>
                <w:rFonts w:eastAsia="Calibri"/>
                <w:color w:val="000000"/>
              </w:rPr>
              <w:t>*0.02</w:t>
            </w:r>
          </w:p>
        </w:tc>
      </w:tr>
      <w:tr w:rsidR="00CD1F89" w14:paraId="03B607BB" w14:textId="77777777" w:rsidTr="004032CF">
        <w:tc>
          <w:tcPr>
            <w:tcW w:w="1613" w:type="pct"/>
            <w:tcBorders>
              <w:top w:val="single" w:sz="4" w:space="0" w:color="auto"/>
              <w:left w:val="nil"/>
              <w:bottom w:val="single" w:sz="4" w:space="0" w:color="auto"/>
              <w:right w:val="nil"/>
            </w:tcBorders>
            <w:vAlign w:val="bottom"/>
          </w:tcPr>
          <w:p w14:paraId="1A56881C" w14:textId="77777777" w:rsidR="00CD1F89" w:rsidRDefault="00CD1F89" w:rsidP="004032CF">
            <w:pPr>
              <w:pStyle w:val="APVMATableText"/>
            </w:pPr>
            <w:r w:rsidRPr="00ED3A2F">
              <w:rPr>
                <w:rFonts w:eastAsia="Calibri"/>
                <w:color w:val="000000"/>
                <w:szCs w:val="17"/>
              </w:rPr>
              <w:t>MM 0095</w:t>
            </w:r>
          </w:p>
        </w:tc>
        <w:tc>
          <w:tcPr>
            <w:tcW w:w="2392" w:type="pct"/>
            <w:tcBorders>
              <w:top w:val="single" w:sz="4" w:space="0" w:color="auto"/>
              <w:left w:val="nil"/>
              <w:bottom w:val="single" w:sz="4" w:space="0" w:color="auto"/>
              <w:right w:val="nil"/>
            </w:tcBorders>
            <w:vAlign w:val="bottom"/>
          </w:tcPr>
          <w:p w14:paraId="04B050B9" w14:textId="21584418" w:rsidR="00CD1F89" w:rsidRDefault="00CD1F89" w:rsidP="004032CF">
            <w:pPr>
              <w:pStyle w:val="APVMATableText"/>
            </w:pPr>
            <w:r w:rsidRPr="00ED3A2F">
              <w:rPr>
                <w:rFonts w:eastAsia="Calibri"/>
                <w:color w:val="000000"/>
                <w:szCs w:val="17"/>
              </w:rPr>
              <w:t>Meat (mammalian)</w:t>
            </w:r>
          </w:p>
        </w:tc>
        <w:tc>
          <w:tcPr>
            <w:tcW w:w="995" w:type="pct"/>
            <w:tcBorders>
              <w:top w:val="single" w:sz="4" w:space="0" w:color="auto"/>
              <w:left w:val="nil"/>
              <w:bottom w:val="single" w:sz="4" w:space="0" w:color="auto"/>
              <w:right w:val="nil"/>
            </w:tcBorders>
            <w:vAlign w:val="bottom"/>
          </w:tcPr>
          <w:p w14:paraId="7B1585AC" w14:textId="706488DA" w:rsidR="00CD1F89" w:rsidRDefault="0089181B" w:rsidP="004032CF">
            <w:pPr>
              <w:pStyle w:val="APVMATableTextRight"/>
            </w:pPr>
            <w:r>
              <w:rPr>
                <w:rFonts w:eastAsia="Calibri"/>
                <w:color w:val="000000"/>
              </w:rPr>
              <w:t>*</w:t>
            </w:r>
            <w:r w:rsidR="00CD1F89" w:rsidRPr="00ED3A2F">
              <w:rPr>
                <w:rFonts w:eastAsia="Calibri"/>
                <w:color w:val="000000"/>
              </w:rPr>
              <w:t>0.</w:t>
            </w:r>
            <w:r>
              <w:rPr>
                <w:rFonts w:eastAsia="Calibri"/>
                <w:color w:val="000000"/>
              </w:rPr>
              <w:t>0</w:t>
            </w:r>
            <w:r w:rsidR="00CD1F89">
              <w:rPr>
                <w:rFonts w:eastAsia="Calibri"/>
                <w:color w:val="000000"/>
              </w:rPr>
              <w:t>2</w:t>
            </w:r>
          </w:p>
        </w:tc>
      </w:tr>
      <w:tr w:rsidR="00CD1F89" w14:paraId="555CD6D5" w14:textId="77777777" w:rsidTr="004032CF">
        <w:tc>
          <w:tcPr>
            <w:tcW w:w="1613" w:type="pct"/>
            <w:tcBorders>
              <w:top w:val="single" w:sz="4" w:space="0" w:color="auto"/>
              <w:left w:val="nil"/>
              <w:bottom w:val="single" w:sz="4" w:space="0" w:color="auto"/>
              <w:right w:val="nil"/>
            </w:tcBorders>
            <w:vAlign w:val="bottom"/>
          </w:tcPr>
          <w:p w14:paraId="7CADFA63" w14:textId="77777777" w:rsidR="00CD1F89" w:rsidRDefault="00CD1F89" w:rsidP="004032CF">
            <w:pPr>
              <w:pStyle w:val="APVMATableText"/>
            </w:pPr>
            <w:r w:rsidRPr="00ED3A2F">
              <w:rPr>
                <w:rFonts w:eastAsia="Calibri"/>
                <w:color w:val="000000"/>
                <w:szCs w:val="17"/>
              </w:rPr>
              <w:t>ML 0106</w:t>
            </w:r>
          </w:p>
        </w:tc>
        <w:tc>
          <w:tcPr>
            <w:tcW w:w="2392" w:type="pct"/>
            <w:tcBorders>
              <w:top w:val="single" w:sz="4" w:space="0" w:color="auto"/>
              <w:left w:val="nil"/>
              <w:bottom w:val="single" w:sz="4" w:space="0" w:color="auto"/>
              <w:right w:val="nil"/>
            </w:tcBorders>
            <w:vAlign w:val="bottom"/>
          </w:tcPr>
          <w:p w14:paraId="396B9DC1" w14:textId="77777777" w:rsidR="00CD1F89" w:rsidRDefault="00CD1F89" w:rsidP="004032CF">
            <w:pPr>
              <w:pStyle w:val="APVMATableText"/>
            </w:pPr>
            <w:r w:rsidRPr="00ED3A2F">
              <w:rPr>
                <w:rFonts w:eastAsia="Calibri"/>
                <w:color w:val="000000"/>
                <w:szCs w:val="17"/>
              </w:rPr>
              <w:t>Milks</w:t>
            </w:r>
          </w:p>
        </w:tc>
        <w:tc>
          <w:tcPr>
            <w:tcW w:w="995" w:type="pct"/>
            <w:tcBorders>
              <w:top w:val="single" w:sz="4" w:space="0" w:color="auto"/>
              <w:left w:val="nil"/>
              <w:bottom w:val="single" w:sz="4" w:space="0" w:color="auto"/>
              <w:right w:val="nil"/>
            </w:tcBorders>
            <w:vAlign w:val="bottom"/>
          </w:tcPr>
          <w:p w14:paraId="708FBD44" w14:textId="269BF0BA" w:rsidR="00CD1F89" w:rsidRDefault="0089181B" w:rsidP="004032CF">
            <w:pPr>
              <w:pStyle w:val="APVMATableTextRight"/>
            </w:pPr>
            <w:r>
              <w:rPr>
                <w:rFonts w:eastAsia="Calibri"/>
                <w:color w:val="000000"/>
              </w:rPr>
              <w:t>*0.02</w:t>
            </w:r>
          </w:p>
        </w:tc>
      </w:tr>
      <w:tr w:rsidR="00CD1F89" w14:paraId="7E321B76" w14:textId="77777777" w:rsidTr="004032CF">
        <w:tc>
          <w:tcPr>
            <w:tcW w:w="1613" w:type="pct"/>
            <w:tcBorders>
              <w:top w:val="single" w:sz="4" w:space="0" w:color="auto"/>
              <w:left w:val="nil"/>
              <w:bottom w:val="single" w:sz="4" w:space="0" w:color="auto"/>
              <w:right w:val="nil"/>
            </w:tcBorders>
            <w:vAlign w:val="bottom"/>
          </w:tcPr>
          <w:p w14:paraId="0CE9085D" w14:textId="77777777" w:rsidR="00CD1F89" w:rsidRDefault="00CD1F89" w:rsidP="004032CF">
            <w:pPr>
              <w:pStyle w:val="APVMATableText"/>
            </w:pPr>
            <w:r w:rsidRPr="00ED3A2F">
              <w:rPr>
                <w:rFonts w:eastAsia="Calibri"/>
                <w:color w:val="000000"/>
                <w:szCs w:val="17"/>
              </w:rPr>
              <w:t>PM 0110</w:t>
            </w:r>
          </w:p>
        </w:tc>
        <w:tc>
          <w:tcPr>
            <w:tcW w:w="2392" w:type="pct"/>
            <w:tcBorders>
              <w:top w:val="single" w:sz="4" w:space="0" w:color="auto"/>
              <w:left w:val="nil"/>
              <w:bottom w:val="single" w:sz="4" w:space="0" w:color="auto"/>
              <w:right w:val="nil"/>
            </w:tcBorders>
            <w:vAlign w:val="bottom"/>
          </w:tcPr>
          <w:p w14:paraId="62F28F61" w14:textId="72FF7F6A" w:rsidR="00CD1F89" w:rsidRDefault="00CD1F89" w:rsidP="004032CF">
            <w:pPr>
              <w:pStyle w:val="APVMATableText"/>
            </w:pPr>
            <w:r w:rsidRPr="00ED3A2F">
              <w:rPr>
                <w:rFonts w:eastAsia="Calibri"/>
                <w:color w:val="000000"/>
                <w:szCs w:val="17"/>
              </w:rPr>
              <w:t>Poultry meat</w:t>
            </w:r>
          </w:p>
        </w:tc>
        <w:tc>
          <w:tcPr>
            <w:tcW w:w="995" w:type="pct"/>
            <w:tcBorders>
              <w:top w:val="single" w:sz="4" w:space="0" w:color="auto"/>
              <w:left w:val="nil"/>
              <w:bottom w:val="single" w:sz="4" w:space="0" w:color="auto"/>
              <w:right w:val="nil"/>
            </w:tcBorders>
            <w:vAlign w:val="bottom"/>
          </w:tcPr>
          <w:p w14:paraId="0E7373E7" w14:textId="7651158E" w:rsidR="00CD1F89" w:rsidRDefault="0089181B" w:rsidP="004032CF">
            <w:pPr>
              <w:pStyle w:val="APVMATableTextRight"/>
            </w:pPr>
            <w:r>
              <w:rPr>
                <w:rFonts w:eastAsia="Calibri"/>
                <w:color w:val="000000"/>
              </w:rPr>
              <w:t>*0.02</w:t>
            </w:r>
          </w:p>
        </w:tc>
      </w:tr>
      <w:tr w:rsidR="00CD1F89" w14:paraId="0433C42E" w14:textId="77777777" w:rsidTr="004032CF">
        <w:tc>
          <w:tcPr>
            <w:tcW w:w="1613" w:type="pct"/>
            <w:tcBorders>
              <w:top w:val="single" w:sz="4" w:space="0" w:color="auto"/>
              <w:left w:val="nil"/>
              <w:bottom w:val="single" w:sz="4" w:space="0" w:color="auto"/>
              <w:right w:val="nil"/>
            </w:tcBorders>
            <w:vAlign w:val="bottom"/>
          </w:tcPr>
          <w:p w14:paraId="6354870F" w14:textId="77777777" w:rsidR="00CD1F89" w:rsidRDefault="00CD1F89" w:rsidP="004032CF">
            <w:pPr>
              <w:pStyle w:val="APVMATableText"/>
            </w:pPr>
            <w:r w:rsidRPr="00ED3A2F">
              <w:rPr>
                <w:rFonts w:eastAsia="Calibri"/>
                <w:color w:val="000000"/>
                <w:szCs w:val="17"/>
              </w:rPr>
              <w:t>PO 0111</w:t>
            </w:r>
          </w:p>
        </w:tc>
        <w:tc>
          <w:tcPr>
            <w:tcW w:w="2392" w:type="pct"/>
            <w:tcBorders>
              <w:top w:val="single" w:sz="4" w:space="0" w:color="auto"/>
              <w:left w:val="nil"/>
              <w:bottom w:val="single" w:sz="4" w:space="0" w:color="auto"/>
              <w:right w:val="nil"/>
            </w:tcBorders>
            <w:vAlign w:val="bottom"/>
          </w:tcPr>
          <w:p w14:paraId="3CCE3AC4" w14:textId="77777777" w:rsidR="00CD1F89" w:rsidRDefault="00CD1F89" w:rsidP="004032CF">
            <w:pPr>
              <w:pStyle w:val="APVMATableText"/>
            </w:pPr>
            <w:r w:rsidRPr="00ED3A2F">
              <w:rPr>
                <w:rFonts w:eastAsia="Calibri"/>
                <w:color w:val="000000"/>
                <w:szCs w:val="17"/>
              </w:rPr>
              <w:t>Poultry, edible offal of</w:t>
            </w:r>
          </w:p>
        </w:tc>
        <w:tc>
          <w:tcPr>
            <w:tcW w:w="995" w:type="pct"/>
            <w:tcBorders>
              <w:top w:val="single" w:sz="4" w:space="0" w:color="auto"/>
              <w:left w:val="nil"/>
              <w:bottom w:val="single" w:sz="4" w:space="0" w:color="auto"/>
              <w:right w:val="nil"/>
            </w:tcBorders>
            <w:vAlign w:val="bottom"/>
          </w:tcPr>
          <w:p w14:paraId="4EB155C2" w14:textId="1FB4E9FD" w:rsidR="00CD1F89" w:rsidRDefault="0089181B" w:rsidP="004032CF">
            <w:pPr>
              <w:pStyle w:val="APVMATableTextRight"/>
            </w:pPr>
            <w:r>
              <w:t>*</w:t>
            </w:r>
            <w:r w:rsidR="00CD1F89">
              <w:t>0.02</w:t>
            </w:r>
          </w:p>
        </w:tc>
      </w:tr>
    </w:tbl>
    <w:p w14:paraId="61093C31" w14:textId="06D11BF8" w:rsidR="00CD1F89" w:rsidRPr="005275BE" w:rsidRDefault="00CD1F89" w:rsidP="00CD1F89">
      <w:pPr>
        <w:pStyle w:val="Caption"/>
      </w:pPr>
      <w:bookmarkStart w:id="58" w:name="_Toc64628913"/>
      <w:bookmarkStart w:id="59" w:name="_Toc152840431"/>
      <w:bookmarkStart w:id="60" w:name="_Toc202370966"/>
      <w:bookmarkStart w:id="61" w:name="_Toc208397036"/>
      <w:r w:rsidRPr="005275BE">
        <w:t xml:space="preserve">Table </w:t>
      </w:r>
      <w:r w:rsidR="005B1363" w:rsidRPr="006B6367">
        <w:fldChar w:fldCharType="begin"/>
      </w:r>
      <w:r w:rsidR="005B1363" w:rsidRPr="006B6367">
        <w:instrText xml:space="preserve"> SEQ Table \* ARABIC </w:instrText>
      </w:r>
      <w:r w:rsidR="005B1363" w:rsidRPr="006B6367">
        <w:fldChar w:fldCharType="separate"/>
      </w:r>
      <w:r w:rsidR="004E7885">
        <w:rPr>
          <w:noProof/>
        </w:rPr>
        <w:t>5</w:t>
      </w:r>
      <w:r w:rsidR="005B1363" w:rsidRPr="006B6367">
        <w:fldChar w:fldCharType="end"/>
      </w:r>
      <w:r w:rsidRPr="005275BE">
        <w:t>:</w:t>
      </w:r>
      <w:r w:rsidRPr="005275BE">
        <w:tab/>
        <w:t>Current MRL Standard</w:t>
      </w:r>
      <w:r>
        <w:t xml:space="preserve"> – </w:t>
      </w:r>
      <w:r w:rsidRPr="005275BE">
        <w:t>Table 4</w:t>
      </w:r>
      <w:bookmarkEnd w:id="58"/>
      <w:bookmarkEnd w:id="59"/>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CD1F89" w14:paraId="6FD42288" w14:textId="77777777" w:rsidTr="004032CF">
        <w:trPr>
          <w:tblHeader/>
        </w:trPr>
        <w:tc>
          <w:tcPr>
            <w:tcW w:w="1613" w:type="pct"/>
            <w:tcBorders>
              <w:top w:val="nil"/>
              <w:left w:val="nil"/>
              <w:bottom w:val="single" w:sz="4" w:space="0" w:color="auto"/>
              <w:right w:val="nil"/>
            </w:tcBorders>
            <w:shd w:val="clear" w:color="auto" w:fill="00747A" w:themeFill="background2"/>
          </w:tcPr>
          <w:p w14:paraId="3A571C36" w14:textId="77777777" w:rsidR="00CD1F89" w:rsidRPr="005275BE" w:rsidRDefault="00CD1F89" w:rsidP="004032CF">
            <w:pPr>
              <w:pStyle w:val="APVMATableHead"/>
            </w:pPr>
            <w:r w:rsidRPr="005275BE">
              <w:t>Compound</w:t>
            </w:r>
          </w:p>
        </w:tc>
        <w:tc>
          <w:tcPr>
            <w:tcW w:w="2392" w:type="pct"/>
            <w:tcBorders>
              <w:top w:val="nil"/>
              <w:left w:val="nil"/>
              <w:bottom w:val="single" w:sz="4" w:space="0" w:color="auto"/>
              <w:right w:val="nil"/>
            </w:tcBorders>
            <w:shd w:val="clear" w:color="auto" w:fill="00747A" w:themeFill="background2"/>
          </w:tcPr>
          <w:p w14:paraId="3AE2197C" w14:textId="77777777" w:rsidR="00CD1F89" w:rsidRPr="005275BE" w:rsidRDefault="00CD1F89" w:rsidP="004032CF">
            <w:pPr>
              <w:pStyle w:val="APVMATableHead"/>
            </w:pPr>
            <w:r w:rsidRPr="005275BE">
              <w:t xml:space="preserve">Animal </w:t>
            </w:r>
            <w:r>
              <w:t>f</w:t>
            </w:r>
            <w:r w:rsidRPr="005275BE">
              <w:t xml:space="preserve">eed </w:t>
            </w:r>
            <w:r>
              <w:t>c</w:t>
            </w:r>
            <w:r w:rsidRPr="005275BE">
              <w:t>ommodity</w:t>
            </w:r>
          </w:p>
        </w:tc>
        <w:tc>
          <w:tcPr>
            <w:tcW w:w="995" w:type="pct"/>
            <w:tcBorders>
              <w:top w:val="nil"/>
              <w:left w:val="nil"/>
              <w:bottom w:val="single" w:sz="4" w:space="0" w:color="auto"/>
              <w:right w:val="nil"/>
            </w:tcBorders>
            <w:shd w:val="clear" w:color="auto" w:fill="00747A" w:themeFill="background2"/>
          </w:tcPr>
          <w:p w14:paraId="0EF88A09" w14:textId="77777777" w:rsidR="00CD1F89" w:rsidRPr="005275BE" w:rsidRDefault="00CD1F89" w:rsidP="004032CF">
            <w:pPr>
              <w:pStyle w:val="APVMATableHeadRight"/>
            </w:pPr>
            <w:r w:rsidRPr="005275BE">
              <w:t>MRL (mg/kg)</w:t>
            </w:r>
          </w:p>
        </w:tc>
      </w:tr>
      <w:tr w:rsidR="00CD1F89" w14:paraId="2E9BD7BD" w14:textId="77777777" w:rsidTr="004032CF">
        <w:tc>
          <w:tcPr>
            <w:tcW w:w="5000" w:type="pct"/>
            <w:gridSpan w:val="3"/>
            <w:tcBorders>
              <w:top w:val="single" w:sz="4" w:space="0" w:color="auto"/>
              <w:left w:val="nil"/>
              <w:bottom w:val="single" w:sz="4" w:space="0" w:color="auto"/>
              <w:right w:val="nil"/>
            </w:tcBorders>
          </w:tcPr>
          <w:p w14:paraId="383D9C24" w14:textId="3E9C428F" w:rsidR="00CD1F89" w:rsidRDefault="0089181B" w:rsidP="004032CF">
            <w:pPr>
              <w:pStyle w:val="MRLActiveName"/>
            </w:pPr>
            <w:r>
              <w:t>Tiafenacil</w:t>
            </w:r>
          </w:p>
        </w:tc>
      </w:tr>
      <w:tr w:rsidR="00CD1F89" w14:paraId="232C4718" w14:textId="77777777" w:rsidTr="004032CF">
        <w:tc>
          <w:tcPr>
            <w:tcW w:w="1613" w:type="pct"/>
            <w:tcBorders>
              <w:top w:val="single" w:sz="4" w:space="0" w:color="auto"/>
              <w:left w:val="nil"/>
              <w:bottom w:val="single" w:sz="4" w:space="0" w:color="auto"/>
              <w:right w:val="nil"/>
            </w:tcBorders>
            <w:vAlign w:val="bottom"/>
          </w:tcPr>
          <w:p w14:paraId="2BB02C27" w14:textId="77777777" w:rsidR="00CD1F89" w:rsidRPr="00ED3A2F" w:rsidRDefault="00CD1F89" w:rsidP="004032CF">
            <w:pPr>
              <w:pStyle w:val="APVMATableText"/>
            </w:pPr>
          </w:p>
        </w:tc>
        <w:tc>
          <w:tcPr>
            <w:tcW w:w="2392" w:type="pct"/>
            <w:tcBorders>
              <w:top w:val="single" w:sz="4" w:space="0" w:color="auto"/>
              <w:left w:val="nil"/>
              <w:bottom w:val="single" w:sz="4" w:space="0" w:color="auto"/>
              <w:right w:val="nil"/>
            </w:tcBorders>
            <w:vAlign w:val="bottom"/>
          </w:tcPr>
          <w:p w14:paraId="209A9A61" w14:textId="20FCCFF7" w:rsidR="00CD1F89" w:rsidRPr="00585023" w:rsidRDefault="0089181B" w:rsidP="004032CF">
            <w:pPr>
              <w:pStyle w:val="APVMATableText"/>
            </w:pPr>
            <w:r>
              <w:t>Cereal forage and fodder</w:t>
            </w:r>
          </w:p>
        </w:tc>
        <w:tc>
          <w:tcPr>
            <w:tcW w:w="995" w:type="pct"/>
            <w:tcBorders>
              <w:top w:val="single" w:sz="4" w:space="0" w:color="auto"/>
              <w:left w:val="nil"/>
              <w:bottom w:val="single" w:sz="4" w:space="0" w:color="auto"/>
              <w:right w:val="nil"/>
            </w:tcBorders>
            <w:vAlign w:val="bottom"/>
          </w:tcPr>
          <w:p w14:paraId="66213648" w14:textId="394FA220" w:rsidR="00CD1F89" w:rsidRPr="00585023" w:rsidRDefault="0089181B" w:rsidP="004032CF">
            <w:pPr>
              <w:pStyle w:val="APVMATableTextRight"/>
            </w:pPr>
            <w:r>
              <w:t>*0.01</w:t>
            </w:r>
          </w:p>
        </w:tc>
      </w:tr>
    </w:tbl>
    <w:p w14:paraId="4B3170FA" w14:textId="5E9652EE" w:rsidR="00CD1F89" w:rsidRDefault="00CD1F89" w:rsidP="00CD1F89">
      <w:pPr>
        <w:pStyle w:val="Caption"/>
      </w:pPr>
      <w:bookmarkStart w:id="62" w:name="_Toc152840432"/>
      <w:bookmarkStart w:id="63" w:name="_Toc202370967"/>
      <w:bookmarkStart w:id="64" w:name="_Toc208397037"/>
      <w:r w:rsidRPr="005275BE">
        <w:t>Table</w:t>
      </w:r>
      <w:r w:rsidR="005B1363">
        <w:t xml:space="preserve"> </w:t>
      </w:r>
      <w:r w:rsidR="005B1363" w:rsidRPr="006B6367">
        <w:fldChar w:fldCharType="begin"/>
      </w:r>
      <w:r w:rsidR="005B1363" w:rsidRPr="006B6367">
        <w:instrText xml:space="preserve"> SEQ Table \* ARABIC </w:instrText>
      </w:r>
      <w:r w:rsidR="005B1363" w:rsidRPr="006B6367">
        <w:fldChar w:fldCharType="separate"/>
      </w:r>
      <w:r w:rsidR="004E7885">
        <w:rPr>
          <w:noProof/>
        </w:rPr>
        <w:t>6</w:t>
      </w:r>
      <w:r w:rsidR="005B1363" w:rsidRPr="006B6367">
        <w:fldChar w:fldCharType="end"/>
      </w:r>
      <w:r>
        <w:t>:</w:t>
      </w:r>
      <w:r>
        <w:tab/>
        <w:t>Proposed MRL Standard – Table 1</w:t>
      </w:r>
      <w:bookmarkEnd w:id="62"/>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CD1F89" w14:paraId="43626D01" w14:textId="77777777" w:rsidTr="004032CF">
        <w:trPr>
          <w:cantSplit/>
          <w:tblHeader/>
        </w:trPr>
        <w:tc>
          <w:tcPr>
            <w:tcW w:w="1613" w:type="pct"/>
            <w:tcBorders>
              <w:top w:val="single" w:sz="4" w:space="0" w:color="auto"/>
              <w:left w:val="nil"/>
              <w:bottom w:val="single" w:sz="4" w:space="0" w:color="auto"/>
              <w:right w:val="nil"/>
            </w:tcBorders>
            <w:shd w:val="clear" w:color="auto" w:fill="00747A" w:themeFill="background2"/>
          </w:tcPr>
          <w:p w14:paraId="42C808D4" w14:textId="77777777" w:rsidR="00CD1F89" w:rsidRDefault="00CD1F89" w:rsidP="004032CF">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F0776F9" w14:textId="77777777" w:rsidR="00CD1F89" w:rsidRDefault="00CD1F89" w:rsidP="004032CF">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2C6BECA6" w14:textId="77777777" w:rsidR="00CD1F89" w:rsidRDefault="00CD1F89" w:rsidP="004032CF">
            <w:pPr>
              <w:pStyle w:val="APVMATableHeadRight"/>
            </w:pPr>
            <w:r>
              <w:t>MRL (mg/kg)</w:t>
            </w:r>
          </w:p>
        </w:tc>
      </w:tr>
      <w:tr w:rsidR="00CD1F89" w14:paraId="40692A44" w14:textId="77777777" w:rsidTr="004032CF">
        <w:trPr>
          <w:cantSplit/>
        </w:trPr>
        <w:tc>
          <w:tcPr>
            <w:tcW w:w="5000" w:type="pct"/>
            <w:gridSpan w:val="3"/>
            <w:tcBorders>
              <w:top w:val="single" w:sz="4" w:space="0" w:color="auto"/>
              <w:left w:val="nil"/>
              <w:bottom w:val="single" w:sz="4" w:space="0" w:color="auto"/>
              <w:right w:val="nil"/>
            </w:tcBorders>
          </w:tcPr>
          <w:p w14:paraId="31FC8AE4" w14:textId="1F8EA8D9" w:rsidR="00CD1F89" w:rsidRDefault="0089181B" w:rsidP="004032CF">
            <w:pPr>
              <w:pStyle w:val="MRLActiveName"/>
            </w:pPr>
            <w:r>
              <w:t>Tiafenacil</w:t>
            </w:r>
          </w:p>
        </w:tc>
      </w:tr>
      <w:tr w:rsidR="00CD1F89" w14:paraId="75C40F03" w14:textId="77777777" w:rsidTr="004032CF">
        <w:trPr>
          <w:cantSplit/>
        </w:trPr>
        <w:tc>
          <w:tcPr>
            <w:tcW w:w="1613" w:type="pct"/>
            <w:tcBorders>
              <w:top w:val="single" w:sz="4" w:space="0" w:color="auto"/>
              <w:left w:val="nil"/>
              <w:bottom w:val="single" w:sz="4" w:space="0" w:color="auto"/>
              <w:right w:val="nil"/>
            </w:tcBorders>
          </w:tcPr>
          <w:p w14:paraId="1D873996" w14:textId="77777777" w:rsidR="00CD1F89" w:rsidRDefault="00CD1F89" w:rsidP="004032CF">
            <w:pPr>
              <w:pStyle w:val="APVMATableText"/>
            </w:pPr>
            <w:r>
              <w:t>Delete:</w:t>
            </w:r>
          </w:p>
        </w:tc>
        <w:tc>
          <w:tcPr>
            <w:tcW w:w="2392" w:type="pct"/>
            <w:tcBorders>
              <w:top w:val="single" w:sz="4" w:space="0" w:color="auto"/>
              <w:left w:val="nil"/>
              <w:bottom w:val="single" w:sz="4" w:space="0" w:color="auto"/>
              <w:right w:val="nil"/>
            </w:tcBorders>
          </w:tcPr>
          <w:p w14:paraId="67B902E3" w14:textId="77777777" w:rsidR="00CD1F89" w:rsidRDefault="00CD1F89" w:rsidP="004032CF">
            <w:pPr>
              <w:pStyle w:val="APVMATableText"/>
            </w:pPr>
          </w:p>
        </w:tc>
        <w:tc>
          <w:tcPr>
            <w:tcW w:w="995" w:type="pct"/>
            <w:tcBorders>
              <w:top w:val="single" w:sz="4" w:space="0" w:color="auto"/>
              <w:left w:val="nil"/>
              <w:bottom w:val="single" w:sz="4" w:space="0" w:color="auto"/>
              <w:right w:val="nil"/>
            </w:tcBorders>
          </w:tcPr>
          <w:p w14:paraId="3FB09EAC" w14:textId="77777777" w:rsidR="00CD1F89" w:rsidRPr="005275BE" w:rsidRDefault="00CD1F89" w:rsidP="004032CF">
            <w:pPr>
              <w:pStyle w:val="APVMATableTextRight"/>
            </w:pPr>
          </w:p>
        </w:tc>
      </w:tr>
      <w:tr w:rsidR="00CD1F89" w14:paraId="3D3A27EA" w14:textId="77777777" w:rsidTr="004032CF">
        <w:trPr>
          <w:cantSplit/>
        </w:trPr>
        <w:tc>
          <w:tcPr>
            <w:tcW w:w="1613" w:type="pct"/>
            <w:tcBorders>
              <w:top w:val="single" w:sz="4" w:space="0" w:color="auto"/>
              <w:left w:val="nil"/>
              <w:bottom w:val="single" w:sz="4" w:space="0" w:color="auto"/>
              <w:right w:val="nil"/>
            </w:tcBorders>
            <w:vAlign w:val="bottom"/>
          </w:tcPr>
          <w:p w14:paraId="7D80E0D2" w14:textId="7761DD82" w:rsidR="00CD1F89" w:rsidRPr="004A426C" w:rsidRDefault="0089181B" w:rsidP="004032CF">
            <w:pPr>
              <w:pStyle w:val="APVMATableText"/>
              <w:rPr>
                <w:szCs w:val="17"/>
              </w:rPr>
            </w:pPr>
            <w:r>
              <w:rPr>
                <w:rFonts w:eastAsia="Calibri"/>
                <w:szCs w:val="17"/>
              </w:rPr>
              <w:t>MO 0105</w:t>
            </w:r>
          </w:p>
        </w:tc>
        <w:tc>
          <w:tcPr>
            <w:tcW w:w="2392" w:type="pct"/>
            <w:tcBorders>
              <w:top w:val="single" w:sz="4" w:space="0" w:color="auto"/>
              <w:left w:val="nil"/>
              <w:bottom w:val="single" w:sz="4" w:space="0" w:color="auto"/>
              <w:right w:val="nil"/>
            </w:tcBorders>
            <w:vAlign w:val="bottom"/>
          </w:tcPr>
          <w:p w14:paraId="543DC682" w14:textId="633F555D" w:rsidR="00CD1F89" w:rsidRPr="004A426C" w:rsidRDefault="0089181B" w:rsidP="004032CF">
            <w:pPr>
              <w:pStyle w:val="APVMATableText"/>
              <w:rPr>
                <w:szCs w:val="17"/>
              </w:rPr>
            </w:pPr>
            <w:r>
              <w:rPr>
                <w:rFonts w:eastAsia="Calibri"/>
                <w:szCs w:val="17"/>
              </w:rPr>
              <w:t>Edible offal (mammalian)</w:t>
            </w:r>
          </w:p>
        </w:tc>
        <w:tc>
          <w:tcPr>
            <w:tcW w:w="995" w:type="pct"/>
            <w:tcBorders>
              <w:top w:val="single" w:sz="4" w:space="0" w:color="auto"/>
              <w:left w:val="nil"/>
              <w:bottom w:val="single" w:sz="4" w:space="0" w:color="auto"/>
              <w:right w:val="nil"/>
            </w:tcBorders>
          </w:tcPr>
          <w:p w14:paraId="60F54A8F" w14:textId="55EF1081" w:rsidR="00CD1F89" w:rsidRPr="005275BE" w:rsidRDefault="0089181B" w:rsidP="004032CF">
            <w:pPr>
              <w:pStyle w:val="APVMATableTextRight"/>
            </w:pPr>
            <w:r>
              <w:t>*0.02</w:t>
            </w:r>
          </w:p>
        </w:tc>
      </w:tr>
      <w:tr w:rsidR="00CD1F89" w14:paraId="6C2BAA62" w14:textId="77777777" w:rsidTr="004032CF">
        <w:trPr>
          <w:cantSplit/>
        </w:trPr>
        <w:tc>
          <w:tcPr>
            <w:tcW w:w="1613" w:type="pct"/>
            <w:tcBorders>
              <w:top w:val="single" w:sz="4" w:space="0" w:color="auto"/>
              <w:left w:val="nil"/>
              <w:bottom w:val="single" w:sz="4" w:space="0" w:color="auto"/>
              <w:right w:val="nil"/>
            </w:tcBorders>
            <w:vAlign w:val="bottom"/>
          </w:tcPr>
          <w:p w14:paraId="7B1A1F49" w14:textId="3DE0F23E" w:rsidR="00CD1F89" w:rsidRPr="004A426C" w:rsidRDefault="0089181B" w:rsidP="004032CF">
            <w:pPr>
              <w:pStyle w:val="APVMATableText"/>
              <w:rPr>
                <w:rFonts w:eastAsia="Calibri"/>
                <w:szCs w:val="17"/>
              </w:rPr>
            </w:pPr>
            <w:r>
              <w:rPr>
                <w:rFonts w:eastAsia="Calibri"/>
                <w:szCs w:val="17"/>
              </w:rPr>
              <w:t>MM 0095</w:t>
            </w:r>
          </w:p>
        </w:tc>
        <w:tc>
          <w:tcPr>
            <w:tcW w:w="2392" w:type="pct"/>
            <w:tcBorders>
              <w:top w:val="single" w:sz="4" w:space="0" w:color="auto"/>
              <w:left w:val="nil"/>
              <w:bottom w:val="single" w:sz="4" w:space="0" w:color="auto"/>
              <w:right w:val="nil"/>
            </w:tcBorders>
            <w:vAlign w:val="bottom"/>
          </w:tcPr>
          <w:p w14:paraId="342F2736" w14:textId="7DCD2A9B" w:rsidR="00CD1F89" w:rsidRPr="004A426C" w:rsidRDefault="00175094" w:rsidP="004032CF">
            <w:pPr>
              <w:pStyle w:val="APVMATableText"/>
              <w:rPr>
                <w:rFonts w:eastAsia="Calibri"/>
                <w:szCs w:val="17"/>
              </w:rPr>
            </w:pPr>
            <w:r>
              <w:rPr>
                <w:rFonts w:eastAsia="Calibri"/>
                <w:szCs w:val="17"/>
              </w:rPr>
              <w:t>Meat mammalian</w:t>
            </w:r>
          </w:p>
        </w:tc>
        <w:tc>
          <w:tcPr>
            <w:tcW w:w="995" w:type="pct"/>
            <w:tcBorders>
              <w:top w:val="single" w:sz="4" w:space="0" w:color="auto"/>
              <w:left w:val="nil"/>
              <w:bottom w:val="single" w:sz="4" w:space="0" w:color="auto"/>
              <w:right w:val="nil"/>
            </w:tcBorders>
          </w:tcPr>
          <w:p w14:paraId="1000077B" w14:textId="6ACFD371" w:rsidR="00CD1F89" w:rsidRPr="005275BE" w:rsidRDefault="00175094" w:rsidP="004032CF">
            <w:pPr>
              <w:pStyle w:val="APVMATableTextRight"/>
            </w:pPr>
            <w:r>
              <w:t>*0.02</w:t>
            </w:r>
          </w:p>
        </w:tc>
      </w:tr>
      <w:tr w:rsidR="00CD1F89" w14:paraId="6F85CCD7" w14:textId="77777777" w:rsidTr="004032CF">
        <w:trPr>
          <w:cantSplit/>
        </w:trPr>
        <w:tc>
          <w:tcPr>
            <w:tcW w:w="1613" w:type="pct"/>
            <w:tcBorders>
              <w:top w:val="single" w:sz="4" w:space="0" w:color="auto"/>
              <w:left w:val="nil"/>
              <w:bottom w:val="single" w:sz="4" w:space="0" w:color="auto"/>
              <w:right w:val="nil"/>
            </w:tcBorders>
          </w:tcPr>
          <w:p w14:paraId="3C5804A0" w14:textId="77777777" w:rsidR="00CD1F89" w:rsidRDefault="00CD1F89" w:rsidP="004032CF">
            <w:pPr>
              <w:pStyle w:val="APVMATableText"/>
            </w:pPr>
            <w:r>
              <w:t>Add:</w:t>
            </w:r>
          </w:p>
        </w:tc>
        <w:tc>
          <w:tcPr>
            <w:tcW w:w="2392" w:type="pct"/>
            <w:tcBorders>
              <w:top w:val="single" w:sz="4" w:space="0" w:color="auto"/>
              <w:left w:val="nil"/>
              <w:bottom w:val="single" w:sz="4" w:space="0" w:color="auto"/>
              <w:right w:val="nil"/>
            </w:tcBorders>
          </w:tcPr>
          <w:p w14:paraId="17B652E8" w14:textId="77777777" w:rsidR="00CD1F89" w:rsidRDefault="00CD1F89" w:rsidP="004032CF">
            <w:pPr>
              <w:pStyle w:val="APVMATableText"/>
            </w:pPr>
          </w:p>
        </w:tc>
        <w:tc>
          <w:tcPr>
            <w:tcW w:w="995" w:type="pct"/>
            <w:tcBorders>
              <w:top w:val="single" w:sz="4" w:space="0" w:color="auto"/>
              <w:left w:val="nil"/>
              <w:bottom w:val="single" w:sz="4" w:space="0" w:color="auto"/>
              <w:right w:val="nil"/>
            </w:tcBorders>
          </w:tcPr>
          <w:p w14:paraId="48974D85" w14:textId="77777777" w:rsidR="00CD1F89" w:rsidRPr="005275BE" w:rsidRDefault="00CD1F89" w:rsidP="004032CF">
            <w:pPr>
              <w:pStyle w:val="APVMATableTextRight"/>
            </w:pPr>
          </w:p>
        </w:tc>
      </w:tr>
      <w:tr w:rsidR="00175094" w14:paraId="5CD10991" w14:textId="77777777" w:rsidTr="004032CF">
        <w:trPr>
          <w:cantSplit/>
        </w:trPr>
        <w:tc>
          <w:tcPr>
            <w:tcW w:w="1613" w:type="pct"/>
            <w:tcBorders>
              <w:top w:val="single" w:sz="4" w:space="0" w:color="auto"/>
              <w:left w:val="nil"/>
              <w:bottom w:val="single" w:sz="4" w:space="0" w:color="auto"/>
              <w:right w:val="nil"/>
            </w:tcBorders>
            <w:vAlign w:val="bottom"/>
          </w:tcPr>
          <w:p w14:paraId="7B105906" w14:textId="644A62AD" w:rsidR="00175094" w:rsidRPr="004A426C" w:rsidRDefault="00175094" w:rsidP="00175094">
            <w:pPr>
              <w:pStyle w:val="APVMATableText"/>
              <w:rPr>
                <w:szCs w:val="17"/>
              </w:rPr>
            </w:pPr>
            <w:r>
              <w:rPr>
                <w:rFonts w:eastAsia="Calibri"/>
                <w:szCs w:val="17"/>
              </w:rPr>
              <w:t>MO 0105</w:t>
            </w:r>
          </w:p>
        </w:tc>
        <w:tc>
          <w:tcPr>
            <w:tcW w:w="2392" w:type="pct"/>
            <w:tcBorders>
              <w:top w:val="single" w:sz="4" w:space="0" w:color="auto"/>
              <w:left w:val="nil"/>
              <w:bottom w:val="single" w:sz="4" w:space="0" w:color="auto"/>
              <w:right w:val="nil"/>
            </w:tcBorders>
            <w:vAlign w:val="bottom"/>
          </w:tcPr>
          <w:p w14:paraId="3D344460" w14:textId="01CC4152" w:rsidR="00175094" w:rsidRPr="004A426C" w:rsidRDefault="00175094" w:rsidP="00175094">
            <w:pPr>
              <w:pStyle w:val="APVMATableText"/>
              <w:rPr>
                <w:szCs w:val="17"/>
              </w:rPr>
            </w:pPr>
            <w:r>
              <w:rPr>
                <w:rFonts w:eastAsia="Calibri"/>
                <w:szCs w:val="17"/>
              </w:rPr>
              <w:t>Edible offal (mammalian)</w:t>
            </w:r>
          </w:p>
        </w:tc>
        <w:tc>
          <w:tcPr>
            <w:tcW w:w="995" w:type="pct"/>
            <w:tcBorders>
              <w:top w:val="single" w:sz="4" w:space="0" w:color="auto"/>
              <w:left w:val="nil"/>
              <w:bottom w:val="single" w:sz="4" w:space="0" w:color="auto"/>
              <w:right w:val="nil"/>
            </w:tcBorders>
          </w:tcPr>
          <w:p w14:paraId="192FE0D5" w14:textId="61249646" w:rsidR="00175094" w:rsidRPr="005275BE" w:rsidRDefault="00175094" w:rsidP="00175094">
            <w:pPr>
              <w:pStyle w:val="APVMATableTextRight"/>
            </w:pPr>
            <w:r>
              <w:t>0.1</w:t>
            </w:r>
          </w:p>
        </w:tc>
      </w:tr>
      <w:tr w:rsidR="00CD1F89" w14:paraId="0236CA43" w14:textId="77777777" w:rsidTr="004032CF">
        <w:trPr>
          <w:cantSplit/>
        </w:trPr>
        <w:tc>
          <w:tcPr>
            <w:tcW w:w="1613" w:type="pct"/>
            <w:tcBorders>
              <w:top w:val="single" w:sz="4" w:space="0" w:color="auto"/>
              <w:left w:val="nil"/>
              <w:bottom w:val="single" w:sz="4" w:space="0" w:color="auto"/>
              <w:right w:val="nil"/>
            </w:tcBorders>
            <w:vAlign w:val="bottom"/>
          </w:tcPr>
          <w:p w14:paraId="5A68F6BC" w14:textId="5476E7F5" w:rsidR="00CD1F89" w:rsidRPr="004A426C" w:rsidRDefault="00152CB4" w:rsidP="004032CF">
            <w:pPr>
              <w:pStyle w:val="APVMATableText"/>
              <w:rPr>
                <w:szCs w:val="17"/>
              </w:rPr>
            </w:pPr>
            <w:r>
              <w:rPr>
                <w:rFonts w:eastAsia="Calibri"/>
                <w:szCs w:val="17"/>
              </w:rPr>
              <w:t>MM 0095</w:t>
            </w:r>
          </w:p>
        </w:tc>
        <w:tc>
          <w:tcPr>
            <w:tcW w:w="2392" w:type="pct"/>
            <w:tcBorders>
              <w:top w:val="single" w:sz="4" w:space="0" w:color="auto"/>
              <w:left w:val="nil"/>
              <w:bottom w:val="single" w:sz="4" w:space="0" w:color="auto"/>
              <w:right w:val="nil"/>
            </w:tcBorders>
            <w:vAlign w:val="bottom"/>
          </w:tcPr>
          <w:p w14:paraId="07CE7C31" w14:textId="448E0B20" w:rsidR="00CD1F89" w:rsidRPr="004A426C" w:rsidRDefault="00152CB4" w:rsidP="004032CF">
            <w:pPr>
              <w:pStyle w:val="APVMATableText"/>
              <w:rPr>
                <w:szCs w:val="17"/>
              </w:rPr>
            </w:pPr>
            <w:r>
              <w:rPr>
                <w:rFonts w:eastAsia="Calibri"/>
                <w:szCs w:val="17"/>
              </w:rPr>
              <w:t>Meat (mammalian) [in the fat]</w:t>
            </w:r>
          </w:p>
        </w:tc>
        <w:tc>
          <w:tcPr>
            <w:tcW w:w="995" w:type="pct"/>
            <w:tcBorders>
              <w:top w:val="single" w:sz="4" w:space="0" w:color="auto"/>
              <w:left w:val="nil"/>
              <w:bottom w:val="single" w:sz="4" w:space="0" w:color="auto"/>
              <w:right w:val="nil"/>
            </w:tcBorders>
          </w:tcPr>
          <w:p w14:paraId="177F1AE0" w14:textId="1DB3E290" w:rsidR="00CD1F89" w:rsidRPr="005275BE" w:rsidRDefault="00152CB4" w:rsidP="004032CF">
            <w:pPr>
              <w:pStyle w:val="APVMATableTextRight"/>
            </w:pPr>
            <w:r>
              <w:t>0.05</w:t>
            </w:r>
          </w:p>
        </w:tc>
      </w:tr>
    </w:tbl>
    <w:p w14:paraId="7ABE3378" w14:textId="3B97084E" w:rsidR="00CD1F89" w:rsidRPr="005275BE" w:rsidRDefault="00CD1F89" w:rsidP="00CD1F89">
      <w:pPr>
        <w:pStyle w:val="Caption"/>
      </w:pPr>
      <w:bookmarkStart w:id="65" w:name="_Toc64628915"/>
      <w:bookmarkStart w:id="66" w:name="_Toc152840433"/>
      <w:bookmarkStart w:id="67" w:name="_Toc202370968"/>
      <w:bookmarkStart w:id="68" w:name="_Hlk206505132"/>
      <w:bookmarkStart w:id="69" w:name="_Toc208397038"/>
      <w:r w:rsidRPr="005275BE">
        <w:lastRenderedPageBreak/>
        <w:t xml:space="preserve">Table </w:t>
      </w:r>
      <w:r w:rsidR="005B1363" w:rsidRPr="006B6367">
        <w:fldChar w:fldCharType="begin"/>
      </w:r>
      <w:r w:rsidR="005B1363" w:rsidRPr="006B6367">
        <w:instrText xml:space="preserve"> SEQ Table \* ARABIC </w:instrText>
      </w:r>
      <w:r w:rsidR="005B1363" w:rsidRPr="006B6367">
        <w:fldChar w:fldCharType="separate"/>
      </w:r>
      <w:r w:rsidR="004E7885">
        <w:rPr>
          <w:noProof/>
        </w:rPr>
        <w:t>7</w:t>
      </w:r>
      <w:r w:rsidR="005B1363" w:rsidRPr="006B6367">
        <w:fldChar w:fldCharType="end"/>
      </w:r>
      <w:r w:rsidRPr="005275BE">
        <w:t>:</w:t>
      </w:r>
      <w:r w:rsidRPr="005275BE">
        <w:tab/>
        <w:t>Proposed MRL Standard</w:t>
      </w:r>
      <w:r>
        <w:t xml:space="preserve"> – </w:t>
      </w:r>
      <w:r w:rsidRPr="005275BE">
        <w:t>Table 4</w:t>
      </w:r>
      <w:bookmarkEnd w:id="65"/>
      <w:bookmarkEnd w:id="66"/>
      <w:bookmarkEnd w:id="67"/>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CD1F89" w14:paraId="44565CA3" w14:textId="77777777" w:rsidTr="004032CF">
        <w:trPr>
          <w:cantSplit/>
          <w:tblHeader/>
        </w:trPr>
        <w:tc>
          <w:tcPr>
            <w:tcW w:w="1613" w:type="pct"/>
            <w:tcBorders>
              <w:top w:val="single" w:sz="4" w:space="0" w:color="auto"/>
              <w:left w:val="nil"/>
              <w:bottom w:val="single" w:sz="4" w:space="0" w:color="auto"/>
              <w:right w:val="nil"/>
            </w:tcBorders>
            <w:shd w:val="clear" w:color="auto" w:fill="00747A" w:themeFill="background2"/>
          </w:tcPr>
          <w:p w14:paraId="6DC97A67" w14:textId="77777777" w:rsidR="00CD1F89" w:rsidRDefault="00CD1F89" w:rsidP="004032CF">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6569AC57" w14:textId="77777777" w:rsidR="00CD1F89" w:rsidRDefault="00CD1F89" w:rsidP="004032CF">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2205673D" w14:textId="77777777" w:rsidR="00CD1F89" w:rsidRDefault="00CD1F89" w:rsidP="004032CF">
            <w:pPr>
              <w:pStyle w:val="APVMATableHeadRight"/>
            </w:pPr>
            <w:r>
              <w:t>MRL (mg/kg)</w:t>
            </w:r>
          </w:p>
        </w:tc>
      </w:tr>
      <w:tr w:rsidR="00CD1F89" w14:paraId="300DD3BA" w14:textId="77777777" w:rsidTr="004032CF">
        <w:trPr>
          <w:cantSplit/>
        </w:trPr>
        <w:tc>
          <w:tcPr>
            <w:tcW w:w="1613" w:type="pct"/>
            <w:tcBorders>
              <w:top w:val="single" w:sz="4" w:space="0" w:color="auto"/>
              <w:left w:val="nil"/>
              <w:bottom w:val="single" w:sz="4" w:space="0" w:color="auto"/>
              <w:right w:val="nil"/>
            </w:tcBorders>
          </w:tcPr>
          <w:p w14:paraId="0A645702" w14:textId="2E55CFC7" w:rsidR="00CD1F89" w:rsidRDefault="00152CB4" w:rsidP="004032CF">
            <w:pPr>
              <w:pStyle w:val="MRLActiveName"/>
            </w:pPr>
            <w:r>
              <w:t>Tiafenacil</w:t>
            </w:r>
          </w:p>
        </w:tc>
        <w:tc>
          <w:tcPr>
            <w:tcW w:w="2392" w:type="pct"/>
            <w:tcBorders>
              <w:top w:val="single" w:sz="4" w:space="0" w:color="auto"/>
              <w:left w:val="nil"/>
              <w:bottom w:val="single" w:sz="4" w:space="0" w:color="auto"/>
              <w:right w:val="nil"/>
            </w:tcBorders>
          </w:tcPr>
          <w:p w14:paraId="466A8E2A" w14:textId="77777777" w:rsidR="00CD1F89" w:rsidRDefault="00CD1F89" w:rsidP="004032CF">
            <w:pPr>
              <w:pStyle w:val="APVMATableText"/>
            </w:pPr>
          </w:p>
        </w:tc>
        <w:tc>
          <w:tcPr>
            <w:tcW w:w="995" w:type="pct"/>
            <w:tcBorders>
              <w:top w:val="single" w:sz="4" w:space="0" w:color="auto"/>
              <w:left w:val="nil"/>
              <w:bottom w:val="single" w:sz="4" w:space="0" w:color="auto"/>
              <w:right w:val="nil"/>
            </w:tcBorders>
          </w:tcPr>
          <w:p w14:paraId="00DCC212" w14:textId="77777777" w:rsidR="00CD1F89" w:rsidRPr="005275BE" w:rsidRDefault="00CD1F89" w:rsidP="004032CF">
            <w:pPr>
              <w:pStyle w:val="APVMATableTextRight"/>
            </w:pPr>
          </w:p>
        </w:tc>
      </w:tr>
      <w:tr w:rsidR="00CD1F89" w14:paraId="337853A1" w14:textId="77777777" w:rsidTr="004032CF">
        <w:trPr>
          <w:cantSplit/>
        </w:trPr>
        <w:tc>
          <w:tcPr>
            <w:tcW w:w="1613" w:type="pct"/>
            <w:tcBorders>
              <w:top w:val="single" w:sz="4" w:space="0" w:color="auto"/>
              <w:left w:val="nil"/>
              <w:bottom w:val="single" w:sz="4" w:space="0" w:color="auto"/>
              <w:right w:val="nil"/>
            </w:tcBorders>
          </w:tcPr>
          <w:p w14:paraId="1D806057" w14:textId="77777777" w:rsidR="00CD1F89" w:rsidRDefault="00CD1F89" w:rsidP="004032CF">
            <w:pPr>
              <w:pStyle w:val="APVMATableText"/>
            </w:pPr>
            <w:r>
              <w:t>Delete:</w:t>
            </w:r>
          </w:p>
        </w:tc>
        <w:tc>
          <w:tcPr>
            <w:tcW w:w="2392" w:type="pct"/>
            <w:tcBorders>
              <w:top w:val="single" w:sz="4" w:space="0" w:color="auto"/>
              <w:left w:val="nil"/>
              <w:bottom w:val="single" w:sz="4" w:space="0" w:color="auto"/>
              <w:right w:val="nil"/>
            </w:tcBorders>
          </w:tcPr>
          <w:p w14:paraId="60FC9972" w14:textId="77777777" w:rsidR="00CD1F89" w:rsidRDefault="00CD1F89" w:rsidP="004032CF">
            <w:pPr>
              <w:pStyle w:val="APVMATableText"/>
            </w:pPr>
          </w:p>
        </w:tc>
        <w:tc>
          <w:tcPr>
            <w:tcW w:w="995" w:type="pct"/>
            <w:tcBorders>
              <w:top w:val="single" w:sz="4" w:space="0" w:color="auto"/>
              <w:left w:val="nil"/>
              <w:bottom w:val="single" w:sz="4" w:space="0" w:color="auto"/>
              <w:right w:val="nil"/>
            </w:tcBorders>
          </w:tcPr>
          <w:p w14:paraId="55979692" w14:textId="77777777" w:rsidR="00CD1F89" w:rsidRPr="005275BE" w:rsidRDefault="00CD1F89" w:rsidP="004032CF">
            <w:pPr>
              <w:pStyle w:val="APVMATableTextRight"/>
            </w:pPr>
          </w:p>
        </w:tc>
      </w:tr>
      <w:tr w:rsidR="00CD1F89" w14:paraId="67499C1E" w14:textId="77777777" w:rsidTr="004032CF">
        <w:trPr>
          <w:cantSplit/>
        </w:trPr>
        <w:tc>
          <w:tcPr>
            <w:tcW w:w="1613" w:type="pct"/>
            <w:tcBorders>
              <w:top w:val="single" w:sz="4" w:space="0" w:color="auto"/>
              <w:left w:val="nil"/>
              <w:bottom w:val="single" w:sz="4" w:space="0" w:color="auto"/>
              <w:right w:val="nil"/>
            </w:tcBorders>
          </w:tcPr>
          <w:p w14:paraId="2A2D133E" w14:textId="17C251AF" w:rsidR="00CD1F89" w:rsidRDefault="00CD1F89" w:rsidP="004032CF">
            <w:pPr>
              <w:pStyle w:val="APVMATableText"/>
            </w:pPr>
          </w:p>
        </w:tc>
        <w:tc>
          <w:tcPr>
            <w:tcW w:w="2392" w:type="pct"/>
            <w:tcBorders>
              <w:top w:val="single" w:sz="4" w:space="0" w:color="auto"/>
              <w:left w:val="nil"/>
              <w:bottom w:val="single" w:sz="4" w:space="0" w:color="auto"/>
              <w:right w:val="nil"/>
            </w:tcBorders>
          </w:tcPr>
          <w:p w14:paraId="1E47FD81" w14:textId="67081551" w:rsidR="00CD1F89" w:rsidRDefault="00152CB4" w:rsidP="004032CF">
            <w:pPr>
              <w:pStyle w:val="APVMATableText"/>
            </w:pPr>
            <w:r w:rsidRPr="00152CB4">
              <w:t>Cereal forage and fodder</w:t>
            </w:r>
          </w:p>
        </w:tc>
        <w:tc>
          <w:tcPr>
            <w:tcW w:w="995" w:type="pct"/>
            <w:tcBorders>
              <w:top w:val="single" w:sz="4" w:space="0" w:color="auto"/>
              <w:left w:val="nil"/>
              <w:bottom w:val="single" w:sz="4" w:space="0" w:color="auto"/>
              <w:right w:val="nil"/>
            </w:tcBorders>
          </w:tcPr>
          <w:p w14:paraId="4AD4F862" w14:textId="20556408" w:rsidR="00CD1F89" w:rsidRPr="005275BE" w:rsidRDefault="00152CB4" w:rsidP="004032CF">
            <w:pPr>
              <w:pStyle w:val="APVMATableTextRight"/>
            </w:pPr>
            <w:r>
              <w:t>*0.01</w:t>
            </w:r>
          </w:p>
        </w:tc>
      </w:tr>
      <w:tr w:rsidR="00CD1F89" w14:paraId="3B69D7C1" w14:textId="77777777" w:rsidTr="004032CF">
        <w:trPr>
          <w:cantSplit/>
        </w:trPr>
        <w:tc>
          <w:tcPr>
            <w:tcW w:w="1613" w:type="pct"/>
            <w:tcBorders>
              <w:top w:val="single" w:sz="4" w:space="0" w:color="auto"/>
              <w:left w:val="nil"/>
              <w:bottom w:val="single" w:sz="4" w:space="0" w:color="auto"/>
              <w:right w:val="nil"/>
            </w:tcBorders>
            <w:vAlign w:val="bottom"/>
          </w:tcPr>
          <w:p w14:paraId="0DF726E8" w14:textId="77777777" w:rsidR="00CD1F89" w:rsidRPr="004A426C" w:rsidRDefault="00CD1F89" w:rsidP="004032CF">
            <w:pPr>
              <w:pStyle w:val="APVMATableText"/>
              <w:rPr>
                <w:rFonts w:eastAsia="Calibri"/>
                <w:color w:val="000000"/>
                <w:szCs w:val="17"/>
              </w:rPr>
            </w:pPr>
            <w:r>
              <w:rPr>
                <w:rFonts w:eastAsia="Calibri"/>
                <w:color w:val="000000"/>
                <w:szCs w:val="17"/>
              </w:rPr>
              <w:t>Add:</w:t>
            </w:r>
          </w:p>
        </w:tc>
        <w:tc>
          <w:tcPr>
            <w:tcW w:w="2392" w:type="pct"/>
            <w:tcBorders>
              <w:top w:val="single" w:sz="4" w:space="0" w:color="auto"/>
              <w:left w:val="nil"/>
              <w:bottom w:val="single" w:sz="4" w:space="0" w:color="auto"/>
              <w:right w:val="nil"/>
            </w:tcBorders>
            <w:vAlign w:val="bottom"/>
          </w:tcPr>
          <w:p w14:paraId="5D9C5D5C" w14:textId="77777777" w:rsidR="00CD1F89" w:rsidRPr="004A426C" w:rsidRDefault="00CD1F89" w:rsidP="004032CF">
            <w:pPr>
              <w:pStyle w:val="APVMATableText"/>
              <w:rPr>
                <w:rFonts w:eastAsia="Calibri"/>
                <w:color w:val="000000"/>
                <w:szCs w:val="17"/>
              </w:rPr>
            </w:pPr>
          </w:p>
        </w:tc>
        <w:tc>
          <w:tcPr>
            <w:tcW w:w="995" w:type="pct"/>
            <w:tcBorders>
              <w:top w:val="single" w:sz="4" w:space="0" w:color="auto"/>
              <w:left w:val="nil"/>
              <w:bottom w:val="single" w:sz="4" w:space="0" w:color="auto"/>
              <w:right w:val="nil"/>
            </w:tcBorders>
            <w:vAlign w:val="bottom"/>
          </w:tcPr>
          <w:p w14:paraId="52B66C69" w14:textId="77777777" w:rsidR="00CD1F89" w:rsidRPr="005275BE" w:rsidRDefault="00CD1F89" w:rsidP="004032CF">
            <w:pPr>
              <w:pStyle w:val="APVMATableTextRight"/>
              <w:rPr>
                <w:rFonts w:eastAsia="Calibri"/>
              </w:rPr>
            </w:pPr>
          </w:p>
        </w:tc>
      </w:tr>
      <w:tr w:rsidR="00CD1F89" w14:paraId="1115E8D9" w14:textId="77777777" w:rsidTr="004032CF">
        <w:trPr>
          <w:cantSplit/>
        </w:trPr>
        <w:tc>
          <w:tcPr>
            <w:tcW w:w="1613" w:type="pct"/>
            <w:tcBorders>
              <w:top w:val="single" w:sz="4" w:space="0" w:color="auto"/>
              <w:left w:val="nil"/>
              <w:bottom w:val="single" w:sz="4" w:space="0" w:color="auto"/>
              <w:right w:val="nil"/>
            </w:tcBorders>
            <w:vAlign w:val="bottom"/>
          </w:tcPr>
          <w:p w14:paraId="6686D842" w14:textId="77777777" w:rsidR="00CD1F89" w:rsidRPr="00CC3384" w:rsidRDefault="00CD1F89" w:rsidP="004032CF">
            <w:pPr>
              <w:pStyle w:val="APVMATableText"/>
              <w:rPr>
                <w:rFonts w:eastAsia="Calibri"/>
                <w:color w:val="000000"/>
                <w:szCs w:val="17"/>
              </w:rPr>
            </w:pPr>
          </w:p>
        </w:tc>
        <w:tc>
          <w:tcPr>
            <w:tcW w:w="2392" w:type="pct"/>
            <w:tcBorders>
              <w:top w:val="single" w:sz="4" w:space="0" w:color="auto"/>
              <w:left w:val="nil"/>
              <w:bottom w:val="single" w:sz="4" w:space="0" w:color="auto"/>
              <w:right w:val="nil"/>
            </w:tcBorders>
            <w:vAlign w:val="bottom"/>
          </w:tcPr>
          <w:p w14:paraId="5E235150" w14:textId="2693A152" w:rsidR="00CD1F89" w:rsidRPr="00CC3384" w:rsidRDefault="00152CB4" w:rsidP="004032CF">
            <w:pPr>
              <w:pStyle w:val="APVMATableText"/>
              <w:rPr>
                <w:rFonts w:eastAsia="Calibri"/>
                <w:color w:val="000000"/>
                <w:szCs w:val="17"/>
              </w:rPr>
            </w:pPr>
            <w:r w:rsidRPr="00152CB4">
              <w:rPr>
                <w:rFonts w:eastAsia="Calibri"/>
                <w:szCs w:val="17"/>
              </w:rPr>
              <w:t>Cereal forage and fodder {except Wheat forage; Wheat straw and fodder, dry}</w:t>
            </w:r>
          </w:p>
        </w:tc>
        <w:tc>
          <w:tcPr>
            <w:tcW w:w="995" w:type="pct"/>
            <w:tcBorders>
              <w:top w:val="single" w:sz="4" w:space="0" w:color="auto"/>
              <w:left w:val="nil"/>
              <w:bottom w:val="single" w:sz="4" w:space="0" w:color="auto"/>
              <w:right w:val="nil"/>
            </w:tcBorders>
          </w:tcPr>
          <w:p w14:paraId="0BF35523" w14:textId="287F4C13" w:rsidR="00CD1F89" w:rsidRPr="005275BE" w:rsidRDefault="00152CB4" w:rsidP="004032CF">
            <w:pPr>
              <w:pStyle w:val="APVMATableTextRight"/>
              <w:rPr>
                <w:rFonts w:eastAsia="Calibri"/>
              </w:rPr>
            </w:pPr>
            <w:r>
              <w:t>*0.01</w:t>
            </w:r>
          </w:p>
        </w:tc>
      </w:tr>
      <w:tr w:rsidR="00CD1F89" w14:paraId="6D519257" w14:textId="77777777" w:rsidTr="004032CF">
        <w:trPr>
          <w:cantSplit/>
        </w:trPr>
        <w:tc>
          <w:tcPr>
            <w:tcW w:w="1613" w:type="pct"/>
            <w:tcBorders>
              <w:top w:val="single" w:sz="4" w:space="0" w:color="auto"/>
              <w:left w:val="nil"/>
              <w:bottom w:val="single" w:sz="4" w:space="0" w:color="auto"/>
              <w:right w:val="nil"/>
            </w:tcBorders>
            <w:vAlign w:val="bottom"/>
          </w:tcPr>
          <w:p w14:paraId="10928B1A" w14:textId="16594ED8" w:rsidR="00CD1F89" w:rsidRPr="00CC3384" w:rsidRDefault="00CD1F89" w:rsidP="004032CF">
            <w:pPr>
              <w:pStyle w:val="APVMATableText"/>
              <w:rPr>
                <w:rFonts w:eastAsia="Calibri"/>
                <w:color w:val="000000"/>
                <w:szCs w:val="17"/>
              </w:rPr>
            </w:pPr>
          </w:p>
        </w:tc>
        <w:tc>
          <w:tcPr>
            <w:tcW w:w="2392" w:type="pct"/>
            <w:tcBorders>
              <w:top w:val="single" w:sz="4" w:space="0" w:color="auto"/>
              <w:left w:val="nil"/>
              <w:bottom w:val="single" w:sz="4" w:space="0" w:color="auto"/>
              <w:right w:val="nil"/>
            </w:tcBorders>
            <w:vAlign w:val="bottom"/>
          </w:tcPr>
          <w:p w14:paraId="60EF15BF" w14:textId="2375AD99" w:rsidR="00CD1F89" w:rsidRPr="00CC3384" w:rsidRDefault="00152CB4" w:rsidP="004032CF">
            <w:pPr>
              <w:pStyle w:val="APVMATableText"/>
              <w:rPr>
                <w:rFonts w:eastAsia="Calibri"/>
                <w:color w:val="000000"/>
                <w:szCs w:val="17"/>
              </w:rPr>
            </w:pPr>
            <w:r w:rsidRPr="00152CB4">
              <w:rPr>
                <w:rFonts w:eastAsia="Calibri"/>
                <w:color w:val="000000"/>
                <w:szCs w:val="17"/>
              </w:rPr>
              <w:t>Primary feed commodities {except Cereal forage and fodder; Mixed pastures (leguminous/grasses); Mustard seed forage and fodder; Pulse forage and fodder; Rape seed [canola] forage and fodder; Wheat forage; Wheat straw and fodder, dry}</w:t>
            </w:r>
          </w:p>
        </w:tc>
        <w:tc>
          <w:tcPr>
            <w:tcW w:w="995" w:type="pct"/>
            <w:tcBorders>
              <w:top w:val="single" w:sz="4" w:space="0" w:color="auto"/>
              <w:left w:val="nil"/>
              <w:bottom w:val="single" w:sz="4" w:space="0" w:color="auto"/>
              <w:right w:val="nil"/>
            </w:tcBorders>
          </w:tcPr>
          <w:p w14:paraId="4F222E28" w14:textId="74919328" w:rsidR="00CD1F89" w:rsidRPr="005275BE" w:rsidRDefault="00152CB4" w:rsidP="004032CF">
            <w:pPr>
              <w:pStyle w:val="APVMATableTextRight"/>
              <w:rPr>
                <w:rFonts w:eastAsia="Calibri"/>
              </w:rPr>
            </w:pPr>
            <w:r>
              <w:rPr>
                <w:rFonts w:eastAsia="Calibri"/>
              </w:rPr>
              <w:t>3</w:t>
            </w:r>
          </w:p>
        </w:tc>
      </w:tr>
      <w:tr w:rsidR="00152CB4" w14:paraId="4DE4CB18" w14:textId="77777777" w:rsidTr="004032CF">
        <w:trPr>
          <w:cantSplit/>
        </w:trPr>
        <w:tc>
          <w:tcPr>
            <w:tcW w:w="1613" w:type="pct"/>
            <w:tcBorders>
              <w:top w:val="single" w:sz="4" w:space="0" w:color="auto"/>
              <w:left w:val="nil"/>
              <w:bottom w:val="single" w:sz="4" w:space="0" w:color="auto"/>
              <w:right w:val="nil"/>
            </w:tcBorders>
            <w:vAlign w:val="bottom"/>
          </w:tcPr>
          <w:p w14:paraId="3EA62D13" w14:textId="77777777" w:rsidR="00152CB4" w:rsidRDefault="00152CB4" w:rsidP="004032CF">
            <w:pPr>
              <w:pStyle w:val="APVMATableText"/>
              <w:rPr>
                <w:rFonts w:eastAsia="Calibri"/>
                <w:szCs w:val="17"/>
              </w:rPr>
            </w:pPr>
          </w:p>
        </w:tc>
        <w:tc>
          <w:tcPr>
            <w:tcW w:w="2392" w:type="pct"/>
            <w:tcBorders>
              <w:top w:val="single" w:sz="4" w:space="0" w:color="auto"/>
              <w:left w:val="nil"/>
              <w:bottom w:val="single" w:sz="4" w:space="0" w:color="auto"/>
              <w:right w:val="nil"/>
            </w:tcBorders>
            <w:vAlign w:val="bottom"/>
          </w:tcPr>
          <w:p w14:paraId="081BFF62" w14:textId="4095CDF7" w:rsidR="00152CB4" w:rsidRDefault="00152CB4" w:rsidP="004032CF">
            <w:pPr>
              <w:pStyle w:val="APVMATableText"/>
              <w:rPr>
                <w:rFonts w:eastAsia="Calibri"/>
                <w:szCs w:val="17"/>
              </w:rPr>
            </w:pPr>
            <w:r w:rsidRPr="00152CB4">
              <w:rPr>
                <w:rFonts w:eastAsia="Calibri"/>
                <w:szCs w:val="17"/>
              </w:rPr>
              <w:t>Wheat forage</w:t>
            </w:r>
          </w:p>
        </w:tc>
        <w:tc>
          <w:tcPr>
            <w:tcW w:w="995" w:type="pct"/>
            <w:tcBorders>
              <w:top w:val="single" w:sz="4" w:space="0" w:color="auto"/>
              <w:left w:val="nil"/>
              <w:bottom w:val="single" w:sz="4" w:space="0" w:color="auto"/>
              <w:right w:val="nil"/>
            </w:tcBorders>
          </w:tcPr>
          <w:p w14:paraId="3520FF09" w14:textId="55250D34" w:rsidR="00152CB4" w:rsidRDefault="00152CB4" w:rsidP="004032CF">
            <w:pPr>
              <w:pStyle w:val="APVMATableTextRight"/>
            </w:pPr>
            <w:r>
              <w:t>1.5</w:t>
            </w:r>
          </w:p>
        </w:tc>
      </w:tr>
      <w:bookmarkEnd w:id="68"/>
      <w:tr w:rsidR="00152CB4" w14:paraId="6D70B450" w14:textId="77777777" w:rsidTr="004032CF">
        <w:trPr>
          <w:cantSplit/>
        </w:trPr>
        <w:tc>
          <w:tcPr>
            <w:tcW w:w="1613" w:type="pct"/>
            <w:tcBorders>
              <w:top w:val="single" w:sz="4" w:space="0" w:color="auto"/>
              <w:left w:val="nil"/>
              <w:bottom w:val="single" w:sz="4" w:space="0" w:color="auto"/>
              <w:right w:val="nil"/>
            </w:tcBorders>
            <w:vAlign w:val="bottom"/>
          </w:tcPr>
          <w:p w14:paraId="5D5034DA" w14:textId="3342234D" w:rsidR="00152CB4" w:rsidRDefault="00152CB4" w:rsidP="004032CF">
            <w:pPr>
              <w:pStyle w:val="APVMATableText"/>
              <w:rPr>
                <w:rFonts w:eastAsia="Calibri"/>
                <w:szCs w:val="17"/>
              </w:rPr>
            </w:pPr>
            <w:r>
              <w:rPr>
                <w:rFonts w:eastAsia="Calibri"/>
                <w:szCs w:val="17"/>
              </w:rPr>
              <w:t>AS 0654</w:t>
            </w:r>
          </w:p>
        </w:tc>
        <w:tc>
          <w:tcPr>
            <w:tcW w:w="2392" w:type="pct"/>
            <w:tcBorders>
              <w:top w:val="single" w:sz="4" w:space="0" w:color="auto"/>
              <w:left w:val="nil"/>
              <w:bottom w:val="single" w:sz="4" w:space="0" w:color="auto"/>
              <w:right w:val="nil"/>
            </w:tcBorders>
            <w:vAlign w:val="bottom"/>
          </w:tcPr>
          <w:p w14:paraId="690886EE" w14:textId="6639FB6A" w:rsidR="00152CB4" w:rsidRDefault="00152CB4" w:rsidP="004032CF">
            <w:pPr>
              <w:pStyle w:val="APVMATableText"/>
              <w:rPr>
                <w:rFonts w:eastAsia="Calibri"/>
                <w:szCs w:val="17"/>
              </w:rPr>
            </w:pPr>
            <w:r w:rsidRPr="00152CB4">
              <w:rPr>
                <w:rFonts w:eastAsia="Calibri"/>
                <w:szCs w:val="17"/>
              </w:rPr>
              <w:t>Wheat straw and fodder, dry</w:t>
            </w:r>
          </w:p>
        </w:tc>
        <w:tc>
          <w:tcPr>
            <w:tcW w:w="995" w:type="pct"/>
            <w:tcBorders>
              <w:top w:val="single" w:sz="4" w:space="0" w:color="auto"/>
              <w:left w:val="nil"/>
              <w:bottom w:val="single" w:sz="4" w:space="0" w:color="auto"/>
              <w:right w:val="nil"/>
            </w:tcBorders>
          </w:tcPr>
          <w:p w14:paraId="072D3C58" w14:textId="45585C1D" w:rsidR="00152CB4" w:rsidRDefault="00152CB4" w:rsidP="004032CF">
            <w:pPr>
              <w:pStyle w:val="APVMATableTextRight"/>
            </w:pPr>
            <w:r>
              <w:t>0.4</w:t>
            </w:r>
          </w:p>
        </w:tc>
      </w:tr>
    </w:tbl>
    <w:p w14:paraId="21AE6FCF" w14:textId="0A54CD2F" w:rsidR="00912039" w:rsidRDefault="00912039" w:rsidP="00912039">
      <w:pPr>
        <w:pStyle w:val="Heading2"/>
      </w:pPr>
      <w:bookmarkStart w:id="70" w:name="_Toc208397026"/>
      <w:r>
        <w:t>Current and proposed residue definition</w:t>
      </w:r>
      <w:r w:rsidR="00BE1C1D">
        <w:t xml:space="preserve"> for tiafenacil</w:t>
      </w:r>
      <w:bookmarkEnd w:id="70"/>
    </w:p>
    <w:p w14:paraId="3C0414E4" w14:textId="15C9A1A7" w:rsidR="00912039" w:rsidRDefault="00912039" w:rsidP="00912039">
      <w:pPr>
        <w:pStyle w:val="Caption"/>
      </w:pPr>
      <w:bookmarkStart w:id="71" w:name="_Toc208397039"/>
      <w:r w:rsidRPr="005275BE">
        <w:t xml:space="preserve">Table </w:t>
      </w:r>
      <w:r w:rsidR="005B1363" w:rsidRPr="006B6367">
        <w:fldChar w:fldCharType="begin"/>
      </w:r>
      <w:r w:rsidR="005B1363" w:rsidRPr="006B6367">
        <w:instrText xml:space="preserve"> SEQ Table \* ARABIC </w:instrText>
      </w:r>
      <w:r w:rsidR="005B1363" w:rsidRPr="006B6367">
        <w:fldChar w:fldCharType="separate"/>
      </w:r>
      <w:r w:rsidR="004E7885">
        <w:rPr>
          <w:noProof/>
        </w:rPr>
        <w:t>8</w:t>
      </w:r>
      <w:r w:rsidR="005B1363" w:rsidRPr="006B6367">
        <w:fldChar w:fldCharType="end"/>
      </w:r>
      <w:r w:rsidRPr="005275BE">
        <w:t>:</w:t>
      </w:r>
      <w:r w:rsidRPr="005275BE">
        <w:tab/>
        <w:t xml:space="preserve">Current </w:t>
      </w:r>
      <w:r>
        <w:t>residue definition</w:t>
      </w:r>
      <w:r w:rsidRPr="005275BE">
        <w:t xml:space="preserve"> </w:t>
      </w:r>
      <w:r>
        <w:t>–</w:t>
      </w:r>
      <w:r w:rsidRPr="005275BE">
        <w:t xml:space="preserve"> Table </w:t>
      </w:r>
      <w:r>
        <w:t>3</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912039" w14:paraId="719A23E8" w14:textId="77777777" w:rsidTr="004032CF">
        <w:trPr>
          <w:cantSplit/>
          <w:tblHeader/>
        </w:trPr>
        <w:tc>
          <w:tcPr>
            <w:tcW w:w="1613" w:type="pct"/>
            <w:tcBorders>
              <w:top w:val="single" w:sz="4" w:space="0" w:color="auto"/>
              <w:left w:val="nil"/>
              <w:bottom w:val="single" w:sz="4" w:space="0" w:color="auto"/>
              <w:right w:val="nil"/>
            </w:tcBorders>
            <w:shd w:val="clear" w:color="auto" w:fill="00747A" w:themeFill="background2"/>
          </w:tcPr>
          <w:p w14:paraId="53479547" w14:textId="77777777" w:rsidR="00912039" w:rsidRPr="004E13E3" w:rsidRDefault="00912039" w:rsidP="004E13E3">
            <w:pPr>
              <w:pStyle w:val="APVMATableHead"/>
            </w:pPr>
            <w:r w:rsidRPr="004E13E3">
              <w:t>Compound</w:t>
            </w:r>
          </w:p>
        </w:tc>
        <w:tc>
          <w:tcPr>
            <w:tcW w:w="2392" w:type="pct"/>
            <w:tcBorders>
              <w:top w:val="single" w:sz="4" w:space="0" w:color="auto"/>
              <w:left w:val="nil"/>
              <w:bottom w:val="single" w:sz="4" w:space="0" w:color="auto"/>
              <w:right w:val="nil"/>
            </w:tcBorders>
            <w:shd w:val="clear" w:color="auto" w:fill="00747A" w:themeFill="background2"/>
          </w:tcPr>
          <w:p w14:paraId="7C36A453" w14:textId="675E1A31" w:rsidR="00912039" w:rsidRPr="004E13E3" w:rsidRDefault="00912039" w:rsidP="004E13E3">
            <w:pPr>
              <w:pStyle w:val="APVMATableHead"/>
            </w:pPr>
            <w:r w:rsidRPr="004E13E3">
              <w:t>Residue</w:t>
            </w:r>
          </w:p>
        </w:tc>
        <w:tc>
          <w:tcPr>
            <w:tcW w:w="995" w:type="pct"/>
            <w:tcBorders>
              <w:top w:val="single" w:sz="4" w:space="0" w:color="auto"/>
              <w:left w:val="nil"/>
              <w:bottom w:val="single" w:sz="4" w:space="0" w:color="auto"/>
              <w:right w:val="nil"/>
            </w:tcBorders>
            <w:shd w:val="clear" w:color="auto" w:fill="00747A" w:themeFill="background2"/>
          </w:tcPr>
          <w:p w14:paraId="574AF4B2" w14:textId="5BCB57E6" w:rsidR="00912039" w:rsidRDefault="00912039" w:rsidP="004032CF">
            <w:pPr>
              <w:pStyle w:val="APVMATableHeadRight"/>
            </w:pPr>
          </w:p>
        </w:tc>
      </w:tr>
      <w:tr w:rsidR="00912039" w14:paraId="242DB453" w14:textId="77777777" w:rsidTr="004032CF">
        <w:trPr>
          <w:cantSplit/>
        </w:trPr>
        <w:tc>
          <w:tcPr>
            <w:tcW w:w="1613" w:type="pct"/>
            <w:tcBorders>
              <w:top w:val="single" w:sz="4" w:space="0" w:color="auto"/>
              <w:left w:val="nil"/>
              <w:bottom w:val="single" w:sz="4" w:space="0" w:color="auto"/>
              <w:right w:val="nil"/>
            </w:tcBorders>
          </w:tcPr>
          <w:p w14:paraId="416073EB" w14:textId="77777777" w:rsidR="00912039" w:rsidRDefault="00912039" w:rsidP="004032CF">
            <w:pPr>
              <w:pStyle w:val="MRLActiveName"/>
            </w:pPr>
            <w:r>
              <w:t>Tiafenacil</w:t>
            </w:r>
          </w:p>
        </w:tc>
        <w:tc>
          <w:tcPr>
            <w:tcW w:w="2392" w:type="pct"/>
            <w:tcBorders>
              <w:top w:val="single" w:sz="4" w:space="0" w:color="auto"/>
              <w:left w:val="nil"/>
              <w:bottom w:val="single" w:sz="4" w:space="0" w:color="auto"/>
              <w:right w:val="nil"/>
            </w:tcBorders>
          </w:tcPr>
          <w:p w14:paraId="497EAA08" w14:textId="77777777" w:rsidR="00912039" w:rsidRDefault="00912039" w:rsidP="00912039">
            <w:pPr>
              <w:pStyle w:val="APVMATableText"/>
            </w:pPr>
            <w:r w:rsidRPr="00912039">
              <w:rPr>
                <w:i/>
                <w:iCs/>
              </w:rPr>
              <w:t>Commodities of plant origin for enforcement</w:t>
            </w:r>
            <w:r>
              <w:t>: Tiafenacil</w:t>
            </w:r>
          </w:p>
          <w:p w14:paraId="1B4DDA5D" w14:textId="77777777" w:rsidR="00912039" w:rsidRDefault="00912039" w:rsidP="00912039">
            <w:pPr>
              <w:pStyle w:val="APVMATableText"/>
            </w:pPr>
            <w:r w:rsidRPr="00912039">
              <w:rPr>
                <w:i/>
                <w:iCs/>
              </w:rPr>
              <w:t>Commodities of plant origin for dietary exposure assessment</w:t>
            </w:r>
            <w:r>
              <w:t>:</w:t>
            </w:r>
          </w:p>
          <w:p w14:paraId="77B200E3" w14:textId="154ABD6D" w:rsidR="00912039" w:rsidRDefault="00912039" w:rsidP="00912039">
            <w:pPr>
              <w:pStyle w:val="APVMATableText"/>
            </w:pPr>
            <w:r>
              <w:t>sum of tiafenacil, 2-(2-chloro-4-fluoro-5-(3-methyl-2,6-dioxo-4 (trifluoromethyl)-2,3-dihydropyrimidin-1(6H)-yl)phenylsulfinyl)propanoic acid (M-36), 2-((2-chloro-4-fluoro-5-(3-methyl-2,6-dioxo-4-(trifluoromethyl)tetrahydropyrimidin-1(2H)-yl)phenyl)sulfinyl)propanoic acid (M-53) and 2-((2-chloro-5-(2,6-dioxo-4-(trifluoromethyl)-2,3-dihydropyrimidin-1(6H)-yl)-4-fluorophenyl)sulfinyl)propanoic acid (M-56), expressed as tiafenacil</w:t>
            </w:r>
          </w:p>
          <w:p w14:paraId="2C4BC2EF" w14:textId="02D90CC3" w:rsidR="00912039" w:rsidRDefault="00912039" w:rsidP="00912039">
            <w:pPr>
              <w:pStyle w:val="APVMATableText"/>
            </w:pPr>
            <w:r w:rsidRPr="00912039">
              <w:rPr>
                <w:i/>
                <w:iCs/>
              </w:rPr>
              <w:t>Commodities of animal origin</w:t>
            </w:r>
            <w:r>
              <w:t>: Sum of tiafenacil and 3-2-(2-chloro-4-fluoro-5-(3-methyl-2,6-dioxo-4-(trifluoromethyl)-2,3-dihydropyrimidin-1(6H)-yl)phenylthio)propanamido)propanoic acid (M-01), expressed as tiafenacil</w:t>
            </w:r>
          </w:p>
        </w:tc>
        <w:tc>
          <w:tcPr>
            <w:tcW w:w="995" w:type="pct"/>
            <w:tcBorders>
              <w:top w:val="single" w:sz="4" w:space="0" w:color="auto"/>
              <w:left w:val="nil"/>
              <w:bottom w:val="single" w:sz="4" w:space="0" w:color="auto"/>
              <w:right w:val="nil"/>
            </w:tcBorders>
          </w:tcPr>
          <w:p w14:paraId="71820604" w14:textId="77777777" w:rsidR="00912039" w:rsidRPr="005275BE" w:rsidRDefault="00912039" w:rsidP="004032CF">
            <w:pPr>
              <w:pStyle w:val="APVMATableTextRight"/>
            </w:pPr>
          </w:p>
        </w:tc>
      </w:tr>
    </w:tbl>
    <w:p w14:paraId="2922BB75" w14:textId="2B7A88E9" w:rsidR="00912039" w:rsidRPr="005275BE" w:rsidRDefault="00912039" w:rsidP="00912039">
      <w:pPr>
        <w:pStyle w:val="Caption"/>
      </w:pPr>
      <w:bookmarkStart w:id="72" w:name="_Toc208397040"/>
      <w:r w:rsidRPr="005275BE">
        <w:lastRenderedPageBreak/>
        <w:t xml:space="preserve">Table </w:t>
      </w:r>
      <w:r w:rsidR="005B1363" w:rsidRPr="006B6367">
        <w:fldChar w:fldCharType="begin"/>
      </w:r>
      <w:r w:rsidR="005B1363" w:rsidRPr="006B6367">
        <w:instrText xml:space="preserve"> SEQ Table \* ARABIC </w:instrText>
      </w:r>
      <w:r w:rsidR="005B1363" w:rsidRPr="006B6367">
        <w:fldChar w:fldCharType="separate"/>
      </w:r>
      <w:r w:rsidR="004E7885">
        <w:rPr>
          <w:noProof/>
        </w:rPr>
        <w:t>9</w:t>
      </w:r>
      <w:r w:rsidR="005B1363" w:rsidRPr="006B6367">
        <w:fldChar w:fldCharType="end"/>
      </w:r>
      <w:r w:rsidRPr="005275BE">
        <w:t>:</w:t>
      </w:r>
      <w:r w:rsidRPr="005275BE">
        <w:tab/>
        <w:t xml:space="preserve">Proposed </w:t>
      </w:r>
      <w:r>
        <w:t xml:space="preserve">residue definition – </w:t>
      </w:r>
      <w:r w:rsidRPr="005275BE">
        <w:t xml:space="preserve">Table </w:t>
      </w:r>
      <w:r>
        <w:t>3</w:t>
      </w:r>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61"/>
        <w:gridCol w:w="4459"/>
        <w:gridCol w:w="1918"/>
      </w:tblGrid>
      <w:tr w:rsidR="00CB79E9" w14:paraId="4E4CA9F2" w14:textId="77777777" w:rsidTr="00A66DC6">
        <w:trPr>
          <w:cantSplit/>
          <w:tblHeader/>
        </w:trPr>
        <w:tc>
          <w:tcPr>
            <w:tcW w:w="1692" w:type="pct"/>
            <w:tcBorders>
              <w:top w:val="single" w:sz="4" w:space="0" w:color="auto"/>
              <w:left w:val="nil"/>
              <w:bottom w:val="single" w:sz="4" w:space="0" w:color="auto"/>
              <w:right w:val="nil"/>
            </w:tcBorders>
            <w:shd w:val="clear" w:color="auto" w:fill="00747A" w:themeFill="background2"/>
          </w:tcPr>
          <w:p w14:paraId="754950C8" w14:textId="77777777" w:rsidR="00CB79E9" w:rsidRDefault="00CB79E9" w:rsidP="004032CF">
            <w:pPr>
              <w:pStyle w:val="APVMATableHead"/>
            </w:pPr>
            <w:r>
              <w:t>Compound</w:t>
            </w:r>
          </w:p>
        </w:tc>
        <w:tc>
          <w:tcPr>
            <w:tcW w:w="2313" w:type="pct"/>
            <w:tcBorders>
              <w:top w:val="single" w:sz="4" w:space="0" w:color="auto"/>
              <w:left w:val="nil"/>
              <w:bottom w:val="single" w:sz="4" w:space="0" w:color="auto"/>
              <w:right w:val="nil"/>
            </w:tcBorders>
            <w:shd w:val="clear" w:color="auto" w:fill="00747A" w:themeFill="background2"/>
          </w:tcPr>
          <w:p w14:paraId="18ACEE69" w14:textId="2A53AE9A" w:rsidR="00CB79E9" w:rsidRDefault="00A66DC6" w:rsidP="004032CF">
            <w:pPr>
              <w:pStyle w:val="APVMATableHead"/>
            </w:pPr>
            <w:r>
              <w:t>Residue</w:t>
            </w:r>
          </w:p>
        </w:tc>
        <w:tc>
          <w:tcPr>
            <w:tcW w:w="995" w:type="pct"/>
            <w:tcBorders>
              <w:top w:val="single" w:sz="4" w:space="0" w:color="auto"/>
              <w:left w:val="nil"/>
              <w:bottom w:val="single" w:sz="4" w:space="0" w:color="auto"/>
              <w:right w:val="nil"/>
            </w:tcBorders>
            <w:shd w:val="clear" w:color="auto" w:fill="00747A" w:themeFill="background2"/>
          </w:tcPr>
          <w:p w14:paraId="3D42FF65" w14:textId="77C15E81" w:rsidR="00CB79E9" w:rsidRDefault="00CB79E9" w:rsidP="004032CF">
            <w:pPr>
              <w:pStyle w:val="APVMATableHeadRight"/>
            </w:pPr>
          </w:p>
        </w:tc>
      </w:tr>
      <w:tr w:rsidR="00CB79E9" w14:paraId="6F673518" w14:textId="77777777" w:rsidTr="00A66DC6">
        <w:trPr>
          <w:cantSplit/>
        </w:trPr>
        <w:tc>
          <w:tcPr>
            <w:tcW w:w="1692" w:type="pct"/>
            <w:tcBorders>
              <w:top w:val="single" w:sz="4" w:space="0" w:color="auto"/>
              <w:left w:val="nil"/>
              <w:bottom w:val="single" w:sz="4" w:space="0" w:color="auto"/>
              <w:right w:val="nil"/>
            </w:tcBorders>
          </w:tcPr>
          <w:p w14:paraId="6E208419" w14:textId="77777777" w:rsidR="00CB79E9" w:rsidRDefault="00CB79E9" w:rsidP="004032CF">
            <w:pPr>
              <w:pStyle w:val="MRLActiveName"/>
            </w:pPr>
            <w:r>
              <w:t>Tiafenacil</w:t>
            </w:r>
          </w:p>
        </w:tc>
        <w:tc>
          <w:tcPr>
            <w:tcW w:w="2313" w:type="pct"/>
            <w:tcBorders>
              <w:top w:val="single" w:sz="4" w:space="0" w:color="auto"/>
              <w:left w:val="nil"/>
              <w:bottom w:val="single" w:sz="4" w:space="0" w:color="auto"/>
              <w:right w:val="nil"/>
            </w:tcBorders>
          </w:tcPr>
          <w:p w14:paraId="7078B574" w14:textId="77777777" w:rsidR="00CB79E9" w:rsidRDefault="00CB79E9" w:rsidP="004032CF">
            <w:pPr>
              <w:pStyle w:val="APVMATableText"/>
            </w:pPr>
          </w:p>
        </w:tc>
        <w:tc>
          <w:tcPr>
            <w:tcW w:w="995" w:type="pct"/>
            <w:tcBorders>
              <w:top w:val="single" w:sz="4" w:space="0" w:color="auto"/>
              <w:left w:val="nil"/>
              <w:bottom w:val="single" w:sz="4" w:space="0" w:color="auto"/>
              <w:right w:val="nil"/>
            </w:tcBorders>
          </w:tcPr>
          <w:p w14:paraId="61D62570" w14:textId="77777777" w:rsidR="00CB79E9" w:rsidRPr="005275BE" w:rsidRDefault="00CB79E9" w:rsidP="004032CF">
            <w:pPr>
              <w:pStyle w:val="APVMATableTextRight"/>
            </w:pPr>
          </w:p>
        </w:tc>
      </w:tr>
      <w:tr w:rsidR="00CB79E9" w14:paraId="5EBC4A01" w14:textId="77777777" w:rsidTr="00A66DC6">
        <w:trPr>
          <w:cantSplit/>
        </w:trPr>
        <w:tc>
          <w:tcPr>
            <w:tcW w:w="1692" w:type="pct"/>
            <w:tcBorders>
              <w:top w:val="single" w:sz="4" w:space="0" w:color="auto"/>
              <w:left w:val="nil"/>
              <w:bottom w:val="single" w:sz="4" w:space="0" w:color="auto"/>
              <w:right w:val="nil"/>
            </w:tcBorders>
          </w:tcPr>
          <w:p w14:paraId="656CB9C6" w14:textId="77777777" w:rsidR="00CB79E9" w:rsidRDefault="00CB79E9" w:rsidP="004032CF">
            <w:pPr>
              <w:pStyle w:val="APVMATableText"/>
            </w:pPr>
            <w:r>
              <w:t>Delete:</w:t>
            </w:r>
          </w:p>
        </w:tc>
        <w:tc>
          <w:tcPr>
            <w:tcW w:w="2313" w:type="pct"/>
            <w:tcBorders>
              <w:top w:val="single" w:sz="4" w:space="0" w:color="auto"/>
              <w:left w:val="nil"/>
              <w:bottom w:val="single" w:sz="4" w:space="0" w:color="auto"/>
              <w:right w:val="nil"/>
            </w:tcBorders>
          </w:tcPr>
          <w:p w14:paraId="171FDC0A" w14:textId="77777777" w:rsidR="00CB79E9" w:rsidRDefault="00CB79E9" w:rsidP="004032CF">
            <w:pPr>
              <w:pStyle w:val="APVMATableText"/>
            </w:pPr>
          </w:p>
        </w:tc>
        <w:tc>
          <w:tcPr>
            <w:tcW w:w="995" w:type="pct"/>
            <w:tcBorders>
              <w:top w:val="single" w:sz="4" w:space="0" w:color="auto"/>
              <w:left w:val="nil"/>
              <w:bottom w:val="single" w:sz="4" w:space="0" w:color="auto"/>
              <w:right w:val="nil"/>
            </w:tcBorders>
          </w:tcPr>
          <w:p w14:paraId="3C492FD1" w14:textId="77777777" w:rsidR="00CB79E9" w:rsidRPr="005275BE" w:rsidRDefault="00CB79E9" w:rsidP="004032CF">
            <w:pPr>
              <w:pStyle w:val="APVMATableTextRight"/>
            </w:pPr>
          </w:p>
        </w:tc>
      </w:tr>
      <w:tr w:rsidR="00CB79E9" w14:paraId="32057A02" w14:textId="77777777" w:rsidTr="00A66DC6">
        <w:trPr>
          <w:cantSplit/>
        </w:trPr>
        <w:tc>
          <w:tcPr>
            <w:tcW w:w="1692" w:type="pct"/>
            <w:tcBorders>
              <w:top w:val="single" w:sz="4" w:space="0" w:color="auto"/>
              <w:left w:val="nil"/>
              <w:bottom w:val="single" w:sz="4" w:space="0" w:color="auto"/>
              <w:right w:val="nil"/>
            </w:tcBorders>
          </w:tcPr>
          <w:p w14:paraId="786FE379" w14:textId="77777777" w:rsidR="00CB79E9" w:rsidRDefault="00CB79E9" w:rsidP="004032CF">
            <w:pPr>
              <w:pStyle w:val="APVMATableText"/>
            </w:pPr>
          </w:p>
        </w:tc>
        <w:tc>
          <w:tcPr>
            <w:tcW w:w="2313" w:type="pct"/>
            <w:tcBorders>
              <w:top w:val="single" w:sz="4" w:space="0" w:color="auto"/>
              <w:left w:val="nil"/>
              <w:bottom w:val="single" w:sz="4" w:space="0" w:color="auto"/>
              <w:right w:val="nil"/>
            </w:tcBorders>
          </w:tcPr>
          <w:p w14:paraId="24534A00" w14:textId="77777777" w:rsidR="00A66DC6" w:rsidRDefault="00A66DC6" w:rsidP="00A66DC6">
            <w:pPr>
              <w:pStyle w:val="APVMATableText"/>
            </w:pPr>
            <w:r w:rsidRPr="00D172E5">
              <w:rPr>
                <w:i/>
                <w:iCs/>
              </w:rPr>
              <w:t>Commodities of plant origin for enforcement</w:t>
            </w:r>
            <w:r>
              <w:t>: Tiafenacil</w:t>
            </w:r>
          </w:p>
          <w:p w14:paraId="0D54B877" w14:textId="5C50DD09" w:rsidR="00A66DC6" w:rsidRDefault="00A66DC6" w:rsidP="00A66DC6">
            <w:pPr>
              <w:pStyle w:val="APVMATableText"/>
            </w:pPr>
            <w:r w:rsidRPr="00D172E5">
              <w:rPr>
                <w:i/>
                <w:iCs/>
              </w:rPr>
              <w:t>Commodities of plant origin for dietary exposure assessment</w:t>
            </w:r>
            <w:r>
              <w:t>: sum of tiafenacil, 2-(2-chloro-4-fluoro-5-(3-methyl-2,6-dioxo-4 (trifluoromethyl)-2,3-dihydropyrimidin-1(6H)-yl)phenylsulfinyl)propanoic acid (M-36), 2-((2-chloro-4-fluoro-5-(3-methyl-2,6-dioxo-4-(trifluoromethyl)tetrahydropyrimidin-1(2H)-yl)phenyl)sulfinyl)propanoic acid (M-53) and 2-((2-chloro-5-(2,6-dioxo-4-(trifluoromethyl)-2,3</w:t>
            </w:r>
            <w:r w:rsidR="00D172E5">
              <w:t xml:space="preserve"> </w:t>
            </w:r>
            <w:r>
              <w:t>dihydropyrimidin-1(6H)-yl)-4-fluorophenyl)sulfinyl)propanoic acid (M-56), expressed as tiafenacil</w:t>
            </w:r>
          </w:p>
          <w:p w14:paraId="7776945C" w14:textId="06356C79" w:rsidR="00CB79E9" w:rsidRDefault="00A66DC6" w:rsidP="00A66DC6">
            <w:pPr>
              <w:pStyle w:val="APVMATableText"/>
            </w:pPr>
            <w:r w:rsidRPr="00D172E5">
              <w:rPr>
                <w:i/>
                <w:iCs/>
              </w:rPr>
              <w:t>Commodities of animal origin</w:t>
            </w:r>
            <w:r>
              <w:t>: Sum of tiafenacil and 3-(2-(2-chloro-4-fluoro-5-(3-methyl-2,6-dioxo-4-(trifluoromethyl)-2,3-dihydropyrimidin-1(6H)-yl) phenylthio)propanamido)propanoic acid (M-01), expressed as tiafenacil</w:t>
            </w:r>
          </w:p>
        </w:tc>
        <w:tc>
          <w:tcPr>
            <w:tcW w:w="995" w:type="pct"/>
            <w:tcBorders>
              <w:top w:val="single" w:sz="4" w:space="0" w:color="auto"/>
              <w:left w:val="nil"/>
              <w:bottom w:val="single" w:sz="4" w:space="0" w:color="auto"/>
              <w:right w:val="nil"/>
            </w:tcBorders>
          </w:tcPr>
          <w:p w14:paraId="1B2693EC" w14:textId="4A8F1D1F" w:rsidR="00CB79E9" w:rsidRPr="005275BE" w:rsidRDefault="00CB79E9" w:rsidP="004032CF">
            <w:pPr>
              <w:pStyle w:val="APVMATableTextRight"/>
            </w:pPr>
          </w:p>
        </w:tc>
      </w:tr>
      <w:tr w:rsidR="00CB79E9" w14:paraId="7AFD5DA3" w14:textId="77777777" w:rsidTr="00A66DC6">
        <w:trPr>
          <w:cantSplit/>
        </w:trPr>
        <w:tc>
          <w:tcPr>
            <w:tcW w:w="1692" w:type="pct"/>
            <w:tcBorders>
              <w:top w:val="single" w:sz="4" w:space="0" w:color="auto"/>
              <w:left w:val="nil"/>
              <w:bottom w:val="single" w:sz="4" w:space="0" w:color="auto"/>
              <w:right w:val="nil"/>
            </w:tcBorders>
            <w:vAlign w:val="bottom"/>
          </w:tcPr>
          <w:p w14:paraId="17267E30" w14:textId="77777777" w:rsidR="00CB79E9" w:rsidRPr="004A426C" w:rsidRDefault="00CB79E9" w:rsidP="004032CF">
            <w:pPr>
              <w:pStyle w:val="APVMATableText"/>
              <w:rPr>
                <w:rFonts w:eastAsia="Calibri"/>
                <w:color w:val="000000"/>
                <w:szCs w:val="17"/>
              </w:rPr>
            </w:pPr>
            <w:r>
              <w:rPr>
                <w:rFonts w:eastAsia="Calibri"/>
                <w:color w:val="000000"/>
                <w:szCs w:val="17"/>
              </w:rPr>
              <w:t>Add:</w:t>
            </w:r>
          </w:p>
        </w:tc>
        <w:tc>
          <w:tcPr>
            <w:tcW w:w="2313" w:type="pct"/>
            <w:tcBorders>
              <w:top w:val="single" w:sz="4" w:space="0" w:color="auto"/>
              <w:left w:val="nil"/>
              <w:bottom w:val="single" w:sz="4" w:space="0" w:color="auto"/>
              <w:right w:val="nil"/>
            </w:tcBorders>
            <w:vAlign w:val="bottom"/>
          </w:tcPr>
          <w:p w14:paraId="3AC3BAA6" w14:textId="77777777" w:rsidR="00CB79E9" w:rsidRPr="004A426C" w:rsidRDefault="00CB79E9" w:rsidP="004032CF">
            <w:pPr>
              <w:pStyle w:val="APVMATableText"/>
              <w:rPr>
                <w:rFonts w:eastAsia="Calibri"/>
                <w:color w:val="000000"/>
                <w:szCs w:val="17"/>
              </w:rPr>
            </w:pPr>
          </w:p>
        </w:tc>
        <w:tc>
          <w:tcPr>
            <w:tcW w:w="995" w:type="pct"/>
            <w:tcBorders>
              <w:top w:val="single" w:sz="4" w:space="0" w:color="auto"/>
              <w:left w:val="nil"/>
              <w:bottom w:val="single" w:sz="4" w:space="0" w:color="auto"/>
              <w:right w:val="nil"/>
            </w:tcBorders>
            <w:vAlign w:val="bottom"/>
          </w:tcPr>
          <w:p w14:paraId="01DC4986" w14:textId="77777777" w:rsidR="00CB79E9" w:rsidRPr="005275BE" w:rsidRDefault="00CB79E9" w:rsidP="004032CF">
            <w:pPr>
              <w:pStyle w:val="APVMATableTextRight"/>
              <w:rPr>
                <w:rFonts w:eastAsia="Calibri"/>
              </w:rPr>
            </w:pPr>
          </w:p>
        </w:tc>
      </w:tr>
      <w:tr w:rsidR="00CB79E9" w14:paraId="4B1BDFDB" w14:textId="77777777" w:rsidTr="00A66DC6">
        <w:trPr>
          <w:cantSplit/>
        </w:trPr>
        <w:tc>
          <w:tcPr>
            <w:tcW w:w="1692" w:type="pct"/>
            <w:tcBorders>
              <w:top w:val="single" w:sz="4" w:space="0" w:color="auto"/>
              <w:left w:val="nil"/>
              <w:bottom w:val="single" w:sz="4" w:space="0" w:color="auto"/>
              <w:right w:val="nil"/>
            </w:tcBorders>
            <w:vAlign w:val="bottom"/>
          </w:tcPr>
          <w:p w14:paraId="64FE2CC0" w14:textId="77777777" w:rsidR="00CB79E9" w:rsidRPr="00CC3384" w:rsidRDefault="00CB79E9" w:rsidP="004032CF">
            <w:pPr>
              <w:pStyle w:val="APVMATableText"/>
              <w:rPr>
                <w:rFonts w:eastAsia="Calibri"/>
                <w:color w:val="000000"/>
                <w:szCs w:val="17"/>
              </w:rPr>
            </w:pPr>
          </w:p>
        </w:tc>
        <w:tc>
          <w:tcPr>
            <w:tcW w:w="2313" w:type="pct"/>
            <w:tcBorders>
              <w:top w:val="single" w:sz="4" w:space="0" w:color="auto"/>
              <w:left w:val="nil"/>
              <w:bottom w:val="single" w:sz="4" w:space="0" w:color="auto"/>
              <w:right w:val="nil"/>
            </w:tcBorders>
            <w:vAlign w:val="bottom"/>
          </w:tcPr>
          <w:p w14:paraId="752F9C4E" w14:textId="77777777" w:rsidR="00D172E5" w:rsidRPr="00D172E5" w:rsidRDefault="00D172E5" w:rsidP="00D172E5">
            <w:pPr>
              <w:pStyle w:val="APVMATableText"/>
              <w:rPr>
                <w:rFonts w:eastAsia="Calibri"/>
                <w:szCs w:val="17"/>
              </w:rPr>
            </w:pPr>
            <w:r w:rsidRPr="00D172E5">
              <w:rPr>
                <w:rFonts w:eastAsia="Calibri"/>
                <w:i/>
                <w:iCs/>
                <w:szCs w:val="17"/>
              </w:rPr>
              <w:t>Commodities of plant origin for enforcement</w:t>
            </w:r>
            <w:r w:rsidRPr="00D172E5">
              <w:rPr>
                <w:rFonts w:eastAsia="Calibri"/>
                <w:szCs w:val="17"/>
              </w:rPr>
              <w:t>: Tiafenacil</w:t>
            </w:r>
          </w:p>
          <w:p w14:paraId="3E8C62AF" w14:textId="77777777" w:rsidR="00D172E5" w:rsidRPr="00D172E5" w:rsidRDefault="00D172E5" w:rsidP="00D172E5">
            <w:pPr>
              <w:pStyle w:val="APVMATableText"/>
              <w:rPr>
                <w:rFonts w:eastAsia="Calibri"/>
                <w:szCs w:val="17"/>
              </w:rPr>
            </w:pPr>
            <w:r w:rsidRPr="00D172E5">
              <w:rPr>
                <w:rFonts w:eastAsia="Calibri"/>
                <w:i/>
                <w:iCs/>
                <w:szCs w:val="17"/>
              </w:rPr>
              <w:t>Commodities of plant origin for dietary exposure assessment</w:t>
            </w:r>
            <w:r w:rsidRPr="00D172E5">
              <w:rPr>
                <w:rFonts w:eastAsia="Calibri"/>
                <w:szCs w:val="17"/>
              </w:rPr>
              <w:t>: sum of tiafenacil, 3-(2-(2-chloro-4-fluoro-5-(3-methyl-2,6-dioxo-4-(trifluoromethyl)-2,3-dihydropyrimidin-1(6H)-yl)phenylthio)propanamido)propanoic acid (M-01) and methyl 3-(2-(2-chloro-4-fluoro-5-(3-methyl-2,6-dioxo-4-(trifluoromethyl)-2,3-dihydropyrimidin-1(6H)-yl)-phenylsulfinyl)propanamido)propanoate (M-10), expressed as tiafenacil</w:t>
            </w:r>
          </w:p>
          <w:p w14:paraId="0607C04F" w14:textId="2AB2A147" w:rsidR="00CB79E9" w:rsidRPr="00CC3384" w:rsidRDefault="00D172E5" w:rsidP="00D172E5">
            <w:pPr>
              <w:pStyle w:val="APVMATableText"/>
              <w:rPr>
                <w:rFonts w:eastAsia="Calibri"/>
                <w:color w:val="000000"/>
                <w:szCs w:val="17"/>
              </w:rPr>
            </w:pPr>
            <w:r w:rsidRPr="00D172E5">
              <w:rPr>
                <w:rFonts w:eastAsia="Calibri"/>
                <w:i/>
                <w:iCs/>
                <w:szCs w:val="17"/>
              </w:rPr>
              <w:t>Commodities of animal origin</w:t>
            </w:r>
            <w:r w:rsidRPr="00D172E5">
              <w:rPr>
                <w:rFonts w:eastAsia="Calibri"/>
                <w:szCs w:val="17"/>
              </w:rPr>
              <w:t>: Sum of tiafenacil and 3-(2-(2-chloro-4-fluoro-5-(3-methyl-2,6-dioxo-4-(trifluoromethyl)-2,3-dihydropyrimidin-1(6H)-yl) phenylthio)propanamido)propanoic acid (M-01), expressed as tiafenacil</w:t>
            </w:r>
          </w:p>
        </w:tc>
        <w:tc>
          <w:tcPr>
            <w:tcW w:w="995" w:type="pct"/>
            <w:tcBorders>
              <w:top w:val="single" w:sz="4" w:space="0" w:color="auto"/>
              <w:left w:val="nil"/>
              <w:bottom w:val="single" w:sz="4" w:space="0" w:color="auto"/>
              <w:right w:val="nil"/>
            </w:tcBorders>
          </w:tcPr>
          <w:p w14:paraId="72694228" w14:textId="7B671D10" w:rsidR="00CB79E9" w:rsidRPr="005275BE" w:rsidRDefault="00CB79E9" w:rsidP="004032CF">
            <w:pPr>
              <w:pStyle w:val="APVMATableTextRight"/>
              <w:rPr>
                <w:rFonts w:eastAsia="Calibri"/>
              </w:rPr>
            </w:pPr>
          </w:p>
        </w:tc>
      </w:tr>
    </w:tbl>
    <w:p w14:paraId="0A822FD9" w14:textId="77777777" w:rsidR="005B1363" w:rsidRDefault="005B1363" w:rsidP="005B1363">
      <w:pPr>
        <w:pStyle w:val="APVMAText"/>
      </w:pPr>
      <w:r>
        <w:br w:type="page"/>
      </w:r>
    </w:p>
    <w:p w14:paraId="4C275ECB" w14:textId="415239DA" w:rsidR="006D36C8" w:rsidRPr="004E13E3" w:rsidRDefault="006D36C8" w:rsidP="004E13E3">
      <w:pPr>
        <w:pStyle w:val="Heading2"/>
      </w:pPr>
      <w:bookmarkStart w:id="73" w:name="_Toc208397027"/>
      <w:r w:rsidRPr="004E13E3">
        <w:lastRenderedPageBreak/>
        <w:t>Potential risk to trade</w:t>
      </w:r>
      <w:bookmarkEnd w:id="55"/>
      <w:bookmarkEnd w:id="56"/>
      <w:bookmarkEnd w:id="73"/>
    </w:p>
    <w:p w14:paraId="3BA11956" w14:textId="5869F40C" w:rsidR="00223A0C" w:rsidRPr="004E13E3" w:rsidRDefault="00152CB4" w:rsidP="004E13E3">
      <w:pPr>
        <w:pStyle w:val="APVMAText"/>
      </w:pPr>
      <w:r w:rsidRPr="004E13E3">
        <w:t>Export of treated produce containing finite (measurable) residues of tiafenacil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10A6E066" w14:textId="3924D4BC" w:rsidR="004050E3" w:rsidRDefault="004050E3" w:rsidP="004E13E3">
      <w:pPr>
        <w:pStyle w:val="Heading3"/>
      </w:pPr>
      <w:bookmarkStart w:id="74" w:name="_Toc208397028"/>
      <w:r>
        <w:t>Wheat grain</w:t>
      </w:r>
      <w:bookmarkEnd w:id="74"/>
    </w:p>
    <w:p w14:paraId="68737C13" w14:textId="55694B37" w:rsidR="00352342" w:rsidRPr="004050E3" w:rsidRDefault="004050E3" w:rsidP="004E13E3">
      <w:pPr>
        <w:pStyle w:val="APVMAText"/>
      </w:pPr>
      <w:r>
        <w:t xml:space="preserve">It is noted that no Codex, EU, Japan, Taiwan and China MRLs for tiafenacil are currently established. </w:t>
      </w:r>
      <w:r w:rsidRPr="00225371">
        <w:t>Tiafenacil MRLs are currently established in Korea but not for wheat</w:t>
      </w:r>
      <w:r>
        <w:t>. However, detectable residues are not expected to occur in wheat grain from the proposed use.</w:t>
      </w:r>
      <w:r w:rsidR="00BC238C">
        <w:t xml:space="preserve"> The risk to trade in wheat grain should be low.</w:t>
      </w:r>
    </w:p>
    <w:p w14:paraId="3BEBE048" w14:textId="77777777" w:rsidR="00152CB4" w:rsidRPr="00152CB4" w:rsidRDefault="00152CB4" w:rsidP="004E13E3">
      <w:pPr>
        <w:pStyle w:val="Heading3"/>
      </w:pPr>
      <w:bookmarkStart w:id="75" w:name="_Toc208397029"/>
      <w:r w:rsidRPr="00152CB4">
        <w:t>Wheat forage, Wheat straw and fodder, dry</w:t>
      </w:r>
      <w:bookmarkEnd w:id="75"/>
    </w:p>
    <w:p w14:paraId="6307FF6C" w14:textId="54C062A8" w:rsidR="00152CB4" w:rsidRDefault="00152CB4" w:rsidP="004E13E3">
      <w:pPr>
        <w:pStyle w:val="APVMAText"/>
      </w:pPr>
      <w:r>
        <w:t>Whilst the proposed tiafenacil MRLs for w</w:t>
      </w:r>
      <w:r w:rsidRPr="00C518D5">
        <w:t>heat forage</w:t>
      </w:r>
      <w:r>
        <w:t xml:space="preserve"> (1.5 mg/kg) and w</w:t>
      </w:r>
      <w:r w:rsidRPr="00C518D5">
        <w:t>heat straw and fodder, dry</w:t>
      </w:r>
      <w:r>
        <w:t xml:space="preserve"> (0.4 mg/kg) is higher than the USA MRLs for wheat, forage (0.05 mg/kg), wheat, hay (0.08 mg/kg) and wheat, straw (0.07 mg/kg), animal feeds derived from wheat are not considered to be major export commodities.</w:t>
      </w:r>
    </w:p>
    <w:p w14:paraId="57B83655" w14:textId="77777777" w:rsidR="00CD1F89" w:rsidRPr="001537DF" w:rsidRDefault="00CD1F89" w:rsidP="004E13E3">
      <w:pPr>
        <w:pStyle w:val="Heading3"/>
      </w:pPr>
      <w:bookmarkStart w:id="76" w:name="_Toc208397030"/>
      <w:r w:rsidRPr="001537DF">
        <w:t>Animal commodities</w:t>
      </w:r>
      <w:bookmarkEnd w:id="76"/>
    </w:p>
    <w:p w14:paraId="0751BEE5" w14:textId="4BF0D266" w:rsidR="00CD1F89" w:rsidRPr="00CD1F89" w:rsidRDefault="00F6188E" w:rsidP="00CD1F89">
      <w:pPr>
        <w:pStyle w:val="APVMAText"/>
        <w:sectPr w:rsidR="00CD1F89" w:rsidRPr="00CD1F89" w:rsidSect="00CD1F89">
          <w:pgSz w:w="11906" w:h="16838" w:code="9"/>
          <w:pgMar w:top="2835" w:right="1134" w:bottom="1134" w:left="1134" w:header="1701" w:footer="680" w:gutter="0"/>
          <w:cols w:space="708"/>
          <w:docGrid w:linePitch="360"/>
        </w:sectPr>
      </w:pPr>
      <w:r w:rsidRPr="00C02B0C">
        <w:t>Grazing of livestock on treated fallow requires a</w:t>
      </w:r>
      <w:r w:rsidR="00C24CB2" w:rsidRPr="00C02B0C">
        <w:t>n increase</w:t>
      </w:r>
      <w:r w:rsidR="00C24CB2">
        <w:t xml:space="preserve"> to the tiafenacil MRL for edible offal (mammalian) to 0.1 mg/kg. The establishment of a tiafenacil MRL of 0.05 mg/kg for meat (mammalian) [in the fat] has </w:t>
      </w:r>
      <w:r>
        <w:t xml:space="preserve">also </w:t>
      </w:r>
      <w:r w:rsidR="00C24CB2">
        <w:t xml:space="preserve">been proposed. However, no tiafenacil MRLs for these animal commodities are established by Codex, EU, Japan, USA, China, Korea and Taiwan. </w:t>
      </w:r>
      <w:r w:rsidR="00C24CB2" w:rsidRPr="001C0177">
        <w:t xml:space="preserve">The </w:t>
      </w:r>
      <w:r w:rsidR="00C24CB2">
        <w:t>proposed</w:t>
      </w:r>
      <w:r w:rsidR="00C24CB2" w:rsidRPr="001C0177">
        <w:t xml:space="preserve"> </w:t>
      </w:r>
      <w:r w:rsidR="00C24CB2">
        <w:t>3</w:t>
      </w:r>
      <w:r w:rsidR="00C24CB2" w:rsidRPr="001C0177">
        <w:t xml:space="preserve"> day ESI should ensure that there are no quantifiable residues of </w:t>
      </w:r>
      <w:r w:rsidR="00C24CB2">
        <w:t>tiafenacil</w:t>
      </w:r>
      <w:r w:rsidR="00C24CB2" w:rsidRPr="001C0177">
        <w:t xml:space="preserve"> animal tissues for export. The risk to trade in these commodities is considered to be low.</w:t>
      </w:r>
    </w:p>
    <w:p w14:paraId="66150D10" w14:textId="664325A4" w:rsidR="002E20AC" w:rsidRPr="004E13E3" w:rsidRDefault="007B1953" w:rsidP="004E13E3">
      <w:pPr>
        <w:pStyle w:val="Heading1"/>
      </w:pPr>
      <w:bookmarkStart w:id="77" w:name="_Toc208397031"/>
      <w:r w:rsidRPr="004E13E3">
        <w:lastRenderedPageBreak/>
        <w:t>C</w:t>
      </w:r>
      <w:r w:rsidR="006D36C8" w:rsidRPr="004E13E3">
        <w:t>onclusion</w:t>
      </w:r>
      <w:bookmarkEnd w:id="77"/>
    </w:p>
    <w:p w14:paraId="1A9C68A4" w14:textId="0863BC91" w:rsidR="009D452E" w:rsidRPr="004E13E3" w:rsidRDefault="00152CB4" w:rsidP="004E13E3">
      <w:pPr>
        <w:pStyle w:val="APVMAText"/>
      </w:pPr>
      <w:r w:rsidRPr="004E13E3">
        <w:t xml:space="preserve">FarmHannong Co., Ltd. </w:t>
      </w:r>
      <w:r w:rsidR="00CD1F89" w:rsidRPr="004E13E3">
        <w:t xml:space="preserve">have made an application to </w:t>
      </w:r>
      <w:r w:rsidRPr="004E13E3">
        <w:t>vary the registration of Terrad'or Herbicide</w:t>
      </w:r>
      <w:r w:rsidR="00CD1F89" w:rsidRPr="004E13E3">
        <w:t xml:space="preserve">, containing </w:t>
      </w:r>
      <w:r w:rsidRPr="004E13E3">
        <w:t>tiafenacil</w:t>
      </w:r>
      <w:r w:rsidR="00CD1F89" w:rsidRPr="004E13E3">
        <w:t xml:space="preserve">, </w:t>
      </w:r>
      <w:r w:rsidRPr="004E13E3">
        <w:t>to add a pre-harvest use on wheat, remove the current grazing restraint for fallow and establish a grazing WHP of 7 days for fallow</w:t>
      </w:r>
      <w:r w:rsidR="00CD1F89" w:rsidRPr="004E13E3">
        <w:t xml:space="preserve">. Comment is sought on the potential for </w:t>
      </w:r>
      <w:r w:rsidRPr="004E13E3">
        <w:t>Terrad'or Herbicide</w:t>
      </w:r>
      <w:r w:rsidR="00CD1F89" w:rsidRPr="004E13E3">
        <w:t xml:space="preserve"> to prejudice Australian trade when used as proposed and the ability of industry to manage potential trade risk.</w:t>
      </w:r>
    </w:p>
    <w:sectPr w:rsidR="009D452E" w:rsidRPr="004E13E3">
      <w:headerReference w:type="default" r:id="rId3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B73D" w14:textId="77777777" w:rsidR="000C0506" w:rsidRDefault="000C0506">
      <w:r>
        <w:separator/>
      </w:r>
    </w:p>
    <w:p w14:paraId="3A2171E2" w14:textId="77777777" w:rsidR="000C0506" w:rsidRDefault="000C0506"/>
    <w:p w14:paraId="301AC9F6" w14:textId="77777777" w:rsidR="000C0506" w:rsidRDefault="000C0506"/>
  </w:endnote>
  <w:endnote w:type="continuationSeparator" w:id="0">
    <w:p w14:paraId="5F7BD1C5" w14:textId="77777777" w:rsidR="000C0506" w:rsidRDefault="000C0506">
      <w:r>
        <w:continuationSeparator/>
      </w:r>
    </w:p>
    <w:p w14:paraId="2C2B59E5" w14:textId="77777777" w:rsidR="000C0506" w:rsidRDefault="000C0506"/>
    <w:p w14:paraId="16246C2D" w14:textId="77777777" w:rsidR="000C0506" w:rsidRDefault="000C0506"/>
  </w:endnote>
  <w:endnote w:type="continuationNotice" w:id="1">
    <w:p w14:paraId="32175E21" w14:textId="77777777" w:rsidR="000C0506" w:rsidRDefault="000C05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98D9" w14:textId="77777777" w:rsidR="000C0506" w:rsidRDefault="000C0506">
      <w:r>
        <w:separator/>
      </w:r>
    </w:p>
  </w:footnote>
  <w:footnote w:type="continuationSeparator" w:id="0">
    <w:p w14:paraId="0FF523D1" w14:textId="77777777" w:rsidR="000C0506" w:rsidRDefault="000C0506">
      <w:pPr>
        <w:spacing w:line="180" w:lineRule="exact"/>
        <w:rPr>
          <w:sz w:val="16"/>
        </w:rPr>
      </w:pPr>
      <w:r>
        <w:rPr>
          <w:sz w:val="16"/>
        </w:rPr>
        <w:continuationSeparator/>
      </w:r>
    </w:p>
    <w:p w14:paraId="4A6BBC1A" w14:textId="77777777" w:rsidR="000C0506" w:rsidRDefault="000C0506"/>
    <w:p w14:paraId="221C0D9C" w14:textId="77777777" w:rsidR="000C0506" w:rsidRDefault="000C0506"/>
  </w:footnote>
  <w:footnote w:type="continuationNotice" w:id="1">
    <w:p w14:paraId="052C20CE" w14:textId="77777777" w:rsidR="000C0506" w:rsidRDefault="000C0506"/>
    <w:p w14:paraId="08F33251" w14:textId="77777777" w:rsidR="000C0506" w:rsidRDefault="000C0506"/>
    <w:p w14:paraId="74DDF8BB" w14:textId="77777777" w:rsidR="000C0506" w:rsidRDefault="000C0506"/>
  </w:footnote>
  <w:footnote w:id="2">
    <w:p w14:paraId="1689A217" w14:textId="06F55646" w:rsidR="004032CF" w:rsidRPr="003F299F" w:rsidRDefault="004032CF">
      <w:pPr>
        <w:pStyle w:val="FootnoteText"/>
      </w:pPr>
      <w:r>
        <w:rPr>
          <w:rStyle w:val="FootnoteReference"/>
        </w:rPr>
        <w:footnoteRef/>
      </w:r>
      <w:r>
        <w:t xml:space="preserve"> </w:t>
      </w:r>
      <w:r w:rsidRPr="003F299F">
        <w:t>Australian Bureau of Agricultural and Resource Economics and Science</w:t>
      </w:r>
      <w:r>
        <w:t xml:space="preserve"> (ABARES). </w:t>
      </w:r>
      <w:hyperlink r:id="rId1" w:anchor="_2023" w:history="1">
        <w:r w:rsidRPr="003F299F">
          <w:rPr>
            <w:rStyle w:val="Hyperlink"/>
            <w:i/>
            <w:iCs/>
          </w:rPr>
          <w:t>Agricultural commodities and trade data</w:t>
        </w:r>
      </w:hyperlink>
      <w:r>
        <w:t>, ABARES website, accessed August 2025.</w:t>
      </w:r>
    </w:p>
  </w:footnote>
  <w:footnote w:id="3">
    <w:p w14:paraId="794A4E98" w14:textId="1366D048" w:rsidR="004032CF" w:rsidRPr="00A96541" w:rsidRDefault="004032CF">
      <w:pPr>
        <w:pStyle w:val="FootnoteText"/>
      </w:pPr>
      <w:r>
        <w:rPr>
          <w:rStyle w:val="FootnoteReference"/>
        </w:rPr>
        <w:footnoteRef/>
      </w:r>
      <w:r>
        <w:t xml:space="preserve"> APVMA Agricultural data guidelines. </w:t>
      </w:r>
      <w:hyperlink r:id="rId2" w:anchor="Major_export_food_commodity_groups" w:history="1">
        <w:r w:rsidRPr="00A96541">
          <w:rPr>
            <w:rStyle w:val="Hyperlink"/>
            <w:i/>
            <w:iCs/>
          </w:rPr>
          <w:t>Pesticides: Overseas trade (Part 5B)</w:t>
        </w:r>
      </w:hyperlink>
      <w:r>
        <w:t>, APVMA website, accessed August 2025.</w:t>
      </w:r>
    </w:p>
  </w:footnote>
  <w:footnote w:id="4">
    <w:p w14:paraId="1E21A439" w14:textId="19B19298" w:rsidR="004032CF" w:rsidRDefault="004032CF" w:rsidP="005654A6">
      <w:pPr>
        <w:pStyle w:val="FootnoteText"/>
      </w:pPr>
      <w:r>
        <w:rPr>
          <w:rStyle w:val="FootnoteReference"/>
        </w:rPr>
        <w:footnoteRef/>
      </w:r>
      <w:r>
        <w:t xml:space="preserve"> The </w:t>
      </w:r>
      <w:r>
        <w:rPr>
          <w:b/>
          <w:bCs/>
        </w:rPr>
        <w:t>B</w:t>
      </w:r>
      <w:r>
        <w:t xml:space="preserve">iologische </w:t>
      </w:r>
      <w:r w:rsidRPr="005654A6">
        <w:rPr>
          <w:b/>
          <w:bCs/>
        </w:rPr>
        <w:t>B</w:t>
      </w:r>
      <w:r>
        <w:t xml:space="preserve">undesanstalt, Bundessortenamt and </w:t>
      </w:r>
      <w:r w:rsidRPr="005654A6">
        <w:rPr>
          <w:b/>
          <w:bCs/>
        </w:rPr>
        <w:t>CH</w:t>
      </w:r>
      <w:r>
        <w:t xml:space="preserve">emical industry (BBCH) scale is a system for a uniform coding of phenologically </w:t>
      </w:r>
      <w:r w:rsidRPr="005654A6">
        <w:t>similar growth stages of all mono- and dicotyledonous plant species.</w:t>
      </w:r>
    </w:p>
  </w:footnote>
  <w:footnote w:id="5">
    <w:p w14:paraId="3C359E71" w14:textId="7CA4E2DC" w:rsidR="004032CF" w:rsidRDefault="004032CF">
      <w:pPr>
        <w:pStyle w:val="FootnoteText"/>
      </w:pPr>
      <w:r>
        <w:rPr>
          <w:rStyle w:val="FootnoteReference"/>
        </w:rPr>
        <w:footnoteRef/>
      </w:r>
      <w:r>
        <w:t xml:space="preserve"> </w:t>
      </w:r>
      <w:hyperlink r:id="rId3" w:history="1">
        <w:r w:rsidRPr="00F00854">
          <w:rPr>
            <w:rStyle w:val="Hyperlink"/>
          </w:rPr>
          <w:t>Agricultural and Veterinary Chemicals Code (MRL Standard for Residues of Chemical Products) Instrument 2023</w:t>
        </w:r>
      </w:hyperlink>
      <w:r>
        <w:t>, accessed August 2025.</w:t>
      </w:r>
    </w:p>
  </w:footnote>
  <w:footnote w:id="6">
    <w:p w14:paraId="2D9E55CE" w14:textId="0D3D5978" w:rsidR="004032CF" w:rsidRPr="00F00854" w:rsidRDefault="004032CF">
      <w:pPr>
        <w:pStyle w:val="FootnoteText"/>
      </w:pPr>
      <w:r>
        <w:rPr>
          <w:rStyle w:val="FootnoteReference"/>
        </w:rPr>
        <w:footnoteRef/>
      </w:r>
      <w:r>
        <w:t xml:space="preserve"> Electronic Code of Federal Regulations, </w:t>
      </w:r>
      <w:hyperlink r:id="rId4" w:history="1">
        <w:r w:rsidRPr="00F00854">
          <w:rPr>
            <w:rStyle w:val="Hyperlink"/>
            <w:i/>
            <w:iCs/>
          </w:rPr>
          <w:t>USA Electronic Code of Federal Regulations</w:t>
        </w:r>
      </w:hyperlink>
      <w:r>
        <w:t>, eCFR website, accessed August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4032CF" w:rsidRDefault="004032CF" w:rsidP="00AB659C">
    <w:pPr>
      <w:pStyle w:val="APVMAOddHeader"/>
    </w:pPr>
    <w:r>
      <w:tab/>
      <w:t>Contents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3BBE732F" w:rsidR="004032CF" w:rsidRDefault="004032CF" w:rsidP="007B1953">
    <w:pPr>
      <w:pStyle w:val="APVMAOddHeader"/>
    </w:pPr>
    <w:r>
      <w:tab/>
    </w:r>
    <w:r w:rsidR="005B1363" w:rsidRPr="005B1363">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613ED8AA" w:rsidR="004032CF" w:rsidRDefault="004032CF"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noProof/>
        <w:szCs w:val="24"/>
      </w:rPr>
      <w:t>1</w:t>
    </w:r>
    <w:r>
      <w:rPr>
        <w:rStyle w:val="PageNumber"/>
        <w:b/>
        <w:caps/>
        <w:szCs w:val="24"/>
      </w:rPr>
      <w:fldChar w:fldCharType="end"/>
    </w:r>
    <w:r>
      <w:tab/>
      <w:t>Trade Advice Notice on the use of tiafenacil on wheat and fallow</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73" w14:textId="09F90DA4" w:rsidR="004032CF" w:rsidRDefault="004032CF" w:rsidP="00FD506D">
    <w:pPr>
      <w:pStyle w:val="APVMAOddHeader"/>
      <w:jc w:val="both"/>
    </w:pPr>
    <w:r>
      <w:tab/>
    </w:r>
    <w:r w:rsidR="005B1363" w:rsidRPr="005B1363">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1469" w14:textId="77777777" w:rsidR="005B1363" w:rsidRDefault="005B1363" w:rsidP="005B1363">
    <w:pPr>
      <w:pStyle w:val="APVMAOddHeader"/>
      <w:jc w:val="right"/>
    </w:pPr>
    <w:r>
      <w:tab/>
    </w:r>
    <w:r w:rsidRPr="005B1363">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4D3E" w14:textId="77777777" w:rsidR="005B1363" w:rsidRDefault="005B1363" w:rsidP="005B136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szCs w:val="24"/>
      </w:rPr>
      <w:t>15</w:t>
    </w:r>
    <w:r>
      <w:rPr>
        <w:rStyle w:val="PageNumber"/>
        <w:b/>
        <w:caps/>
        <w:szCs w:val="24"/>
      </w:rPr>
      <w:fldChar w:fldCharType="end"/>
    </w:r>
    <w:r>
      <w:tab/>
      <w:t>Trade Advice Notice on the use of tiafenacil on wheat and fallow</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104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680"/>
        </w:tabs>
        <w:ind w:left="680" w:hanging="340"/>
      </w:pPr>
      <w:rPr>
        <w:rFonts w:hint="default"/>
        <w:b w:val="0"/>
        <w:i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D394D"/>
    <w:multiLevelType w:val="hybridMultilevel"/>
    <w:tmpl w:val="AD843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F4E5EB3"/>
    <w:multiLevelType w:val="hybridMultilevel"/>
    <w:tmpl w:val="71AAFA10"/>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0"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2014599345">
    <w:abstractNumId w:val="1"/>
  </w:num>
  <w:num w:numId="2" w16cid:durableId="450823675">
    <w:abstractNumId w:val="4"/>
  </w:num>
  <w:num w:numId="3" w16cid:durableId="628127410">
    <w:abstractNumId w:val="5"/>
  </w:num>
  <w:num w:numId="4" w16cid:durableId="755513596">
    <w:abstractNumId w:val="0"/>
  </w:num>
  <w:num w:numId="5" w16cid:durableId="12848325">
    <w:abstractNumId w:val="2"/>
  </w:num>
  <w:num w:numId="6" w16cid:durableId="1671519872">
    <w:abstractNumId w:val="6"/>
  </w:num>
  <w:num w:numId="7" w16cid:durableId="1781800780">
    <w:abstractNumId w:val="8"/>
  </w:num>
  <w:num w:numId="8" w16cid:durableId="1616135243">
    <w:abstractNumId w:val="3"/>
  </w:num>
  <w:num w:numId="9" w16cid:durableId="720447200">
    <w:abstractNumId w:val="10"/>
  </w:num>
  <w:num w:numId="10" w16cid:durableId="923686044">
    <w:abstractNumId w:val="7"/>
  </w:num>
  <w:num w:numId="11" w16cid:durableId="1772623789">
    <w:abstractNumId w:val="9"/>
  </w:num>
  <w:num w:numId="12" w16cid:durableId="1349141063">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0219"/>
    <w:rsid w:val="00021A6A"/>
    <w:rsid w:val="0002662D"/>
    <w:rsid w:val="0002663D"/>
    <w:rsid w:val="00027A80"/>
    <w:rsid w:val="00032787"/>
    <w:rsid w:val="0003329E"/>
    <w:rsid w:val="00051D06"/>
    <w:rsid w:val="00052314"/>
    <w:rsid w:val="0005704C"/>
    <w:rsid w:val="00063B69"/>
    <w:rsid w:val="000642F7"/>
    <w:rsid w:val="00067828"/>
    <w:rsid w:val="000748B1"/>
    <w:rsid w:val="000765C1"/>
    <w:rsid w:val="0008350E"/>
    <w:rsid w:val="00086EE0"/>
    <w:rsid w:val="000931F5"/>
    <w:rsid w:val="00096163"/>
    <w:rsid w:val="000A7EF6"/>
    <w:rsid w:val="000C0100"/>
    <w:rsid w:val="000C0506"/>
    <w:rsid w:val="000C1803"/>
    <w:rsid w:val="000C2C1B"/>
    <w:rsid w:val="000C56C2"/>
    <w:rsid w:val="000C5EB1"/>
    <w:rsid w:val="000D3455"/>
    <w:rsid w:val="000D49ED"/>
    <w:rsid w:val="000F5CE6"/>
    <w:rsid w:val="001004E6"/>
    <w:rsid w:val="00111C2F"/>
    <w:rsid w:val="00116540"/>
    <w:rsid w:val="00120B8D"/>
    <w:rsid w:val="00120E00"/>
    <w:rsid w:val="001230B3"/>
    <w:rsid w:val="00125B8E"/>
    <w:rsid w:val="00131970"/>
    <w:rsid w:val="001466A1"/>
    <w:rsid w:val="00152CB4"/>
    <w:rsid w:val="001534D8"/>
    <w:rsid w:val="00154C15"/>
    <w:rsid w:val="00156769"/>
    <w:rsid w:val="0016652E"/>
    <w:rsid w:val="00167BB3"/>
    <w:rsid w:val="00174E15"/>
    <w:rsid w:val="00175094"/>
    <w:rsid w:val="001803B9"/>
    <w:rsid w:val="00184190"/>
    <w:rsid w:val="00193533"/>
    <w:rsid w:val="001A2D9F"/>
    <w:rsid w:val="001A4B0D"/>
    <w:rsid w:val="001B297F"/>
    <w:rsid w:val="001B335C"/>
    <w:rsid w:val="001B7360"/>
    <w:rsid w:val="001C39CF"/>
    <w:rsid w:val="001C6607"/>
    <w:rsid w:val="001D1E07"/>
    <w:rsid w:val="001D3257"/>
    <w:rsid w:val="001D32CA"/>
    <w:rsid w:val="001D4B98"/>
    <w:rsid w:val="001F0620"/>
    <w:rsid w:val="002014ED"/>
    <w:rsid w:val="00216C49"/>
    <w:rsid w:val="00223A0C"/>
    <w:rsid w:val="0024289A"/>
    <w:rsid w:val="00243279"/>
    <w:rsid w:val="00254121"/>
    <w:rsid w:val="0026493F"/>
    <w:rsid w:val="00273344"/>
    <w:rsid w:val="00275D0C"/>
    <w:rsid w:val="00280720"/>
    <w:rsid w:val="00282A32"/>
    <w:rsid w:val="002A49CB"/>
    <w:rsid w:val="002A69DD"/>
    <w:rsid w:val="002B1938"/>
    <w:rsid w:val="002B4618"/>
    <w:rsid w:val="002B464E"/>
    <w:rsid w:val="002B4794"/>
    <w:rsid w:val="002B5703"/>
    <w:rsid w:val="002C7E26"/>
    <w:rsid w:val="002D689D"/>
    <w:rsid w:val="002D7779"/>
    <w:rsid w:val="002E20AC"/>
    <w:rsid w:val="002E49F4"/>
    <w:rsid w:val="002E5BA8"/>
    <w:rsid w:val="002F4591"/>
    <w:rsid w:val="0030255E"/>
    <w:rsid w:val="0031487D"/>
    <w:rsid w:val="00320013"/>
    <w:rsid w:val="003207F2"/>
    <w:rsid w:val="00327AD5"/>
    <w:rsid w:val="003368E4"/>
    <w:rsid w:val="003473BD"/>
    <w:rsid w:val="00347883"/>
    <w:rsid w:val="003506C5"/>
    <w:rsid w:val="00351B99"/>
    <w:rsid w:val="00352342"/>
    <w:rsid w:val="00364192"/>
    <w:rsid w:val="003677E5"/>
    <w:rsid w:val="003756C0"/>
    <w:rsid w:val="00381544"/>
    <w:rsid w:val="00382B7C"/>
    <w:rsid w:val="00383003"/>
    <w:rsid w:val="00394101"/>
    <w:rsid w:val="003A1BD7"/>
    <w:rsid w:val="003A2363"/>
    <w:rsid w:val="003A558F"/>
    <w:rsid w:val="003B42EA"/>
    <w:rsid w:val="003C0891"/>
    <w:rsid w:val="003C4241"/>
    <w:rsid w:val="003C43A6"/>
    <w:rsid w:val="003D5FB8"/>
    <w:rsid w:val="003E310A"/>
    <w:rsid w:val="003E563F"/>
    <w:rsid w:val="003F299F"/>
    <w:rsid w:val="004032CF"/>
    <w:rsid w:val="00404046"/>
    <w:rsid w:val="004050E3"/>
    <w:rsid w:val="004070E1"/>
    <w:rsid w:val="00407597"/>
    <w:rsid w:val="0041228F"/>
    <w:rsid w:val="00415228"/>
    <w:rsid w:val="004309F3"/>
    <w:rsid w:val="004343DC"/>
    <w:rsid w:val="0043545F"/>
    <w:rsid w:val="00444045"/>
    <w:rsid w:val="00447C87"/>
    <w:rsid w:val="004616C8"/>
    <w:rsid w:val="00461D26"/>
    <w:rsid w:val="00470304"/>
    <w:rsid w:val="00486398"/>
    <w:rsid w:val="00491698"/>
    <w:rsid w:val="00497881"/>
    <w:rsid w:val="004A626A"/>
    <w:rsid w:val="004B293B"/>
    <w:rsid w:val="004B703E"/>
    <w:rsid w:val="004C0640"/>
    <w:rsid w:val="004D2C4F"/>
    <w:rsid w:val="004D3E10"/>
    <w:rsid w:val="004D48AF"/>
    <w:rsid w:val="004D536B"/>
    <w:rsid w:val="004E13E3"/>
    <w:rsid w:val="004E1991"/>
    <w:rsid w:val="004E4CD7"/>
    <w:rsid w:val="004E7885"/>
    <w:rsid w:val="004E7B9E"/>
    <w:rsid w:val="004F66B0"/>
    <w:rsid w:val="005033A8"/>
    <w:rsid w:val="005064D5"/>
    <w:rsid w:val="005148C0"/>
    <w:rsid w:val="00520963"/>
    <w:rsid w:val="00522E27"/>
    <w:rsid w:val="00545A0A"/>
    <w:rsid w:val="005527B9"/>
    <w:rsid w:val="00556804"/>
    <w:rsid w:val="00557933"/>
    <w:rsid w:val="00560E83"/>
    <w:rsid w:val="00563297"/>
    <w:rsid w:val="005645E9"/>
    <w:rsid w:val="005654A6"/>
    <w:rsid w:val="00566590"/>
    <w:rsid w:val="005730BA"/>
    <w:rsid w:val="005735ED"/>
    <w:rsid w:val="00585C51"/>
    <w:rsid w:val="00591702"/>
    <w:rsid w:val="00596F1D"/>
    <w:rsid w:val="005B1363"/>
    <w:rsid w:val="005C312D"/>
    <w:rsid w:val="005C7604"/>
    <w:rsid w:val="005D00D1"/>
    <w:rsid w:val="005D1A47"/>
    <w:rsid w:val="005D4E52"/>
    <w:rsid w:val="005F4701"/>
    <w:rsid w:val="005F7144"/>
    <w:rsid w:val="00606E79"/>
    <w:rsid w:val="006110AE"/>
    <w:rsid w:val="00613010"/>
    <w:rsid w:val="00617A54"/>
    <w:rsid w:val="0062091D"/>
    <w:rsid w:val="00622160"/>
    <w:rsid w:val="0062466B"/>
    <w:rsid w:val="00637AB9"/>
    <w:rsid w:val="00641B1B"/>
    <w:rsid w:val="00643052"/>
    <w:rsid w:val="00644272"/>
    <w:rsid w:val="00657A28"/>
    <w:rsid w:val="0066107B"/>
    <w:rsid w:val="00673F70"/>
    <w:rsid w:val="00695035"/>
    <w:rsid w:val="0069579F"/>
    <w:rsid w:val="00696A51"/>
    <w:rsid w:val="006A788E"/>
    <w:rsid w:val="006B2561"/>
    <w:rsid w:val="006B6367"/>
    <w:rsid w:val="006C08BC"/>
    <w:rsid w:val="006C5533"/>
    <w:rsid w:val="006C5C12"/>
    <w:rsid w:val="006D36C8"/>
    <w:rsid w:val="006D6AF0"/>
    <w:rsid w:val="006E33F7"/>
    <w:rsid w:val="006F04BC"/>
    <w:rsid w:val="00700C27"/>
    <w:rsid w:val="00702B7D"/>
    <w:rsid w:val="00704C88"/>
    <w:rsid w:val="00715F56"/>
    <w:rsid w:val="007275CF"/>
    <w:rsid w:val="00731659"/>
    <w:rsid w:val="00734ED0"/>
    <w:rsid w:val="00735E79"/>
    <w:rsid w:val="007368E2"/>
    <w:rsid w:val="00753ED8"/>
    <w:rsid w:val="007617C2"/>
    <w:rsid w:val="0076457E"/>
    <w:rsid w:val="00770B96"/>
    <w:rsid w:val="00772D8F"/>
    <w:rsid w:val="00776D1B"/>
    <w:rsid w:val="007825B2"/>
    <w:rsid w:val="00790A8E"/>
    <w:rsid w:val="00796086"/>
    <w:rsid w:val="0079772A"/>
    <w:rsid w:val="007A16ED"/>
    <w:rsid w:val="007A33ED"/>
    <w:rsid w:val="007B1953"/>
    <w:rsid w:val="007B2C31"/>
    <w:rsid w:val="007C01B4"/>
    <w:rsid w:val="007C772B"/>
    <w:rsid w:val="007D1633"/>
    <w:rsid w:val="007F0146"/>
    <w:rsid w:val="007F6C64"/>
    <w:rsid w:val="008045E7"/>
    <w:rsid w:val="00814579"/>
    <w:rsid w:val="00832D38"/>
    <w:rsid w:val="008362F6"/>
    <w:rsid w:val="00836556"/>
    <w:rsid w:val="008366A3"/>
    <w:rsid w:val="00844654"/>
    <w:rsid w:val="00847050"/>
    <w:rsid w:val="00854261"/>
    <w:rsid w:val="00860B66"/>
    <w:rsid w:val="00862E63"/>
    <w:rsid w:val="008802A3"/>
    <w:rsid w:val="008836D1"/>
    <w:rsid w:val="00884A9E"/>
    <w:rsid w:val="0089181B"/>
    <w:rsid w:val="00892292"/>
    <w:rsid w:val="008B2E83"/>
    <w:rsid w:val="008C5C0D"/>
    <w:rsid w:val="008C6B9D"/>
    <w:rsid w:val="008D01CF"/>
    <w:rsid w:val="008D1A7E"/>
    <w:rsid w:val="008E725C"/>
    <w:rsid w:val="008F14C4"/>
    <w:rsid w:val="008F39F4"/>
    <w:rsid w:val="008F3BB4"/>
    <w:rsid w:val="009034D3"/>
    <w:rsid w:val="009054A8"/>
    <w:rsid w:val="00912039"/>
    <w:rsid w:val="00921357"/>
    <w:rsid w:val="009266F7"/>
    <w:rsid w:val="00926AC7"/>
    <w:rsid w:val="00930D44"/>
    <w:rsid w:val="0093171D"/>
    <w:rsid w:val="009436FD"/>
    <w:rsid w:val="00945FB8"/>
    <w:rsid w:val="0095647E"/>
    <w:rsid w:val="00957A91"/>
    <w:rsid w:val="00963CC2"/>
    <w:rsid w:val="00966603"/>
    <w:rsid w:val="00966BB9"/>
    <w:rsid w:val="00972247"/>
    <w:rsid w:val="009770AC"/>
    <w:rsid w:val="00977CC1"/>
    <w:rsid w:val="00986DF3"/>
    <w:rsid w:val="0099577E"/>
    <w:rsid w:val="009970A0"/>
    <w:rsid w:val="009A4448"/>
    <w:rsid w:val="009A7614"/>
    <w:rsid w:val="009B356A"/>
    <w:rsid w:val="009B6ACE"/>
    <w:rsid w:val="009D0E59"/>
    <w:rsid w:val="009D16F9"/>
    <w:rsid w:val="009D452E"/>
    <w:rsid w:val="009D7853"/>
    <w:rsid w:val="009F16FF"/>
    <w:rsid w:val="009F1EFE"/>
    <w:rsid w:val="009F5E20"/>
    <w:rsid w:val="009F74A9"/>
    <w:rsid w:val="00A02767"/>
    <w:rsid w:val="00A03801"/>
    <w:rsid w:val="00A04B30"/>
    <w:rsid w:val="00A11221"/>
    <w:rsid w:val="00A1629F"/>
    <w:rsid w:val="00A2344E"/>
    <w:rsid w:val="00A23729"/>
    <w:rsid w:val="00A2448D"/>
    <w:rsid w:val="00A25290"/>
    <w:rsid w:val="00A5136D"/>
    <w:rsid w:val="00A523E2"/>
    <w:rsid w:val="00A55C45"/>
    <w:rsid w:val="00A5681F"/>
    <w:rsid w:val="00A60905"/>
    <w:rsid w:val="00A61DE4"/>
    <w:rsid w:val="00A6283D"/>
    <w:rsid w:val="00A64A6A"/>
    <w:rsid w:val="00A66DC6"/>
    <w:rsid w:val="00A72860"/>
    <w:rsid w:val="00A75798"/>
    <w:rsid w:val="00A77CE7"/>
    <w:rsid w:val="00A81500"/>
    <w:rsid w:val="00A82202"/>
    <w:rsid w:val="00A87101"/>
    <w:rsid w:val="00A9453B"/>
    <w:rsid w:val="00A96541"/>
    <w:rsid w:val="00AA1590"/>
    <w:rsid w:val="00AB659C"/>
    <w:rsid w:val="00AB7C0A"/>
    <w:rsid w:val="00AD73CD"/>
    <w:rsid w:val="00AD7C9A"/>
    <w:rsid w:val="00AE1BDA"/>
    <w:rsid w:val="00AF1ED4"/>
    <w:rsid w:val="00AF232A"/>
    <w:rsid w:val="00B061D3"/>
    <w:rsid w:val="00B06D1A"/>
    <w:rsid w:val="00B15647"/>
    <w:rsid w:val="00B22F9F"/>
    <w:rsid w:val="00B25B8D"/>
    <w:rsid w:val="00B27675"/>
    <w:rsid w:val="00B32E0B"/>
    <w:rsid w:val="00B37A57"/>
    <w:rsid w:val="00B50074"/>
    <w:rsid w:val="00B548A1"/>
    <w:rsid w:val="00B560C8"/>
    <w:rsid w:val="00B707B0"/>
    <w:rsid w:val="00BA2D62"/>
    <w:rsid w:val="00BA67F0"/>
    <w:rsid w:val="00BB474D"/>
    <w:rsid w:val="00BC238C"/>
    <w:rsid w:val="00BC5423"/>
    <w:rsid w:val="00BD021C"/>
    <w:rsid w:val="00BD0287"/>
    <w:rsid w:val="00BD2289"/>
    <w:rsid w:val="00BD55DB"/>
    <w:rsid w:val="00BD62F9"/>
    <w:rsid w:val="00BD6BBD"/>
    <w:rsid w:val="00BD6D38"/>
    <w:rsid w:val="00BD70E8"/>
    <w:rsid w:val="00BD7C8B"/>
    <w:rsid w:val="00BE1C1D"/>
    <w:rsid w:val="00BE2DDA"/>
    <w:rsid w:val="00BF0C7F"/>
    <w:rsid w:val="00C00A1E"/>
    <w:rsid w:val="00C01FCE"/>
    <w:rsid w:val="00C02B0C"/>
    <w:rsid w:val="00C175E9"/>
    <w:rsid w:val="00C21306"/>
    <w:rsid w:val="00C24CB2"/>
    <w:rsid w:val="00C33824"/>
    <w:rsid w:val="00C53C96"/>
    <w:rsid w:val="00C6289E"/>
    <w:rsid w:val="00C73D24"/>
    <w:rsid w:val="00C823C9"/>
    <w:rsid w:val="00C844F2"/>
    <w:rsid w:val="00C95323"/>
    <w:rsid w:val="00C9656F"/>
    <w:rsid w:val="00CA17DC"/>
    <w:rsid w:val="00CA4FEF"/>
    <w:rsid w:val="00CB79E9"/>
    <w:rsid w:val="00CD1F89"/>
    <w:rsid w:val="00CD6650"/>
    <w:rsid w:val="00CE3E56"/>
    <w:rsid w:val="00CE456A"/>
    <w:rsid w:val="00CE5976"/>
    <w:rsid w:val="00CE6C51"/>
    <w:rsid w:val="00D10F59"/>
    <w:rsid w:val="00D172E5"/>
    <w:rsid w:val="00D22CCB"/>
    <w:rsid w:val="00D40128"/>
    <w:rsid w:val="00D4143D"/>
    <w:rsid w:val="00D42266"/>
    <w:rsid w:val="00D4497B"/>
    <w:rsid w:val="00D45E9C"/>
    <w:rsid w:val="00D505AD"/>
    <w:rsid w:val="00D5302A"/>
    <w:rsid w:val="00D67788"/>
    <w:rsid w:val="00D70A54"/>
    <w:rsid w:val="00D711A0"/>
    <w:rsid w:val="00D720A8"/>
    <w:rsid w:val="00D75F7C"/>
    <w:rsid w:val="00D874AA"/>
    <w:rsid w:val="00D9318E"/>
    <w:rsid w:val="00D942C8"/>
    <w:rsid w:val="00DB3BF5"/>
    <w:rsid w:val="00DB3C5A"/>
    <w:rsid w:val="00DB6546"/>
    <w:rsid w:val="00DB6FAE"/>
    <w:rsid w:val="00DC23FE"/>
    <w:rsid w:val="00DD27F9"/>
    <w:rsid w:val="00DF10D9"/>
    <w:rsid w:val="00E05508"/>
    <w:rsid w:val="00E1260A"/>
    <w:rsid w:val="00E203CD"/>
    <w:rsid w:val="00E318E3"/>
    <w:rsid w:val="00E35DE7"/>
    <w:rsid w:val="00E41FED"/>
    <w:rsid w:val="00E63AC3"/>
    <w:rsid w:val="00E70840"/>
    <w:rsid w:val="00E737CE"/>
    <w:rsid w:val="00E76858"/>
    <w:rsid w:val="00E830F0"/>
    <w:rsid w:val="00E84BA9"/>
    <w:rsid w:val="00E87333"/>
    <w:rsid w:val="00E97407"/>
    <w:rsid w:val="00E97570"/>
    <w:rsid w:val="00EA1757"/>
    <w:rsid w:val="00EE0D34"/>
    <w:rsid w:val="00EE297E"/>
    <w:rsid w:val="00EE5B09"/>
    <w:rsid w:val="00EE6B92"/>
    <w:rsid w:val="00F00854"/>
    <w:rsid w:val="00F02049"/>
    <w:rsid w:val="00F07AA0"/>
    <w:rsid w:val="00F30BA1"/>
    <w:rsid w:val="00F30BDA"/>
    <w:rsid w:val="00F34959"/>
    <w:rsid w:val="00F453FE"/>
    <w:rsid w:val="00F51AA7"/>
    <w:rsid w:val="00F56C76"/>
    <w:rsid w:val="00F6188E"/>
    <w:rsid w:val="00F6733A"/>
    <w:rsid w:val="00F732C2"/>
    <w:rsid w:val="00F74FA6"/>
    <w:rsid w:val="00F81727"/>
    <w:rsid w:val="00F82F87"/>
    <w:rsid w:val="00F95E95"/>
    <w:rsid w:val="00FB4387"/>
    <w:rsid w:val="00FC09D2"/>
    <w:rsid w:val="00FC198C"/>
    <w:rsid w:val="00FC3A19"/>
    <w:rsid w:val="00FD344F"/>
    <w:rsid w:val="00FD506D"/>
    <w:rsid w:val="00FD741A"/>
    <w:rsid w:val="00FE12E6"/>
    <w:rsid w:val="00FE54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CB79E9"/>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link w:val="Heading2Char"/>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884A9E"/>
    <w:rPr>
      <w:color w:val="605E5C"/>
      <w:shd w:val="clear" w:color="auto" w:fill="E1DFDD"/>
    </w:rPr>
  </w:style>
  <w:style w:type="character" w:customStyle="1" w:styleId="Heading4Char">
    <w:name w:val="Heading 4 Char"/>
    <w:aliases w:val="APVMA_H4 Char"/>
    <w:basedOn w:val="DefaultParagraphFont"/>
    <w:link w:val="Heading4"/>
    <w:uiPriority w:val="4"/>
    <w:rsid w:val="00CD1F89"/>
    <w:rPr>
      <w:rFonts w:ascii="Franklin Gothic Medium" w:hAnsi="Franklin Gothic Medium" w:cs="Arial"/>
      <w:i/>
      <w:color w:val="00747A" w:themeColor="background2"/>
      <w:sz w:val="22"/>
      <w:szCs w:val="28"/>
      <w:u w:color="000000"/>
      <w:lang w:eastAsia="en-US"/>
    </w:rPr>
  </w:style>
  <w:style w:type="character" w:customStyle="1" w:styleId="Heading3Char">
    <w:name w:val="Heading 3 Char"/>
    <w:aliases w:val="APVMA_H3 Char"/>
    <w:basedOn w:val="DefaultParagraphFont"/>
    <w:link w:val="Heading3"/>
    <w:uiPriority w:val="3"/>
    <w:rsid w:val="00CD1F89"/>
    <w:rPr>
      <w:rFonts w:ascii="Franklin Gothic Medium" w:hAnsi="Franklin Gothic Medium" w:cs="Arial"/>
      <w:color w:val="00747A" w:themeColor="background2"/>
      <w:sz w:val="24"/>
      <w:szCs w:val="26"/>
      <w:u w:color="000000"/>
      <w:lang w:eastAsia="en-US"/>
    </w:rPr>
  </w:style>
  <w:style w:type="character" w:customStyle="1" w:styleId="FootnoteTextChar">
    <w:name w:val="Footnote Text Char"/>
    <w:aliases w:val="APVMA_Footnote Char,DAR001 Char,Tabellenanmerkung Char"/>
    <w:basedOn w:val="DefaultParagraphFont"/>
    <w:link w:val="FootnoteText"/>
    <w:uiPriority w:val="99"/>
    <w:rsid w:val="00CD1F89"/>
    <w:rPr>
      <w:rFonts w:ascii="Arial" w:hAnsi="Arial" w:cs="Arial"/>
      <w:spacing w:val="6"/>
      <w:kern w:val="20"/>
      <w:sz w:val="16"/>
      <w:u w:color="000000"/>
      <w:lang w:eastAsia="en-US"/>
    </w:rPr>
  </w:style>
  <w:style w:type="character" w:customStyle="1" w:styleId="Heading2Char">
    <w:name w:val="Heading 2 Char"/>
    <w:aliases w:val="APVMA_H2 Char"/>
    <w:basedOn w:val="DefaultParagraphFont"/>
    <w:link w:val="Heading2"/>
    <w:rsid w:val="004D536B"/>
    <w:rPr>
      <w:rFonts w:ascii="Franklin Gothic Medium" w:hAnsi="Franklin Gothic Medium" w:cs="Arial"/>
      <w:color w:val="00747A" w:themeColor="background2"/>
      <w:sz w:val="28"/>
      <w:szCs w:val="28"/>
      <w:u w:color="000000"/>
      <w:lang w:eastAsia="en-US"/>
    </w:rPr>
  </w:style>
  <w:style w:type="paragraph" w:styleId="ListParagraph">
    <w:name w:val="List Paragraph"/>
    <w:basedOn w:val="Normal"/>
    <w:uiPriority w:val="34"/>
    <w:qFormat/>
    <w:rsid w:val="002014E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BODYTEXT">
    <w:name w:val="BODYTEXT"/>
    <w:link w:val="BODYTEXTChar"/>
    <w:rsid w:val="00BB474D"/>
    <w:rPr>
      <w:sz w:val="24"/>
      <w:lang w:eastAsia="en-US"/>
    </w:rPr>
  </w:style>
  <w:style w:type="character" w:customStyle="1" w:styleId="BODYTEXTChar">
    <w:name w:val="BODYTEXT Char"/>
    <w:basedOn w:val="DefaultParagraphFont"/>
    <w:link w:val="BODYTEXT"/>
    <w:rsid w:val="00BB47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5506">
      <w:bodyDiv w:val="1"/>
      <w:marLeft w:val="0"/>
      <w:marRight w:val="0"/>
      <w:marTop w:val="0"/>
      <w:marBottom w:val="0"/>
      <w:divBdr>
        <w:top w:val="none" w:sz="0" w:space="0" w:color="auto"/>
        <w:left w:val="none" w:sz="0" w:space="0" w:color="auto"/>
        <w:bottom w:val="none" w:sz="0" w:space="0" w:color="auto"/>
        <w:right w:val="none" w:sz="0" w:space="0" w:color="auto"/>
      </w:divBdr>
    </w:div>
    <w:div w:id="20370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creativecommons.org/licenses/by/4.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ommunications@apvma.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apvma.gov.au/node/7285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pmc.gov.au/honours-and-symbols/commonwealth-coat-arm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vma.gov.au/node/72856"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hyperlink" Target="http://www.apvma.gov.au" TargetMode="External"/><Relationship Id="rId10" Type="http://schemas.openxmlformats.org/officeDocument/2006/relationships/footnotes" Target="footnotes.xml"/><Relationship Id="rId19" Type="http://schemas.openxmlformats.org/officeDocument/2006/relationships/hyperlink" Target="https://creativecommons.org/licenses/by/4.0/legalcode"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apvma.gov.au" TargetMode="External"/><Relationship Id="rId27" Type="http://schemas.openxmlformats.org/officeDocument/2006/relationships/header" Target="header3.xml"/><Relationship Id="rId30" Type="http://schemas.openxmlformats.org/officeDocument/2006/relationships/header" Target="header5.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F2023L01350/latest/text" TargetMode="External"/><Relationship Id="rId2" Type="http://schemas.openxmlformats.org/officeDocument/2006/relationships/hyperlink" Target="https://www.apvma.gov.au/registrations-and-permits/data-requirements/agricultural-data-guidelines/overseas-trade-part-5b" TargetMode="External"/><Relationship Id="rId1" Type="http://schemas.openxmlformats.org/officeDocument/2006/relationships/hyperlink" Target="https://www.agriculture.gov.au/abares/research-topics/agricultural-outlook/data" TargetMode="External"/><Relationship Id="rId4" Type="http://schemas.openxmlformats.org/officeDocument/2006/relationships/hyperlink" Target="https://www.ecfr.gov/current/title-40/chapter-I/subchapter-E/part-1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00782AAB515E47F68D0ED650F5E2ABDE" version="1.0.0">
  <systemFields>
    <field name="Objective-Id">
      <value order="0">A3611207</value>
    </field>
    <field name="Objective-Title">
      <value order="0">Tiafenacil_wheat_fallow_88074_145871_TAN</value>
    </field>
    <field name="Objective-Description">
      <value order="0"/>
    </field>
    <field name="Objective-CreationStamp">
      <value order="0">2025-09-01T07:01:56Z</value>
    </field>
    <field name="Objective-IsApproved">
      <value order="0">false</value>
    </field>
    <field name="Objective-IsPublished">
      <value order="0">false</value>
    </field>
    <field name="Objective-DatePublished">
      <value order="0"/>
    </field>
    <field name="Objective-ModificationStamp">
      <value order="0">2025-09-08T07:32:07Z</value>
    </field>
    <field name="Objective-Owner">
      <value order="0">Eric Cruz</value>
    </field>
    <field name="Objective-Path">
      <value order="0">APVMA:SCIENTIFIC ASSESSMENT:Scientific Assessment - Residues and Trade:Scientific Assessment - Residues and Trade - Evaluations:Scientific Assessment - Residues and Trade - Evaluations - S-Z:SA - R&amp;T - Evaluations - Tiafenacil:3. Residues - Tiafenacil - Wheat - Fallow -88074 - 145871</value>
    </field>
    <field name="Objective-Parent">
      <value order="0">3. Residues - Tiafenacil - Wheat - Fallow -88074 - 145871</value>
    </field>
    <field name="Objective-State">
      <value order="0">Being Edited</value>
    </field>
    <field name="Objective-VersionId">
      <value order="0">vA5438622</value>
    </field>
    <field name="Objective-Version">
      <value order="0">0.12</value>
    </field>
    <field name="Objective-VersionNumber">
      <value order="0">12</value>
    </field>
    <field name="Objective-VersionComment">
      <value order="0"/>
    </field>
    <field name="Objective-FileNumber">
      <value order="0">2025\3236</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D363C9D3724C6B43BB928A9B072E717D" ma:contentTypeVersion="22" ma:contentTypeDescription="Create a new document." ma:contentTypeScope="" ma:versionID="dfe984a2968e49d9f2d1bd10ee7dfac8">
  <xsd:schema xmlns:xsd="http://www.w3.org/2001/XMLSchema" xmlns:xs="http://www.w3.org/2001/XMLSchema" xmlns:p="http://schemas.microsoft.com/office/2006/metadata/properties" xmlns:ns2="9a909d73-c630-45aa-a98e-847a0801f304" xmlns:ns3="4a2211ce-a4f7-40b0-9518-b08330cbcfae" targetNamespace="http://schemas.microsoft.com/office/2006/metadata/properties" ma:root="true" ma:fieldsID="30177da2cd7ba51df71cf47c0725ff5e" ns2:_="" ns3:_="">
    <xsd:import namespace="9a909d73-c630-45aa-a98e-847a0801f304"/>
    <xsd:import namespace="4a2211ce-a4f7-40b0-9518-b08330cbcf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ate" minOccurs="0"/>
                <xsd:element ref="ns2:MediaServiceLocation" minOccurs="0"/>
                <xsd:element ref="ns2:lcf76f155ced4ddcb4097134ff3c332f" minOccurs="0"/>
                <xsd:element ref="ns3:TaxCatchAll" minOccurs="0"/>
                <xsd:element ref="ns2:MediaServiceObjectDetectorVersions" minOccurs="0"/>
                <xsd:element ref="ns2:DateandTime" minOccurs="0"/>
                <xsd:element ref="ns2:MediaServiceSearchProperties" minOccurs="0"/>
                <xsd:element ref="ns2:Dateandtime0"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09d73-c630-45aa-a98e-847a0801f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fb2c0b8-f749-4064-90e4-769cb02aa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eandTime" ma:index="26" nillable="true" ma:displayName="Date and Time" ma:format="DateOnly"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andtime0" ma:index="28" nillable="true" ma:displayName="Date and time" ma:format="DateOnly" ma:internalName="Dateandtime0">
      <xsd:simpleType>
        <xsd:restriction base="dms:DateTime"/>
      </xsd:simpleType>
    </xsd:element>
    <xsd:element name="Status" ma:index="29"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211ce-a4f7-40b0-9518-b08330cbc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7823b2-8dc8-491a-8236-e91bd0e61cba}" ma:internalName="TaxCatchAll" ma:showField="CatchAllData" ma:web="4a2211ce-a4f7-40b0-9518-b08330cbc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a909d73-c630-45aa-a98e-847a0801f304" xsi:nil="true"/>
    <DateandTime xmlns="9a909d73-c630-45aa-a98e-847a0801f304" xsi:nil="true"/>
    <Status xmlns="9a909d73-c630-45aa-a98e-847a0801f304" xsi:nil="true"/>
    <Dateandtime0 xmlns="9a909d73-c630-45aa-a98e-847a0801f304" xsi:nil="true"/>
    <lcf76f155ced4ddcb4097134ff3c332f xmlns="9a909d73-c630-45aa-a98e-847a0801f304">
      <Terms xmlns="http://schemas.microsoft.com/office/infopath/2007/PartnerControls"/>
    </lcf76f155ced4ddcb4097134ff3c332f>
    <TaxCatchAll xmlns="4a2211ce-a4f7-40b0-9518-b08330cbcfa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50A3978-D44A-4A89-9862-D7B5FFB02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09d73-c630-45aa-a98e-847a0801f304"/>
    <ds:schemaRef ds:uri="4a2211ce-a4f7-40b0-9518-b08330cbc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DE93F-056B-44B5-86B0-B37FCA5BF455}">
  <ds:schemaRefs>
    <ds:schemaRef ds:uri="http://schemas.microsoft.com/sharepoint/v3/contenttype/forms"/>
  </ds:schemaRefs>
</ds:datastoreItem>
</file>

<file path=customXml/itemProps4.xml><?xml version="1.0" encoding="utf-8"?>
<ds:datastoreItem xmlns:ds="http://schemas.openxmlformats.org/officeDocument/2006/customXml" ds:itemID="{0186D8F4-9B46-4C88-A4D7-8D7542A31961}">
  <ds:schemaRefs>
    <ds:schemaRef ds:uri="http://schemas.microsoft.com/office/2006/metadata/properties"/>
    <ds:schemaRef ds:uri="http://schemas.microsoft.com/office/infopath/2007/PartnerControls"/>
    <ds:schemaRef ds:uri="9a909d73-c630-45aa-a98e-847a0801f304"/>
    <ds:schemaRef ds:uri="4a2211ce-a4f7-40b0-9518-b08330cbcfae"/>
  </ds:schemaRefs>
</ds:datastoreItem>
</file>

<file path=customXml/itemProps5.xml><?xml version="1.0" encoding="utf-8"?>
<ds:datastoreItem xmlns:ds="http://schemas.openxmlformats.org/officeDocument/2006/customXml" ds:itemID="{10D399F5-6D4C-4ACD-B3A0-36645919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10</TotalTime>
  <Pages>23</Pages>
  <Words>5900</Words>
  <Characters>33635</Characters>
  <Application>Microsoft Office Word</Application>
  <DocSecurity>0</DocSecurity>
  <Lines>280</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Trade Advice Notice</vt:lpstr>
      <vt:lpstr>Trade Advice Notice</vt:lpstr>
    </vt:vector>
  </TitlesOfParts>
  <Manager/>
  <Company>Australian Pesticides and Veterinary Medicines Authority</Company>
  <LinksUpToDate>false</LinksUpToDate>
  <CharactersWithSpaces>39457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GRIFFIN, Jordanna</cp:lastModifiedBy>
  <cp:revision>4</cp:revision>
  <cp:lastPrinted>2025-09-10T01:44:00Z</cp:lastPrinted>
  <dcterms:created xsi:type="dcterms:W3CDTF">2025-09-10T01:42:00Z</dcterms:created>
  <dcterms:modified xsi:type="dcterms:W3CDTF">2025-09-10T01:51:00Z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A3611207</vt:lpwstr>
  </property>
  <property fmtid="{D5CDD505-2E9C-101B-9397-08002B2CF9AE}" pid="4" name="Objective-Title">
    <vt:lpwstr>Tiafenacil_wheat_fallow_88074_145871_TAN</vt:lpwstr>
  </property>
  <property fmtid="{D5CDD505-2E9C-101B-9397-08002B2CF9AE}" pid="5" name="Objective-Comment">
    <vt:lpwstr/>
  </property>
  <property fmtid="{D5CDD505-2E9C-101B-9397-08002B2CF9AE}" pid="6" name="Objective-CreationStamp">
    <vt:filetime>2025-09-01T07:01:56Z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2025-09-08T07:34:01Z</vt:filetime>
  </property>
  <property fmtid="{D5CDD505-2E9C-101B-9397-08002B2CF9AE}" pid="11" name="Objective-Owner">
    <vt:lpwstr>Eric Cruz</vt:lpwstr>
  </property>
  <property fmtid="{D5CDD505-2E9C-101B-9397-08002B2CF9AE}" pid="12" name="Objective-Path">
    <vt:lpwstr>APVMA:SCIENTIFIC ASSESSMENT:Scientific Assessment - Residues and Trade:Scientific Assessment - Residues and Trade - Evaluations:Scientific Assessment - Residues and Trade - Evaluations - S-Z:SA - R&amp;T - Evaluations - Tiafenacil:3. Residues - Tiafenacil - Wheat - Fallow -88074 - 145871:</vt:lpwstr>
  </property>
  <property fmtid="{D5CDD505-2E9C-101B-9397-08002B2CF9AE}" pid="13" name="Objective-Parent">
    <vt:lpwstr>3. Residues - Tiafenacil - Wheat - Fallow -88074 - 145871</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vA5438622</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ContentTypeId">
    <vt:lpwstr>0x010100D363C9D3724C6B43BB928A9B072E717D</vt:lpwstr>
  </property>
  <property fmtid="{D5CDD505-2E9C-101B-9397-08002B2CF9AE}" pid="47" name="MediaServiceImageTags">
    <vt:lpwstr/>
  </property>
</Properties>
</file>