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57ECF7A6" w:rsidR="00CA3C84" w:rsidRDefault="00CA3C84" w:rsidP="006636BA">
      <w:pPr>
        <w:pStyle w:val="GazetteCoverH3"/>
      </w:pPr>
      <w:bookmarkStart w:id="16" w:name="_Toc135143729"/>
      <w:bookmarkStart w:id="17" w:name="_Toc135143785"/>
      <w:r>
        <w:t xml:space="preserve">No. APVMA </w:t>
      </w:r>
      <w:r w:rsidR="00EC3002">
        <w:t>17</w:t>
      </w:r>
      <w:r>
        <w:t xml:space="preserve">, </w:t>
      </w:r>
      <w:bookmarkEnd w:id="16"/>
      <w:bookmarkEnd w:id="17"/>
      <w:r w:rsidR="00EC3002">
        <w:t>19 August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EADB61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65304">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1FAD10B" w:rsidR="00FD71D4" w:rsidRPr="00546BD8" w:rsidRDefault="00FD71D4" w:rsidP="00663288">
      <w:pPr>
        <w:pStyle w:val="GazetteNormalText"/>
      </w:pPr>
      <w:r>
        <w:t xml:space="preserve">Assistant Director, </w:t>
      </w:r>
      <w:r w:rsidRPr="00546BD8">
        <w:t>Communications</w:t>
      </w:r>
      <w:r w:rsidRPr="00546BD8">
        <w:br/>
        <w:t>Australian Pesticides and Veterinary Medicines Authority</w:t>
      </w:r>
      <w:r>
        <w:br/>
      </w:r>
      <w:r w:rsidR="00663288">
        <w:t>GPO Box 574</w:t>
      </w:r>
      <w:r w:rsidR="00663288">
        <w:br/>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7DE68E5C" w14:textId="77777777" w:rsidR="00F76EF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0F063F9" w14:textId="28B592BB"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1" w:history="1">
        <w:r w:rsidRPr="00B75CE4">
          <w:rPr>
            <w:rStyle w:val="Hyperlink"/>
            <w:rFonts w:eastAsia="Arial Unicode MS"/>
          </w:rPr>
          <w:t>Agricultural chemical products and approved labels</w:t>
        </w:r>
        <w:r>
          <w:rPr>
            <w:webHidden/>
          </w:rPr>
          <w:tab/>
        </w:r>
        <w:r>
          <w:rPr>
            <w:webHidden/>
          </w:rPr>
          <w:fldChar w:fldCharType="begin"/>
        </w:r>
        <w:r>
          <w:rPr>
            <w:webHidden/>
          </w:rPr>
          <w:instrText xml:space="preserve"> PAGEREF _Toc206168161 \h </w:instrText>
        </w:r>
        <w:r>
          <w:rPr>
            <w:webHidden/>
          </w:rPr>
        </w:r>
        <w:r>
          <w:rPr>
            <w:webHidden/>
          </w:rPr>
          <w:fldChar w:fldCharType="separate"/>
        </w:r>
        <w:r w:rsidR="00365304">
          <w:rPr>
            <w:webHidden/>
          </w:rPr>
          <w:t>1</w:t>
        </w:r>
        <w:r>
          <w:rPr>
            <w:webHidden/>
          </w:rPr>
          <w:fldChar w:fldCharType="end"/>
        </w:r>
      </w:hyperlink>
    </w:p>
    <w:p w14:paraId="7138075E" w14:textId="7B630381"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2" w:history="1">
        <w:r w:rsidRPr="00B75CE4">
          <w:rPr>
            <w:rStyle w:val="Hyperlink"/>
            <w:rFonts w:eastAsia="Arial Unicode MS"/>
          </w:rPr>
          <w:t>Veterinary chemical products and approved labels</w:t>
        </w:r>
        <w:r>
          <w:rPr>
            <w:webHidden/>
          </w:rPr>
          <w:tab/>
        </w:r>
        <w:r>
          <w:rPr>
            <w:webHidden/>
          </w:rPr>
          <w:fldChar w:fldCharType="begin"/>
        </w:r>
        <w:r>
          <w:rPr>
            <w:webHidden/>
          </w:rPr>
          <w:instrText xml:space="preserve"> PAGEREF _Toc206168162 \h </w:instrText>
        </w:r>
        <w:r>
          <w:rPr>
            <w:webHidden/>
          </w:rPr>
        </w:r>
        <w:r>
          <w:rPr>
            <w:webHidden/>
          </w:rPr>
          <w:fldChar w:fldCharType="separate"/>
        </w:r>
        <w:r w:rsidR="00365304">
          <w:rPr>
            <w:webHidden/>
          </w:rPr>
          <w:t>10</w:t>
        </w:r>
        <w:r>
          <w:rPr>
            <w:webHidden/>
          </w:rPr>
          <w:fldChar w:fldCharType="end"/>
        </w:r>
      </w:hyperlink>
    </w:p>
    <w:p w14:paraId="0D7F9F08" w14:textId="77E24B32"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3" w:history="1">
        <w:r w:rsidRPr="00B75CE4">
          <w:rPr>
            <w:rStyle w:val="Hyperlink"/>
            <w:rFonts w:eastAsia="Arial Unicode MS"/>
          </w:rPr>
          <w:t>Approved active constituents</w:t>
        </w:r>
        <w:r>
          <w:rPr>
            <w:webHidden/>
          </w:rPr>
          <w:tab/>
        </w:r>
        <w:r>
          <w:rPr>
            <w:webHidden/>
          </w:rPr>
          <w:fldChar w:fldCharType="begin"/>
        </w:r>
        <w:r>
          <w:rPr>
            <w:webHidden/>
          </w:rPr>
          <w:instrText xml:space="preserve"> PAGEREF _Toc206168163 \h </w:instrText>
        </w:r>
        <w:r>
          <w:rPr>
            <w:webHidden/>
          </w:rPr>
        </w:r>
        <w:r>
          <w:rPr>
            <w:webHidden/>
          </w:rPr>
          <w:fldChar w:fldCharType="separate"/>
        </w:r>
        <w:r w:rsidR="00365304">
          <w:rPr>
            <w:webHidden/>
          </w:rPr>
          <w:t>17</w:t>
        </w:r>
        <w:r>
          <w:rPr>
            <w:webHidden/>
          </w:rPr>
          <w:fldChar w:fldCharType="end"/>
        </w:r>
      </w:hyperlink>
    </w:p>
    <w:p w14:paraId="7404AF60" w14:textId="2138C8E6"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4" w:history="1">
        <w:r w:rsidRPr="00B75CE4">
          <w:rPr>
            <w:rStyle w:val="Hyperlink"/>
            <w:rFonts w:eastAsia="Arial Unicode MS"/>
          </w:rPr>
          <w:t>New veterinary chemical products containing a new veterinary active constituent</w:t>
        </w:r>
        <w:r>
          <w:rPr>
            <w:webHidden/>
          </w:rPr>
          <w:tab/>
        </w:r>
        <w:r>
          <w:rPr>
            <w:webHidden/>
          </w:rPr>
          <w:fldChar w:fldCharType="begin"/>
        </w:r>
        <w:r>
          <w:rPr>
            <w:webHidden/>
          </w:rPr>
          <w:instrText xml:space="preserve"> PAGEREF _Toc206168164 \h </w:instrText>
        </w:r>
        <w:r>
          <w:rPr>
            <w:webHidden/>
          </w:rPr>
        </w:r>
        <w:r>
          <w:rPr>
            <w:webHidden/>
          </w:rPr>
          <w:fldChar w:fldCharType="separate"/>
        </w:r>
        <w:r w:rsidR="00365304">
          <w:rPr>
            <w:webHidden/>
          </w:rPr>
          <w:t>19</w:t>
        </w:r>
        <w:r>
          <w:rPr>
            <w:webHidden/>
          </w:rPr>
          <w:fldChar w:fldCharType="end"/>
        </w:r>
      </w:hyperlink>
    </w:p>
    <w:p w14:paraId="72C8DBED" w14:textId="361A3CB5"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5" w:history="1">
        <w:r w:rsidRPr="00B75CE4">
          <w:rPr>
            <w:rStyle w:val="Hyperlink"/>
            <w:rFonts w:eastAsia="Arial Unicode MS"/>
          </w:rPr>
          <w:t>Agvet chemical voluntary recall: Randlab Gentamicin Injection</w:t>
        </w:r>
        <w:r>
          <w:rPr>
            <w:webHidden/>
          </w:rPr>
          <w:tab/>
        </w:r>
        <w:r>
          <w:rPr>
            <w:webHidden/>
          </w:rPr>
          <w:fldChar w:fldCharType="begin"/>
        </w:r>
        <w:r>
          <w:rPr>
            <w:webHidden/>
          </w:rPr>
          <w:instrText xml:space="preserve"> PAGEREF _Toc206168165 \h </w:instrText>
        </w:r>
        <w:r>
          <w:rPr>
            <w:webHidden/>
          </w:rPr>
        </w:r>
        <w:r>
          <w:rPr>
            <w:webHidden/>
          </w:rPr>
          <w:fldChar w:fldCharType="separate"/>
        </w:r>
        <w:r w:rsidR="00365304">
          <w:rPr>
            <w:webHidden/>
          </w:rPr>
          <w:t>32</w:t>
        </w:r>
        <w:r>
          <w:rPr>
            <w:webHidden/>
          </w:rPr>
          <w:fldChar w:fldCharType="end"/>
        </w:r>
      </w:hyperlink>
    </w:p>
    <w:p w14:paraId="1EA9FC39" w14:textId="026AA214"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6" w:history="1">
        <w:r w:rsidRPr="00B75CE4">
          <w:rPr>
            <w:rStyle w:val="Hyperlink"/>
            <w:rFonts w:eastAsia="Arial Unicode MS"/>
          </w:rPr>
          <w:t>Notice under section 34AC of decision on reconsideration of the Agricultural and Veterinary Chemicals Code: fenitrothion reconsideration</w:t>
        </w:r>
        <w:r>
          <w:rPr>
            <w:webHidden/>
          </w:rPr>
          <w:tab/>
        </w:r>
        <w:r>
          <w:rPr>
            <w:webHidden/>
          </w:rPr>
          <w:fldChar w:fldCharType="begin"/>
        </w:r>
        <w:r>
          <w:rPr>
            <w:webHidden/>
          </w:rPr>
          <w:instrText xml:space="preserve"> PAGEREF _Toc206168166 \h </w:instrText>
        </w:r>
        <w:r>
          <w:rPr>
            <w:webHidden/>
          </w:rPr>
        </w:r>
        <w:r>
          <w:rPr>
            <w:webHidden/>
          </w:rPr>
          <w:fldChar w:fldCharType="separate"/>
        </w:r>
        <w:r w:rsidR="00365304">
          <w:rPr>
            <w:webHidden/>
          </w:rPr>
          <w:t>33</w:t>
        </w:r>
        <w:r>
          <w:rPr>
            <w:webHidden/>
          </w:rPr>
          <w:fldChar w:fldCharType="end"/>
        </w:r>
      </w:hyperlink>
    </w:p>
    <w:p w14:paraId="7A3DEA8C" w14:textId="420C41A7" w:rsidR="00F76EF9" w:rsidRDefault="00F76EF9">
      <w:pPr>
        <w:pStyle w:val="TOC2"/>
        <w:rPr>
          <w:rFonts w:asciiTheme="minorHAnsi" w:eastAsiaTheme="minorEastAsia" w:hAnsiTheme="minorHAnsi" w:cstheme="minorBidi"/>
          <w:kern w:val="2"/>
          <w:sz w:val="24"/>
          <w:szCs w:val="24"/>
          <w:lang w:eastAsia="en-AU"/>
          <w14:ligatures w14:val="standardContextual"/>
        </w:rPr>
      </w:pPr>
      <w:hyperlink w:anchor="_Toc206168167" w:history="1">
        <w:r w:rsidRPr="00B75CE4">
          <w:rPr>
            <w:rStyle w:val="Hyperlink"/>
            <w:rFonts w:eastAsia="Arial Unicode MS"/>
          </w:rPr>
          <w:t>Notice of cancellation under section 45A of the Agricultural and Veterinary Chemicals Code: fenitrothion reconsideration</w:t>
        </w:r>
        <w:r>
          <w:rPr>
            <w:webHidden/>
          </w:rPr>
          <w:tab/>
        </w:r>
        <w:r>
          <w:rPr>
            <w:webHidden/>
          </w:rPr>
          <w:fldChar w:fldCharType="begin"/>
        </w:r>
        <w:r>
          <w:rPr>
            <w:webHidden/>
          </w:rPr>
          <w:instrText xml:space="preserve"> PAGEREF _Toc206168167 \h </w:instrText>
        </w:r>
        <w:r>
          <w:rPr>
            <w:webHidden/>
          </w:rPr>
        </w:r>
        <w:r>
          <w:rPr>
            <w:webHidden/>
          </w:rPr>
          <w:fldChar w:fldCharType="separate"/>
        </w:r>
        <w:r w:rsidR="00365304">
          <w:rPr>
            <w:webHidden/>
          </w:rPr>
          <w:t>38</w:t>
        </w:r>
        <w:r>
          <w:rPr>
            <w:webHidden/>
          </w:rPr>
          <w:fldChar w:fldCharType="end"/>
        </w:r>
      </w:hyperlink>
    </w:p>
    <w:p w14:paraId="0D431B07" w14:textId="0591C850" w:rsidR="00E73E38" w:rsidRPr="00616EBE" w:rsidRDefault="00FD71D4" w:rsidP="00AB212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9B7AE13" w14:textId="77777777" w:rsidR="00EC3002" w:rsidRDefault="00EC3002" w:rsidP="00EC3002">
      <w:pPr>
        <w:pStyle w:val="GazetteHeading1"/>
      </w:pPr>
      <w:bookmarkStart w:id="18" w:name="_Toc206168161"/>
      <w:r>
        <w:lastRenderedPageBreak/>
        <w:t>Agricultural chemical products and approved labels</w:t>
      </w:r>
      <w:bookmarkEnd w:id="18"/>
    </w:p>
    <w:p w14:paraId="769E074F" w14:textId="77777777" w:rsidR="00EC3002" w:rsidRDefault="00EC3002" w:rsidP="00EC300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08DBEDE" w14:textId="3373E83F" w:rsidR="00EC3002" w:rsidRDefault="00EC3002" w:rsidP="00EC3002">
      <w:pPr>
        <w:pStyle w:val="Caption"/>
      </w:pPr>
      <w:r>
        <w:t xml:space="preserve">Table </w:t>
      </w:r>
      <w:r>
        <w:fldChar w:fldCharType="begin"/>
      </w:r>
      <w:r>
        <w:instrText xml:space="preserve"> SEQ Table \* ARABIC </w:instrText>
      </w:r>
      <w:r>
        <w:fldChar w:fldCharType="separate"/>
      </w:r>
      <w:r w:rsidR="00365304">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7834FB" w14:paraId="28BA65B8" w14:textId="77777777" w:rsidTr="004136D1">
        <w:trPr>
          <w:cantSplit/>
        </w:trPr>
        <w:tc>
          <w:tcPr>
            <w:tcW w:w="1100" w:type="pct"/>
            <w:shd w:val="clear" w:color="auto" w:fill="D9D9D9"/>
          </w:tcPr>
          <w:p w14:paraId="04346500" w14:textId="3B3D5260" w:rsidR="00EC3002" w:rsidRPr="007834FB" w:rsidRDefault="004136D1" w:rsidP="004136D1">
            <w:pPr>
              <w:pStyle w:val="S8Gazettetableheading"/>
            </w:pPr>
            <w:r>
              <w:t>Application no.</w:t>
            </w:r>
          </w:p>
        </w:tc>
        <w:tc>
          <w:tcPr>
            <w:tcW w:w="3900" w:type="pct"/>
            <w:shd w:val="clear" w:color="auto" w:fill="FFFFFF"/>
          </w:tcPr>
          <w:p w14:paraId="69136945" w14:textId="762E65F1" w:rsidR="00EC3002" w:rsidRPr="007834FB" w:rsidRDefault="004136D1" w:rsidP="004136D1">
            <w:pPr>
              <w:pStyle w:val="S8Gazettetabletext"/>
              <w:rPr>
                <w:noProof/>
              </w:rPr>
            </w:pPr>
            <w:r>
              <w:t>147971</w:t>
            </w:r>
          </w:p>
        </w:tc>
      </w:tr>
      <w:tr w:rsidR="00EC3002" w:rsidRPr="007834FB" w14:paraId="1B0C43EB" w14:textId="77777777" w:rsidTr="004136D1">
        <w:trPr>
          <w:cantSplit/>
        </w:trPr>
        <w:tc>
          <w:tcPr>
            <w:tcW w:w="1100" w:type="pct"/>
            <w:shd w:val="clear" w:color="auto" w:fill="D9D9D9"/>
          </w:tcPr>
          <w:p w14:paraId="11DCFBAB" w14:textId="2B565EFC" w:rsidR="00EC3002" w:rsidRPr="007834FB" w:rsidRDefault="004136D1" w:rsidP="004136D1">
            <w:pPr>
              <w:pStyle w:val="S8Gazettetableheading"/>
            </w:pPr>
            <w:r>
              <w:t>Product name</w:t>
            </w:r>
          </w:p>
        </w:tc>
        <w:tc>
          <w:tcPr>
            <w:tcW w:w="3900" w:type="pct"/>
            <w:shd w:val="clear" w:color="auto" w:fill="FFFFFF"/>
          </w:tcPr>
          <w:p w14:paraId="65AF8EF5" w14:textId="689E65B1" w:rsidR="00EC3002" w:rsidRPr="007834FB" w:rsidRDefault="004136D1" w:rsidP="004136D1">
            <w:pPr>
              <w:pStyle w:val="S8Gazettetabletext"/>
            </w:pPr>
            <w:r>
              <w:t>STYLUS Insecticide</w:t>
            </w:r>
          </w:p>
        </w:tc>
      </w:tr>
      <w:tr w:rsidR="00EC3002" w:rsidRPr="007834FB" w14:paraId="7F744C7D" w14:textId="77777777" w:rsidTr="004136D1">
        <w:trPr>
          <w:cantSplit/>
        </w:trPr>
        <w:tc>
          <w:tcPr>
            <w:tcW w:w="1100" w:type="pct"/>
            <w:shd w:val="clear" w:color="auto" w:fill="D9D9D9"/>
          </w:tcPr>
          <w:p w14:paraId="40964BF6" w14:textId="4306C74C" w:rsidR="00EC3002" w:rsidRPr="007834FB" w:rsidRDefault="004136D1" w:rsidP="004136D1">
            <w:pPr>
              <w:pStyle w:val="S8Gazettetableheading"/>
            </w:pPr>
            <w:r>
              <w:t>Active constituent</w:t>
            </w:r>
          </w:p>
        </w:tc>
        <w:tc>
          <w:tcPr>
            <w:tcW w:w="3900" w:type="pct"/>
            <w:shd w:val="clear" w:color="auto" w:fill="FFFFFF"/>
          </w:tcPr>
          <w:p w14:paraId="60ED020B" w14:textId="28429DEA" w:rsidR="00EC3002" w:rsidRPr="007834FB" w:rsidRDefault="004136D1" w:rsidP="004136D1">
            <w:pPr>
              <w:pStyle w:val="S8Gazettetabletext"/>
            </w:pPr>
            <w:r>
              <w:t xml:space="preserve">500 g/kg </w:t>
            </w:r>
            <w:proofErr w:type="spellStart"/>
            <w:r>
              <w:t>pymetrozine</w:t>
            </w:r>
            <w:proofErr w:type="spellEnd"/>
          </w:p>
        </w:tc>
      </w:tr>
      <w:tr w:rsidR="00EC3002" w:rsidRPr="007834FB" w14:paraId="09406F25" w14:textId="77777777" w:rsidTr="004136D1">
        <w:trPr>
          <w:cantSplit/>
        </w:trPr>
        <w:tc>
          <w:tcPr>
            <w:tcW w:w="1100" w:type="pct"/>
            <w:shd w:val="clear" w:color="auto" w:fill="D9D9D9"/>
          </w:tcPr>
          <w:p w14:paraId="2BA75837" w14:textId="024BC2C1" w:rsidR="00EC3002" w:rsidRPr="007834FB" w:rsidRDefault="004136D1" w:rsidP="004136D1">
            <w:pPr>
              <w:pStyle w:val="S8Gazettetableheading"/>
            </w:pPr>
            <w:r>
              <w:t>Applicant name</w:t>
            </w:r>
          </w:p>
        </w:tc>
        <w:tc>
          <w:tcPr>
            <w:tcW w:w="3900" w:type="pct"/>
            <w:shd w:val="clear" w:color="auto" w:fill="FFFFFF"/>
          </w:tcPr>
          <w:p w14:paraId="4DEFF2BF" w14:textId="20244C72" w:rsidR="00EC3002" w:rsidRPr="007834FB" w:rsidRDefault="004136D1" w:rsidP="004136D1">
            <w:pPr>
              <w:pStyle w:val="S8Gazettetabletext"/>
            </w:pPr>
            <w:r>
              <w:t>Centris Solutions Pty Ltd</w:t>
            </w:r>
          </w:p>
        </w:tc>
      </w:tr>
      <w:tr w:rsidR="00EC3002" w:rsidRPr="007834FB" w14:paraId="5F284BF9" w14:textId="77777777" w:rsidTr="004136D1">
        <w:trPr>
          <w:cantSplit/>
        </w:trPr>
        <w:tc>
          <w:tcPr>
            <w:tcW w:w="1100" w:type="pct"/>
            <w:shd w:val="clear" w:color="auto" w:fill="D9D9D9"/>
          </w:tcPr>
          <w:p w14:paraId="07F4852F" w14:textId="21264425" w:rsidR="00EC3002" w:rsidRPr="007834FB" w:rsidRDefault="004136D1" w:rsidP="004136D1">
            <w:pPr>
              <w:pStyle w:val="S8Gazettetableheading"/>
            </w:pPr>
            <w:r>
              <w:t>Applicant ACN</w:t>
            </w:r>
          </w:p>
        </w:tc>
        <w:tc>
          <w:tcPr>
            <w:tcW w:w="3900" w:type="pct"/>
            <w:shd w:val="clear" w:color="auto" w:fill="FFFFFF"/>
          </w:tcPr>
          <w:p w14:paraId="4AA60C07" w14:textId="2A15C99B" w:rsidR="00EC3002" w:rsidRPr="007834FB" w:rsidRDefault="004136D1" w:rsidP="004136D1">
            <w:pPr>
              <w:pStyle w:val="S8Gazettetabletext"/>
            </w:pPr>
            <w:r>
              <w:t>682 650 577</w:t>
            </w:r>
          </w:p>
        </w:tc>
      </w:tr>
      <w:tr w:rsidR="00EC3002" w:rsidRPr="007834FB" w14:paraId="1AC13179" w14:textId="77777777" w:rsidTr="004136D1">
        <w:trPr>
          <w:cantSplit/>
        </w:trPr>
        <w:tc>
          <w:tcPr>
            <w:tcW w:w="1100" w:type="pct"/>
            <w:shd w:val="clear" w:color="auto" w:fill="D9D9D9"/>
          </w:tcPr>
          <w:p w14:paraId="27F76AB9" w14:textId="64BD70FD" w:rsidR="00EC3002" w:rsidRPr="007834FB" w:rsidRDefault="004136D1" w:rsidP="004136D1">
            <w:pPr>
              <w:pStyle w:val="S8Gazettetableheading"/>
            </w:pPr>
            <w:r>
              <w:t>Date of registration</w:t>
            </w:r>
          </w:p>
        </w:tc>
        <w:tc>
          <w:tcPr>
            <w:tcW w:w="3900" w:type="pct"/>
            <w:shd w:val="clear" w:color="auto" w:fill="FFFFFF"/>
          </w:tcPr>
          <w:p w14:paraId="59C5F7D3" w14:textId="0F5480BD" w:rsidR="00EC3002" w:rsidRPr="007834FB" w:rsidRDefault="004136D1" w:rsidP="004136D1">
            <w:pPr>
              <w:pStyle w:val="S8Gazettetabletext"/>
            </w:pPr>
            <w:r>
              <w:t>29 July 2025</w:t>
            </w:r>
          </w:p>
        </w:tc>
      </w:tr>
      <w:tr w:rsidR="00EC3002" w:rsidRPr="007834FB" w14:paraId="4BFB3796" w14:textId="77777777" w:rsidTr="004136D1">
        <w:trPr>
          <w:cantSplit/>
        </w:trPr>
        <w:tc>
          <w:tcPr>
            <w:tcW w:w="1100" w:type="pct"/>
            <w:shd w:val="clear" w:color="auto" w:fill="D9D9D9"/>
          </w:tcPr>
          <w:p w14:paraId="00939DF1" w14:textId="7A42EF11" w:rsidR="00EC3002" w:rsidRPr="007834FB" w:rsidRDefault="004136D1" w:rsidP="004136D1">
            <w:pPr>
              <w:pStyle w:val="S8Gazettetableheading"/>
            </w:pPr>
            <w:r>
              <w:t>Product registration no.</w:t>
            </w:r>
          </w:p>
        </w:tc>
        <w:tc>
          <w:tcPr>
            <w:tcW w:w="3900" w:type="pct"/>
            <w:shd w:val="clear" w:color="auto" w:fill="FFFFFF"/>
          </w:tcPr>
          <w:p w14:paraId="3A1ED5C2" w14:textId="77A6C820" w:rsidR="00EC3002" w:rsidRPr="007834FB" w:rsidRDefault="004136D1" w:rsidP="004136D1">
            <w:pPr>
              <w:pStyle w:val="S8Gazettetabletext"/>
            </w:pPr>
            <w:r>
              <w:t>96028</w:t>
            </w:r>
          </w:p>
        </w:tc>
      </w:tr>
      <w:tr w:rsidR="00EC3002" w:rsidRPr="007834FB" w14:paraId="57E274A6" w14:textId="77777777" w:rsidTr="004136D1">
        <w:trPr>
          <w:cantSplit/>
        </w:trPr>
        <w:tc>
          <w:tcPr>
            <w:tcW w:w="1100" w:type="pct"/>
            <w:shd w:val="clear" w:color="auto" w:fill="D9D9D9"/>
          </w:tcPr>
          <w:p w14:paraId="7F905F10" w14:textId="5D5E006C" w:rsidR="00EC3002" w:rsidRPr="007834FB" w:rsidRDefault="004136D1" w:rsidP="004136D1">
            <w:pPr>
              <w:pStyle w:val="S8Gazettetableheading"/>
            </w:pPr>
            <w:r>
              <w:t>Label approval no.</w:t>
            </w:r>
          </w:p>
        </w:tc>
        <w:tc>
          <w:tcPr>
            <w:tcW w:w="3900" w:type="pct"/>
            <w:shd w:val="clear" w:color="auto" w:fill="FFFFFF"/>
          </w:tcPr>
          <w:p w14:paraId="609BE664" w14:textId="78839249" w:rsidR="00EC3002" w:rsidRPr="007834FB" w:rsidRDefault="004136D1" w:rsidP="004136D1">
            <w:pPr>
              <w:pStyle w:val="S8Gazettetabletext"/>
            </w:pPr>
            <w:r>
              <w:t>96028/147971</w:t>
            </w:r>
          </w:p>
        </w:tc>
      </w:tr>
      <w:tr w:rsidR="00EC3002" w:rsidRPr="007834FB" w14:paraId="54E0B50C" w14:textId="77777777" w:rsidTr="004136D1">
        <w:trPr>
          <w:cantSplit/>
        </w:trPr>
        <w:tc>
          <w:tcPr>
            <w:tcW w:w="1100" w:type="pct"/>
            <w:shd w:val="clear" w:color="auto" w:fill="D9D9D9"/>
          </w:tcPr>
          <w:p w14:paraId="25A1FAD8" w14:textId="31FC8CA9"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220F195" w14:textId="472E8CA7" w:rsidR="00EC3002" w:rsidRPr="007834FB" w:rsidRDefault="004136D1" w:rsidP="004136D1">
            <w:pPr>
              <w:pStyle w:val="S8Gazettetabletext"/>
            </w:pPr>
            <w:r>
              <w:t xml:space="preserve">Registration of a 500 g/kg </w:t>
            </w:r>
            <w:proofErr w:type="spellStart"/>
            <w:r>
              <w:t>pymetrozine</w:t>
            </w:r>
            <w:proofErr w:type="spellEnd"/>
            <w:r>
              <w:t xml:space="preserve"> water dispersible granule (WG) product for control of aphids in cotton, brassica vegetables, potatoes and stone fruit</w:t>
            </w:r>
          </w:p>
        </w:tc>
      </w:tr>
    </w:tbl>
    <w:p w14:paraId="4B8E77FB"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7834FB" w14:paraId="66644504" w14:textId="77777777" w:rsidTr="004136D1">
        <w:trPr>
          <w:cantSplit/>
        </w:trPr>
        <w:tc>
          <w:tcPr>
            <w:tcW w:w="1100" w:type="pct"/>
            <w:shd w:val="clear" w:color="auto" w:fill="D9D9D9"/>
          </w:tcPr>
          <w:p w14:paraId="339DC43B" w14:textId="4C7AB3DB" w:rsidR="00EC3002" w:rsidRPr="007834FB" w:rsidRDefault="004136D1" w:rsidP="004136D1">
            <w:pPr>
              <w:pStyle w:val="S8Gazettetableheading"/>
            </w:pPr>
            <w:r>
              <w:t>Application no.</w:t>
            </w:r>
          </w:p>
        </w:tc>
        <w:tc>
          <w:tcPr>
            <w:tcW w:w="3900" w:type="pct"/>
            <w:shd w:val="clear" w:color="auto" w:fill="FFFFFF"/>
          </w:tcPr>
          <w:p w14:paraId="467DE26D" w14:textId="706AB20B" w:rsidR="00EC3002" w:rsidRPr="007834FB" w:rsidRDefault="004136D1" w:rsidP="004136D1">
            <w:pPr>
              <w:pStyle w:val="S8Gazettetabletext"/>
              <w:rPr>
                <w:noProof/>
              </w:rPr>
            </w:pPr>
            <w:r>
              <w:t>137982</w:t>
            </w:r>
          </w:p>
        </w:tc>
      </w:tr>
      <w:tr w:rsidR="00EC3002" w:rsidRPr="007834FB" w14:paraId="343BAED3" w14:textId="77777777" w:rsidTr="004136D1">
        <w:trPr>
          <w:cantSplit/>
        </w:trPr>
        <w:tc>
          <w:tcPr>
            <w:tcW w:w="1100" w:type="pct"/>
            <w:shd w:val="clear" w:color="auto" w:fill="D9D9D9"/>
          </w:tcPr>
          <w:p w14:paraId="2FB886FE" w14:textId="738822DB" w:rsidR="00EC3002" w:rsidRPr="007834FB" w:rsidRDefault="004136D1" w:rsidP="004136D1">
            <w:pPr>
              <w:pStyle w:val="S8Gazettetableheading"/>
            </w:pPr>
            <w:r>
              <w:t>Product name</w:t>
            </w:r>
          </w:p>
        </w:tc>
        <w:tc>
          <w:tcPr>
            <w:tcW w:w="3900" w:type="pct"/>
            <w:shd w:val="clear" w:color="auto" w:fill="FFFFFF"/>
          </w:tcPr>
          <w:p w14:paraId="551F7E43" w14:textId="59A9EE00" w:rsidR="00EC3002" w:rsidRPr="007834FB" w:rsidRDefault="004136D1" w:rsidP="004136D1">
            <w:pPr>
              <w:pStyle w:val="S8Gazettetabletext"/>
            </w:pPr>
            <w:proofErr w:type="spellStart"/>
            <w:r>
              <w:t>Farmalinx</w:t>
            </w:r>
            <w:proofErr w:type="spellEnd"/>
            <w:r>
              <w:t xml:space="preserve"> Volt 120 SC Insecticide</w:t>
            </w:r>
          </w:p>
        </w:tc>
      </w:tr>
      <w:tr w:rsidR="00EC3002" w:rsidRPr="007834FB" w14:paraId="30B0EB25" w14:textId="77777777" w:rsidTr="004136D1">
        <w:trPr>
          <w:cantSplit/>
        </w:trPr>
        <w:tc>
          <w:tcPr>
            <w:tcW w:w="1100" w:type="pct"/>
            <w:shd w:val="clear" w:color="auto" w:fill="D9D9D9"/>
          </w:tcPr>
          <w:p w14:paraId="70AEB05D" w14:textId="47463936" w:rsidR="00EC3002" w:rsidRPr="007834FB" w:rsidRDefault="004136D1" w:rsidP="004136D1">
            <w:pPr>
              <w:pStyle w:val="S8Gazettetableheading"/>
            </w:pPr>
            <w:r>
              <w:t>Active constituent</w:t>
            </w:r>
          </w:p>
        </w:tc>
        <w:tc>
          <w:tcPr>
            <w:tcW w:w="3900" w:type="pct"/>
            <w:shd w:val="clear" w:color="auto" w:fill="FFFFFF"/>
          </w:tcPr>
          <w:p w14:paraId="78B0C636" w14:textId="6549EA8F" w:rsidR="00EC3002" w:rsidRPr="007834FB" w:rsidRDefault="004136D1" w:rsidP="004136D1">
            <w:pPr>
              <w:pStyle w:val="S8Gazettetabletext"/>
            </w:pPr>
            <w:r>
              <w:t xml:space="preserve">120 g/L </w:t>
            </w:r>
            <w:proofErr w:type="spellStart"/>
            <w:r>
              <w:t>spinosad</w:t>
            </w:r>
            <w:proofErr w:type="spellEnd"/>
          </w:p>
        </w:tc>
      </w:tr>
      <w:tr w:rsidR="00EC3002" w:rsidRPr="007834FB" w14:paraId="126B4A69" w14:textId="77777777" w:rsidTr="004136D1">
        <w:trPr>
          <w:cantSplit/>
        </w:trPr>
        <w:tc>
          <w:tcPr>
            <w:tcW w:w="1100" w:type="pct"/>
            <w:shd w:val="clear" w:color="auto" w:fill="D9D9D9"/>
          </w:tcPr>
          <w:p w14:paraId="0E39C914" w14:textId="3E328231" w:rsidR="00EC3002" w:rsidRPr="007834FB" w:rsidRDefault="004136D1" w:rsidP="004136D1">
            <w:pPr>
              <w:pStyle w:val="S8Gazettetableheading"/>
            </w:pPr>
            <w:r>
              <w:t>Applicant name</w:t>
            </w:r>
          </w:p>
        </w:tc>
        <w:tc>
          <w:tcPr>
            <w:tcW w:w="3900" w:type="pct"/>
            <w:shd w:val="clear" w:color="auto" w:fill="FFFFFF"/>
          </w:tcPr>
          <w:p w14:paraId="59E3C78D" w14:textId="0B89251A" w:rsidR="00EC3002" w:rsidRPr="007834FB" w:rsidRDefault="004136D1" w:rsidP="004136D1">
            <w:pPr>
              <w:pStyle w:val="S8Gazettetabletext"/>
            </w:pPr>
            <w:proofErr w:type="spellStart"/>
            <w:r>
              <w:t>Farmalinx</w:t>
            </w:r>
            <w:proofErr w:type="spellEnd"/>
            <w:r>
              <w:t xml:space="preserve"> Pty Ltd</w:t>
            </w:r>
          </w:p>
        </w:tc>
      </w:tr>
      <w:tr w:rsidR="00EC3002" w:rsidRPr="007834FB" w14:paraId="3F7C45AC" w14:textId="77777777" w:rsidTr="004136D1">
        <w:trPr>
          <w:cantSplit/>
        </w:trPr>
        <w:tc>
          <w:tcPr>
            <w:tcW w:w="1100" w:type="pct"/>
            <w:shd w:val="clear" w:color="auto" w:fill="D9D9D9"/>
          </w:tcPr>
          <w:p w14:paraId="39125DFC" w14:textId="5258E24D" w:rsidR="00EC3002" w:rsidRPr="007834FB" w:rsidRDefault="004136D1" w:rsidP="004136D1">
            <w:pPr>
              <w:pStyle w:val="S8Gazettetableheading"/>
            </w:pPr>
            <w:r>
              <w:t>Applicant ACN</w:t>
            </w:r>
          </w:p>
        </w:tc>
        <w:tc>
          <w:tcPr>
            <w:tcW w:w="3900" w:type="pct"/>
            <w:shd w:val="clear" w:color="auto" w:fill="FFFFFF"/>
          </w:tcPr>
          <w:p w14:paraId="10AC5D19" w14:textId="7612A998" w:rsidR="00EC3002" w:rsidRPr="007834FB" w:rsidRDefault="004136D1" w:rsidP="004136D1">
            <w:pPr>
              <w:pStyle w:val="S8Gazettetabletext"/>
            </w:pPr>
            <w:r>
              <w:t>134 353 245</w:t>
            </w:r>
          </w:p>
        </w:tc>
      </w:tr>
      <w:tr w:rsidR="00EC3002" w:rsidRPr="007834FB" w14:paraId="2A3D68C5" w14:textId="77777777" w:rsidTr="004136D1">
        <w:trPr>
          <w:cantSplit/>
        </w:trPr>
        <w:tc>
          <w:tcPr>
            <w:tcW w:w="1100" w:type="pct"/>
            <w:shd w:val="clear" w:color="auto" w:fill="D9D9D9"/>
          </w:tcPr>
          <w:p w14:paraId="1D89BD2A" w14:textId="57D00B77" w:rsidR="00EC3002" w:rsidRPr="007834FB" w:rsidRDefault="004136D1" w:rsidP="004136D1">
            <w:pPr>
              <w:pStyle w:val="S8Gazettetableheading"/>
            </w:pPr>
            <w:r>
              <w:t>Date of registration</w:t>
            </w:r>
          </w:p>
        </w:tc>
        <w:tc>
          <w:tcPr>
            <w:tcW w:w="3900" w:type="pct"/>
            <w:shd w:val="clear" w:color="auto" w:fill="FFFFFF"/>
          </w:tcPr>
          <w:p w14:paraId="482ABA64" w14:textId="43CECCE4" w:rsidR="00EC3002" w:rsidRPr="007834FB" w:rsidRDefault="004136D1" w:rsidP="004136D1">
            <w:pPr>
              <w:pStyle w:val="S8Gazettetabletext"/>
            </w:pPr>
            <w:r>
              <w:t>31 July 2025</w:t>
            </w:r>
          </w:p>
        </w:tc>
      </w:tr>
      <w:tr w:rsidR="00EC3002" w:rsidRPr="007834FB" w14:paraId="1C955E11" w14:textId="77777777" w:rsidTr="004136D1">
        <w:trPr>
          <w:cantSplit/>
        </w:trPr>
        <w:tc>
          <w:tcPr>
            <w:tcW w:w="1100" w:type="pct"/>
            <w:shd w:val="clear" w:color="auto" w:fill="D9D9D9"/>
          </w:tcPr>
          <w:p w14:paraId="10E90A43" w14:textId="135CF6D7" w:rsidR="00EC3002" w:rsidRPr="007834FB" w:rsidRDefault="004136D1" w:rsidP="004136D1">
            <w:pPr>
              <w:pStyle w:val="S8Gazettetableheading"/>
            </w:pPr>
            <w:r>
              <w:t>Product registration no.</w:t>
            </w:r>
          </w:p>
        </w:tc>
        <w:tc>
          <w:tcPr>
            <w:tcW w:w="3900" w:type="pct"/>
            <w:shd w:val="clear" w:color="auto" w:fill="FFFFFF"/>
          </w:tcPr>
          <w:p w14:paraId="573B64C2" w14:textId="05FA1EE8" w:rsidR="00EC3002" w:rsidRPr="007834FB" w:rsidRDefault="004136D1" w:rsidP="004136D1">
            <w:pPr>
              <w:pStyle w:val="S8Gazettetabletext"/>
            </w:pPr>
            <w:r>
              <w:t>93107</w:t>
            </w:r>
          </w:p>
        </w:tc>
      </w:tr>
      <w:tr w:rsidR="00EC3002" w:rsidRPr="007834FB" w14:paraId="6B7225AE" w14:textId="77777777" w:rsidTr="004136D1">
        <w:trPr>
          <w:cantSplit/>
        </w:trPr>
        <w:tc>
          <w:tcPr>
            <w:tcW w:w="1100" w:type="pct"/>
            <w:shd w:val="clear" w:color="auto" w:fill="D9D9D9"/>
          </w:tcPr>
          <w:p w14:paraId="294661C2" w14:textId="433AA5E8" w:rsidR="00EC3002" w:rsidRPr="007834FB" w:rsidRDefault="004136D1" w:rsidP="004136D1">
            <w:pPr>
              <w:pStyle w:val="S8Gazettetableheading"/>
            </w:pPr>
            <w:r>
              <w:t>Label approval no.</w:t>
            </w:r>
          </w:p>
        </w:tc>
        <w:tc>
          <w:tcPr>
            <w:tcW w:w="3900" w:type="pct"/>
            <w:shd w:val="clear" w:color="auto" w:fill="FFFFFF"/>
          </w:tcPr>
          <w:p w14:paraId="0C211011" w14:textId="3C862BBF" w:rsidR="00EC3002" w:rsidRPr="007834FB" w:rsidRDefault="004136D1" w:rsidP="004136D1">
            <w:pPr>
              <w:pStyle w:val="S8Gazettetabletext"/>
            </w:pPr>
            <w:r>
              <w:t>93107/137982</w:t>
            </w:r>
          </w:p>
        </w:tc>
      </w:tr>
      <w:tr w:rsidR="00EC3002" w:rsidRPr="007834FB" w14:paraId="0FEB1D7A" w14:textId="77777777" w:rsidTr="004136D1">
        <w:trPr>
          <w:cantSplit/>
        </w:trPr>
        <w:tc>
          <w:tcPr>
            <w:tcW w:w="1100" w:type="pct"/>
            <w:shd w:val="clear" w:color="auto" w:fill="D9D9D9"/>
          </w:tcPr>
          <w:p w14:paraId="151C6552" w14:textId="4647DC5E"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7D67BDD9" w14:textId="52D4A704" w:rsidR="00EC3002" w:rsidRPr="007834FB" w:rsidRDefault="004136D1" w:rsidP="004136D1">
            <w:pPr>
              <w:pStyle w:val="S8Gazettetabletext"/>
            </w:pPr>
            <w:r>
              <w:t xml:space="preserve">Registration of a 120 g/L </w:t>
            </w:r>
            <w:proofErr w:type="spellStart"/>
            <w:r>
              <w:t>spinosad</w:t>
            </w:r>
            <w:proofErr w:type="spellEnd"/>
            <w:r>
              <w:t xml:space="preserve"> suspension concentrate (SC) product for treatment of </w:t>
            </w:r>
            <w:proofErr w:type="spellStart"/>
            <w:r>
              <w:t>argentine</w:t>
            </w:r>
            <w:proofErr w:type="spellEnd"/>
            <w:r>
              <w:t xml:space="preserve"> stem weevil (</w:t>
            </w:r>
            <w:proofErr w:type="spellStart"/>
            <w:r>
              <w:t>Listronotus</w:t>
            </w:r>
            <w:proofErr w:type="spellEnd"/>
            <w:r>
              <w:t xml:space="preserve"> </w:t>
            </w:r>
            <w:proofErr w:type="spellStart"/>
            <w:r>
              <w:t>bonariensis</w:t>
            </w:r>
            <w:proofErr w:type="spellEnd"/>
            <w:r>
              <w:t xml:space="preserve">) in </w:t>
            </w:r>
            <w:proofErr w:type="spellStart"/>
            <w:r>
              <w:t>bentgrass</w:t>
            </w:r>
            <w:proofErr w:type="spellEnd"/>
          </w:p>
        </w:tc>
      </w:tr>
    </w:tbl>
    <w:p w14:paraId="49D69DAC" w14:textId="01F5B889" w:rsidR="00EC3002" w:rsidRDefault="00EC3002" w:rsidP="004136D1">
      <w:pPr>
        <w:pStyle w:val="S8Gazettetabletext"/>
      </w:pPr>
    </w:p>
    <w:tbl>
      <w:tblPr>
        <w:tblStyle w:val="TableGrid"/>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32"/>
      </w:tblGrid>
      <w:tr w:rsidR="00EC3002" w:rsidRPr="007C68CA" w14:paraId="2A3936E8" w14:textId="77777777" w:rsidTr="004136D1">
        <w:trPr>
          <w:cantSplit/>
          <w:trHeight w:val="316"/>
          <w:tblHeader/>
        </w:trPr>
        <w:tc>
          <w:tcPr>
            <w:tcW w:w="1100" w:type="pct"/>
            <w:shd w:val="clear" w:color="auto" w:fill="D9D9D9"/>
          </w:tcPr>
          <w:p w14:paraId="496BACD8" w14:textId="10D30376" w:rsidR="00EC3002" w:rsidRPr="007C68CA" w:rsidRDefault="004136D1" w:rsidP="004136D1">
            <w:pPr>
              <w:pStyle w:val="S8Gazettetableheading"/>
            </w:pPr>
            <w:r>
              <w:lastRenderedPageBreak/>
              <w:t>Application no.</w:t>
            </w:r>
          </w:p>
        </w:tc>
        <w:tc>
          <w:tcPr>
            <w:tcW w:w="3900" w:type="pct"/>
            <w:shd w:val="clear" w:color="auto" w:fill="FFFFFF"/>
          </w:tcPr>
          <w:p w14:paraId="42D2C0BF" w14:textId="365FB670" w:rsidR="00EC3002" w:rsidRPr="007C68CA" w:rsidRDefault="004136D1" w:rsidP="004136D1">
            <w:pPr>
              <w:pStyle w:val="S8Gazettetabletext"/>
            </w:pPr>
            <w:r>
              <w:t>143884</w:t>
            </w:r>
          </w:p>
        </w:tc>
      </w:tr>
      <w:tr w:rsidR="00EC3002" w:rsidRPr="007C68CA" w14:paraId="5A90F399" w14:textId="77777777" w:rsidTr="004136D1">
        <w:trPr>
          <w:cantSplit/>
          <w:trHeight w:val="316"/>
          <w:tblHeader/>
        </w:trPr>
        <w:tc>
          <w:tcPr>
            <w:tcW w:w="1100" w:type="pct"/>
            <w:shd w:val="clear" w:color="auto" w:fill="D9D9D9"/>
          </w:tcPr>
          <w:p w14:paraId="6FFC1BC0" w14:textId="00D65CD0" w:rsidR="00EC3002" w:rsidRPr="007C68CA" w:rsidRDefault="004136D1" w:rsidP="004136D1">
            <w:pPr>
              <w:pStyle w:val="S8Gazettetableheading"/>
            </w:pPr>
            <w:r>
              <w:t>Product name</w:t>
            </w:r>
          </w:p>
        </w:tc>
        <w:tc>
          <w:tcPr>
            <w:tcW w:w="3900" w:type="pct"/>
            <w:shd w:val="clear" w:color="auto" w:fill="FFFFFF"/>
          </w:tcPr>
          <w:p w14:paraId="35C17ACE" w14:textId="0A07FF2F" w:rsidR="00EC3002" w:rsidRPr="007C68CA" w:rsidRDefault="004136D1" w:rsidP="004136D1">
            <w:pPr>
              <w:pStyle w:val="S8Gazettetabletext"/>
            </w:pPr>
            <w:r>
              <w:t>Primo HG Turf Growth Regulator</w:t>
            </w:r>
          </w:p>
        </w:tc>
      </w:tr>
      <w:tr w:rsidR="00EC3002" w:rsidRPr="007C68CA" w14:paraId="5C201A87" w14:textId="77777777" w:rsidTr="004136D1">
        <w:trPr>
          <w:cantSplit/>
          <w:trHeight w:val="316"/>
          <w:tblHeader/>
        </w:trPr>
        <w:tc>
          <w:tcPr>
            <w:tcW w:w="1100" w:type="pct"/>
            <w:shd w:val="clear" w:color="auto" w:fill="D9D9D9"/>
          </w:tcPr>
          <w:p w14:paraId="05DE085B" w14:textId="65FB47B0" w:rsidR="00EC3002" w:rsidRPr="007C68CA" w:rsidRDefault="004136D1" w:rsidP="004136D1">
            <w:pPr>
              <w:pStyle w:val="S8Gazettetableheading"/>
            </w:pPr>
            <w:r>
              <w:t>Active constituent</w:t>
            </w:r>
          </w:p>
        </w:tc>
        <w:tc>
          <w:tcPr>
            <w:tcW w:w="3900" w:type="pct"/>
            <w:shd w:val="clear" w:color="auto" w:fill="FFFFFF"/>
          </w:tcPr>
          <w:p w14:paraId="31F34162" w14:textId="5DF165C9" w:rsidR="00EC3002" w:rsidRPr="007C68CA" w:rsidRDefault="004136D1" w:rsidP="004136D1">
            <w:pPr>
              <w:pStyle w:val="S8Gazettetabletext"/>
            </w:pPr>
            <w:r>
              <w:t xml:space="preserve">120 g/L </w:t>
            </w:r>
            <w:proofErr w:type="spellStart"/>
            <w:r>
              <w:t>trinexapac</w:t>
            </w:r>
            <w:proofErr w:type="spellEnd"/>
            <w:r>
              <w:t>-ethyl</w:t>
            </w:r>
          </w:p>
        </w:tc>
      </w:tr>
      <w:tr w:rsidR="00EC3002" w:rsidRPr="007C68CA" w14:paraId="2F937392" w14:textId="77777777" w:rsidTr="004136D1">
        <w:trPr>
          <w:cantSplit/>
          <w:trHeight w:val="316"/>
          <w:tblHeader/>
        </w:trPr>
        <w:tc>
          <w:tcPr>
            <w:tcW w:w="1100" w:type="pct"/>
            <w:shd w:val="clear" w:color="auto" w:fill="D9D9D9"/>
          </w:tcPr>
          <w:p w14:paraId="56A68349" w14:textId="317F19E7" w:rsidR="00EC3002" w:rsidRPr="007C68CA" w:rsidRDefault="004136D1" w:rsidP="004136D1">
            <w:pPr>
              <w:pStyle w:val="S8Gazettetableheading"/>
            </w:pPr>
            <w:r>
              <w:t>Applicant name</w:t>
            </w:r>
          </w:p>
        </w:tc>
        <w:tc>
          <w:tcPr>
            <w:tcW w:w="3900" w:type="pct"/>
            <w:shd w:val="clear" w:color="auto" w:fill="FFFFFF"/>
          </w:tcPr>
          <w:p w14:paraId="4D0763FB" w14:textId="5F2C8D57" w:rsidR="00EC3002" w:rsidRPr="007C68CA" w:rsidRDefault="004136D1" w:rsidP="004136D1">
            <w:pPr>
              <w:pStyle w:val="S8Gazettetabletext"/>
            </w:pPr>
            <w:r>
              <w:t>Syngenta Australia Pty Ltd</w:t>
            </w:r>
          </w:p>
        </w:tc>
      </w:tr>
      <w:tr w:rsidR="00EC3002" w:rsidRPr="007C68CA" w14:paraId="5D0440B8" w14:textId="77777777" w:rsidTr="004136D1">
        <w:trPr>
          <w:cantSplit/>
          <w:trHeight w:val="316"/>
          <w:tblHeader/>
        </w:trPr>
        <w:tc>
          <w:tcPr>
            <w:tcW w:w="1100" w:type="pct"/>
            <w:shd w:val="clear" w:color="auto" w:fill="D9D9D9"/>
          </w:tcPr>
          <w:p w14:paraId="46C56448" w14:textId="1BFA96B6" w:rsidR="00EC3002" w:rsidRPr="007C68CA" w:rsidRDefault="004136D1" w:rsidP="004136D1">
            <w:pPr>
              <w:pStyle w:val="S8Gazettetableheading"/>
            </w:pPr>
            <w:r>
              <w:t>Applicant ACN</w:t>
            </w:r>
          </w:p>
        </w:tc>
        <w:tc>
          <w:tcPr>
            <w:tcW w:w="3900" w:type="pct"/>
            <w:shd w:val="clear" w:color="auto" w:fill="FFFFFF"/>
          </w:tcPr>
          <w:p w14:paraId="1DA4F97F" w14:textId="4A171426" w:rsidR="00EC3002" w:rsidRPr="007C68CA" w:rsidRDefault="004136D1" w:rsidP="004136D1">
            <w:pPr>
              <w:pStyle w:val="S8Gazettetabletext"/>
            </w:pPr>
            <w:r>
              <w:t>002 933 717</w:t>
            </w:r>
          </w:p>
        </w:tc>
      </w:tr>
      <w:tr w:rsidR="00EC3002" w:rsidRPr="007C68CA" w14:paraId="1FBB3243" w14:textId="77777777" w:rsidTr="004136D1">
        <w:trPr>
          <w:cantSplit/>
          <w:trHeight w:val="316"/>
          <w:tblHeader/>
        </w:trPr>
        <w:tc>
          <w:tcPr>
            <w:tcW w:w="1100" w:type="pct"/>
            <w:shd w:val="clear" w:color="auto" w:fill="D9D9D9"/>
          </w:tcPr>
          <w:p w14:paraId="0733CCE8" w14:textId="5491B12A" w:rsidR="00EC3002" w:rsidRPr="007C68CA" w:rsidRDefault="004136D1" w:rsidP="004136D1">
            <w:pPr>
              <w:pStyle w:val="S8Gazettetableheading"/>
            </w:pPr>
            <w:r>
              <w:t>Date of registration</w:t>
            </w:r>
          </w:p>
        </w:tc>
        <w:tc>
          <w:tcPr>
            <w:tcW w:w="3900" w:type="pct"/>
            <w:shd w:val="clear" w:color="auto" w:fill="FFFFFF"/>
          </w:tcPr>
          <w:p w14:paraId="69488FA2" w14:textId="4C8B86A7" w:rsidR="00EC3002" w:rsidRPr="007C68CA" w:rsidRDefault="004136D1" w:rsidP="004136D1">
            <w:pPr>
              <w:pStyle w:val="S8Gazettetabletext"/>
            </w:pPr>
            <w:r>
              <w:t>1 August 2025</w:t>
            </w:r>
          </w:p>
        </w:tc>
      </w:tr>
      <w:tr w:rsidR="00EC3002" w:rsidRPr="007C68CA" w14:paraId="64B9B8DC" w14:textId="77777777" w:rsidTr="004136D1">
        <w:trPr>
          <w:cantSplit/>
          <w:trHeight w:val="316"/>
          <w:tblHeader/>
        </w:trPr>
        <w:tc>
          <w:tcPr>
            <w:tcW w:w="1100" w:type="pct"/>
            <w:shd w:val="clear" w:color="auto" w:fill="D9D9D9"/>
          </w:tcPr>
          <w:p w14:paraId="6B840A35" w14:textId="2BE4EB2D" w:rsidR="00EC3002" w:rsidRPr="007C68CA" w:rsidRDefault="004136D1" w:rsidP="004136D1">
            <w:pPr>
              <w:pStyle w:val="S8Gazettetableheading"/>
            </w:pPr>
            <w:r>
              <w:t>Product registration no.</w:t>
            </w:r>
          </w:p>
        </w:tc>
        <w:tc>
          <w:tcPr>
            <w:tcW w:w="3900" w:type="pct"/>
            <w:shd w:val="clear" w:color="auto" w:fill="FFFFFF"/>
          </w:tcPr>
          <w:p w14:paraId="4388733D" w14:textId="2634872A" w:rsidR="00EC3002" w:rsidRPr="007C68CA" w:rsidRDefault="004136D1" w:rsidP="004136D1">
            <w:pPr>
              <w:pStyle w:val="S8Gazettetabletext"/>
            </w:pPr>
            <w:r>
              <w:t>94862</w:t>
            </w:r>
          </w:p>
        </w:tc>
      </w:tr>
      <w:tr w:rsidR="00EC3002" w:rsidRPr="007C68CA" w14:paraId="386B53C1" w14:textId="77777777" w:rsidTr="004136D1">
        <w:trPr>
          <w:cantSplit/>
          <w:trHeight w:val="316"/>
          <w:tblHeader/>
        </w:trPr>
        <w:tc>
          <w:tcPr>
            <w:tcW w:w="1100" w:type="pct"/>
            <w:shd w:val="clear" w:color="auto" w:fill="D9D9D9"/>
          </w:tcPr>
          <w:p w14:paraId="43F5B79F" w14:textId="4597A158" w:rsidR="00EC3002" w:rsidRPr="007C68CA" w:rsidRDefault="004136D1" w:rsidP="004136D1">
            <w:pPr>
              <w:pStyle w:val="S8Gazettetableheading"/>
            </w:pPr>
            <w:r>
              <w:t>Label approval no.</w:t>
            </w:r>
          </w:p>
        </w:tc>
        <w:tc>
          <w:tcPr>
            <w:tcW w:w="3900" w:type="pct"/>
            <w:shd w:val="clear" w:color="auto" w:fill="FFFFFF"/>
          </w:tcPr>
          <w:p w14:paraId="44923796" w14:textId="0637C0FF" w:rsidR="00EC3002" w:rsidRPr="007C68CA" w:rsidRDefault="004136D1" w:rsidP="004136D1">
            <w:pPr>
              <w:pStyle w:val="S8Gazettetabletext"/>
            </w:pPr>
            <w:r>
              <w:t>94862/143884</w:t>
            </w:r>
          </w:p>
        </w:tc>
      </w:tr>
      <w:tr w:rsidR="00EC3002" w:rsidRPr="007C68CA" w14:paraId="67E5AC39" w14:textId="77777777" w:rsidTr="004136D1">
        <w:trPr>
          <w:cantSplit/>
          <w:trHeight w:val="1114"/>
          <w:tblHeader/>
        </w:trPr>
        <w:tc>
          <w:tcPr>
            <w:tcW w:w="1100" w:type="pct"/>
            <w:shd w:val="clear" w:color="auto" w:fill="D9D9D9"/>
          </w:tcPr>
          <w:p w14:paraId="0878D9ED" w14:textId="5478FBBA" w:rsidR="00EC3002" w:rsidRPr="007C68CA"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F4CFF2A" w14:textId="6CF79DD5" w:rsidR="00EC3002" w:rsidRPr="007C68CA" w:rsidRDefault="004136D1" w:rsidP="004136D1">
            <w:pPr>
              <w:pStyle w:val="S8Gazettetabletext"/>
            </w:pPr>
            <w:r>
              <w:t xml:space="preserve">Registration of a 120 g/L </w:t>
            </w:r>
            <w:proofErr w:type="spellStart"/>
            <w:r>
              <w:t>trinexapac</w:t>
            </w:r>
            <w:proofErr w:type="spellEnd"/>
            <w:r>
              <w:t>-ethyl, micro-emulsion (ME) product for regulation of leaf and stem growth of grass lawns and as an aid in turf management</w:t>
            </w:r>
          </w:p>
        </w:tc>
      </w:tr>
    </w:tbl>
    <w:p w14:paraId="710CE8DC"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7834FB" w14:paraId="2C58A4B7" w14:textId="77777777" w:rsidTr="004136D1">
        <w:trPr>
          <w:cantSplit/>
        </w:trPr>
        <w:tc>
          <w:tcPr>
            <w:tcW w:w="1100" w:type="pct"/>
            <w:shd w:val="clear" w:color="auto" w:fill="D9D9D9"/>
          </w:tcPr>
          <w:p w14:paraId="174E3E2E" w14:textId="23A46128" w:rsidR="00EC3002" w:rsidRPr="007834FB" w:rsidRDefault="004136D1" w:rsidP="004136D1">
            <w:pPr>
              <w:pStyle w:val="S8Gazettetableheading"/>
            </w:pPr>
            <w:r>
              <w:t>Application no.</w:t>
            </w:r>
          </w:p>
        </w:tc>
        <w:tc>
          <w:tcPr>
            <w:tcW w:w="3900" w:type="pct"/>
            <w:shd w:val="clear" w:color="auto" w:fill="FFFFFF"/>
          </w:tcPr>
          <w:p w14:paraId="2FB420BC" w14:textId="70DC4FC5" w:rsidR="00EC3002" w:rsidRPr="007834FB" w:rsidRDefault="004136D1" w:rsidP="004136D1">
            <w:pPr>
              <w:pStyle w:val="S8Gazettetabletext"/>
              <w:rPr>
                <w:noProof/>
              </w:rPr>
            </w:pPr>
            <w:r>
              <w:t>148157</w:t>
            </w:r>
          </w:p>
        </w:tc>
      </w:tr>
      <w:tr w:rsidR="00EC3002" w:rsidRPr="007834FB" w14:paraId="49E2DE6E" w14:textId="77777777" w:rsidTr="004136D1">
        <w:trPr>
          <w:cantSplit/>
        </w:trPr>
        <w:tc>
          <w:tcPr>
            <w:tcW w:w="1100" w:type="pct"/>
            <w:shd w:val="clear" w:color="auto" w:fill="D9D9D9"/>
          </w:tcPr>
          <w:p w14:paraId="5FB3C0D8" w14:textId="7E03AB2C" w:rsidR="00EC3002" w:rsidRPr="007834FB" w:rsidRDefault="004136D1" w:rsidP="004136D1">
            <w:pPr>
              <w:pStyle w:val="S8Gazettetableheading"/>
            </w:pPr>
            <w:r>
              <w:t>Product name</w:t>
            </w:r>
          </w:p>
        </w:tc>
        <w:tc>
          <w:tcPr>
            <w:tcW w:w="3900" w:type="pct"/>
            <w:shd w:val="clear" w:color="auto" w:fill="FFFFFF"/>
          </w:tcPr>
          <w:p w14:paraId="0DF9F96F" w14:textId="1358AFFB" w:rsidR="00EC3002" w:rsidRPr="007834FB" w:rsidRDefault="004136D1" w:rsidP="004136D1">
            <w:pPr>
              <w:pStyle w:val="S8Gazettetabletext"/>
            </w:pPr>
            <w:r>
              <w:t>Swan Acidifier Pro 700 Spray Adjuvant</w:t>
            </w:r>
          </w:p>
        </w:tc>
      </w:tr>
      <w:tr w:rsidR="00EC3002" w:rsidRPr="007834FB" w14:paraId="191C6EBB" w14:textId="77777777" w:rsidTr="004136D1">
        <w:trPr>
          <w:cantSplit/>
        </w:trPr>
        <w:tc>
          <w:tcPr>
            <w:tcW w:w="1100" w:type="pct"/>
            <w:shd w:val="clear" w:color="auto" w:fill="D9D9D9"/>
          </w:tcPr>
          <w:p w14:paraId="1F7C0A43" w14:textId="2F891769" w:rsidR="00EC3002" w:rsidRPr="007834FB" w:rsidRDefault="004136D1" w:rsidP="004136D1">
            <w:pPr>
              <w:pStyle w:val="S8Gazettetableheading"/>
            </w:pPr>
            <w:r>
              <w:t>Active constituents</w:t>
            </w:r>
          </w:p>
        </w:tc>
        <w:tc>
          <w:tcPr>
            <w:tcW w:w="3900" w:type="pct"/>
            <w:shd w:val="clear" w:color="auto" w:fill="FFFFFF"/>
          </w:tcPr>
          <w:p w14:paraId="74A2802F" w14:textId="6502FD33" w:rsidR="00EC3002" w:rsidRPr="007834FB" w:rsidRDefault="004136D1" w:rsidP="004136D1">
            <w:pPr>
              <w:pStyle w:val="S8Gazettetabletext"/>
            </w:pPr>
            <w:r>
              <w:t xml:space="preserve">350 g/L </w:t>
            </w:r>
            <w:proofErr w:type="spellStart"/>
            <w:r>
              <w:t>soyal</w:t>
            </w:r>
            <w:proofErr w:type="spellEnd"/>
            <w:r>
              <w:t xml:space="preserve"> phospholipids, 350 g/L propionic acid</w:t>
            </w:r>
          </w:p>
        </w:tc>
      </w:tr>
      <w:tr w:rsidR="00EC3002" w:rsidRPr="007834FB" w14:paraId="3409E2AA" w14:textId="77777777" w:rsidTr="004136D1">
        <w:trPr>
          <w:cantSplit/>
        </w:trPr>
        <w:tc>
          <w:tcPr>
            <w:tcW w:w="1100" w:type="pct"/>
            <w:shd w:val="clear" w:color="auto" w:fill="D9D9D9"/>
          </w:tcPr>
          <w:p w14:paraId="72D0C5E3" w14:textId="45453D18" w:rsidR="00EC3002" w:rsidRPr="007834FB" w:rsidRDefault="004136D1" w:rsidP="004136D1">
            <w:pPr>
              <w:pStyle w:val="S8Gazettetableheading"/>
            </w:pPr>
            <w:r>
              <w:t>Applicant name</w:t>
            </w:r>
          </w:p>
        </w:tc>
        <w:tc>
          <w:tcPr>
            <w:tcW w:w="3900" w:type="pct"/>
            <w:shd w:val="clear" w:color="auto" w:fill="FFFFFF"/>
          </w:tcPr>
          <w:p w14:paraId="4E447A05" w14:textId="65175280" w:rsidR="00EC3002" w:rsidRPr="007834FB" w:rsidRDefault="004136D1" w:rsidP="004136D1">
            <w:pPr>
              <w:pStyle w:val="S8Gazettetabletext"/>
            </w:pPr>
            <w:r>
              <w:t>Swan Chemical Holdings Pty Ltd</w:t>
            </w:r>
          </w:p>
        </w:tc>
      </w:tr>
      <w:tr w:rsidR="00EC3002" w:rsidRPr="007834FB" w14:paraId="2A2C7DA0" w14:textId="77777777" w:rsidTr="004136D1">
        <w:trPr>
          <w:cantSplit/>
        </w:trPr>
        <w:tc>
          <w:tcPr>
            <w:tcW w:w="1100" w:type="pct"/>
            <w:shd w:val="clear" w:color="auto" w:fill="D9D9D9"/>
          </w:tcPr>
          <w:p w14:paraId="7A496D38" w14:textId="7CFC974F" w:rsidR="00EC3002" w:rsidRPr="007834FB" w:rsidRDefault="004136D1" w:rsidP="004136D1">
            <w:pPr>
              <w:pStyle w:val="S8Gazettetableheading"/>
            </w:pPr>
            <w:r>
              <w:t>Applicant ACN</w:t>
            </w:r>
          </w:p>
        </w:tc>
        <w:tc>
          <w:tcPr>
            <w:tcW w:w="3900" w:type="pct"/>
            <w:shd w:val="clear" w:color="auto" w:fill="FFFFFF"/>
          </w:tcPr>
          <w:p w14:paraId="6DEFF8E6" w14:textId="66402545" w:rsidR="00EC3002" w:rsidRPr="007834FB" w:rsidRDefault="004136D1" w:rsidP="004136D1">
            <w:pPr>
              <w:pStyle w:val="S8Gazettetabletext"/>
            </w:pPr>
            <w:r>
              <w:t>669 863 067</w:t>
            </w:r>
          </w:p>
        </w:tc>
      </w:tr>
      <w:tr w:rsidR="00EC3002" w:rsidRPr="007834FB" w14:paraId="5E643335" w14:textId="77777777" w:rsidTr="004136D1">
        <w:trPr>
          <w:cantSplit/>
        </w:trPr>
        <w:tc>
          <w:tcPr>
            <w:tcW w:w="1100" w:type="pct"/>
            <w:shd w:val="clear" w:color="auto" w:fill="D9D9D9"/>
          </w:tcPr>
          <w:p w14:paraId="07DC3686" w14:textId="279742CD" w:rsidR="00EC3002" w:rsidRPr="007834FB" w:rsidRDefault="004136D1" w:rsidP="004136D1">
            <w:pPr>
              <w:pStyle w:val="S8Gazettetableheading"/>
            </w:pPr>
            <w:r>
              <w:t>Date of registration</w:t>
            </w:r>
          </w:p>
        </w:tc>
        <w:tc>
          <w:tcPr>
            <w:tcW w:w="3900" w:type="pct"/>
            <w:shd w:val="clear" w:color="auto" w:fill="FFFFFF"/>
          </w:tcPr>
          <w:p w14:paraId="26246C87" w14:textId="6CD15BE0" w:rsidR="00EC3002" w:rsidRPr="007834FB" w:rsidRDefault="004136D1" w:rsidP="004136D1">
            <w:pPr>
              <w:pStyle w:val="S8Gazettetabletext"/>
            </w:pPr>
            <w:r>
              <w:t>5 August 2025</w:t>
            </w:r>
          </w:p>
        </w:tc>
      </w:tr>
      <w:tr w:rsidR="00EC3002" w:rsidRPr="007834FB" w14:paraId="358D4FB8" w14:textId="77777777" w:rsidTr="004136D1">
        <w:trPr>
          <w:cantSplit/>
        </w:trPr>
        <w:tc>
          <w:tcPr>
            <w:tcW w:w="1100" w:type="pct"/>
            <w:shd w:val="clear" w:color="auto" w:fill="D9D9D9"/>
          </w:tcPr>
          <w:p w14:paraId="450D72FD" w14:textId="490F2BED" w:rsidR="00EC3002" w:rsidRPr="007834FB" w:rsidRDefault="004136D1" w:rsidP="004136D1">
            <w:pPr>
              <w:pStyle w:val="S8Gazettetableheading"/>
            </w:pPr>
            <w:r>
              <w:t>Product registration no.</w:t>
            </w:r>
          </w:p>
        </w:tc>
        <w:tc>
          <w:tcPr>
            <w:tcW w:w="3900" w:type="pct"/>
            <w:shd w:val="clear" w:color="auto" w:fill="FFFFFF"/>
          </w:tcPr>
          <w:p w14:paraId="30011B9E" w14:textId="50FE54EA" w:rsidR="00EC3002" w:rsidRPr="007834FB" w:rsidRDefault="004136D1" w:rsidP="004136D1">
            <w:pPr>
              <w:pStyle w:val="S8Gazettetabletext"/>
            </w:pPr>
            <w:r>
              <w:t>96096</w:t>
            </w:r>
          </w:p>
        </w:tc>
      </w:tr>
      <w:tr w:rsidR="00EC3002" w:rsidRPr="007834FB" w14:paraId="1EA75127" w14:textId="77777777" w:rsidTr="004136D1">
        <w:trPr>
          <w:cantSplit/>
        </w:trPr>
        <w:tc>
          <w:tcPr>
            <w:tcW w:w="1100" w:type="pct"/>
            <w:shd w:val="clear" w:color="auto" w:fill="D9D9D9"/>
          </w:tcPr>
          <w:p w14:paraId="09381F16" w14:textId="22A30E60" w:rsidR="00EC3002" w:rsidRPr="007834FB" w:rsidRDefault="004136D1" w:rsidP="004136D1">
            <w:pPr>
              <w:pStyle w:val="S8Gazettetableheading"/>
            </w:pPr>
            <w:r>
              <w:t>Label approval no.</w:t>
            </w:r>
          </w:p>
        </w:tc>
        <w:tc>
          <w:tcPr>
            <w:tcW w:w="3900" w:type="pct"/>
            <w:shd w:val="clear" w:color="auto" w:fill="FFFFFF"/>
          </w:tcPr>
          <w:p w14:paraId="490D4F48" w14:textId="7E54ED14" w:rsidR="00EC3002" w:rsidRPr="007834FB" w:rsidRDefault="004136D1" w:rsidP="004136D1">
            <w:pPr>
              <w:pStyle w:val="S8Gazettetabletext"/>
            </w:pPr>
            <w:r>
              <w:t>96096/148157</w:t>
            </w:r>
          </w:p>
        </w:tc>
      </w:tr>
      <w:tr w:rsidR="00EC3002" w:rsidRPr="007834FB" w14:paraId="5255B6C4" w14:textId="77777777" w:rsidTr="004136D1">
        <w:trPr>
          <w:cantSplit/>
        </w:trPr>
        <w:tc>
          <w:tcPr>
            <w:tcW w:w="1100" w:type="pct"/>
            <w:shd w:val="clear" w:color="auto" w:fill="D9D9D9"/>
          </w:tcPr>
          <w:p w14:paraId="13E11066" w14:textId="07D6D51B"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C3EDA9E" w14:textId="63E1293C" w:rsidR="00EC3002" w:rsidRPr="007834FB" w:rsidRDefault="004136D1" w:rsidP="004136D1">
            <w:pPr>
              <w:pStyle w:val="S8Gazettetabletext"/>
            </w:pPr>
            <w:r>
              <w:t xml:space="preserve">Registration of a 350 g/L </w:t>
            </w:r>
            <w:proofErr w:type="spellStart"/>
            <w:r>
              <w:t>soyal</w:t>
            </w:r>
            <w:proofErr w:type="spellEnd"/>
            <w:r>
              <w:t xml:space="preserve"> phospholipids </w:t>
            </w:r>
            <w:r w:rsidR="00111DE5">
              <w:t>and</w:t>
            </w:r>
            <w:r>
              <w:t xml:space="preserve"> 350 g/L propionic acid product, formulated as a dispersible concentrate (DC) for use as an acidifying and penetrating surfactant, which reduces alkaline hydrolysis of dimethoate, assists with uptake of foliar fertilisers and assists in management of spray droplet spectra</w:t>
            </w:r>
          </w:p>
        </w:tc>
      </w:tr>
    </w:tbl>
    <w:p w14:paraId="3D514F1A"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7834FB" w14:paraId="793C5165" w14:textId="77777777" w:rsidTr="004136D1">
        <w:trPr>
          <w:cantSplit/>
        </w:trPr>
        <w:tc>
          <w:tcPr>
            <w:tcW w:w="1100" w:type="pct"/>
            <w:shd w:val="clear" w:color="auto" w:fill="D9D9D9"/>
          </w:tcPr>
          <w:p w14:paraId="73546060" w14:textId="5488BF45" w:rsidR="00EC3002" w:rsidRPr="007834FB" w:rsidRDefault="004136D1" w:rsidP="004136D1">
            <w:pPr>
              <w:pStyle w:val="S8Gazettetableheading"/>
            </w:pPr>
            <w:r>
              <w:t>Application no.</w:t>
            </w:r>
          </w:p>
        </w:tc>
        <w:tc>
          <w:tcPr>
            <w:tcW w:w="3900" w:type="pct"/>
            <w:shd w:val="clear" w:color="auto" w:fill="FFFFFF"/>
          </w:tcPr>
          <w:p w14:paraId="07022B1B" w14:textId="3BEB9C9F" w:rsidR="00EC3002" w:rsidRPr="007834FB" w:rsidRDefault="004136D1" w:rsidP="004136D1">
            <w:pPr>
              <w:pStyle w:val="S8Gazettetabletext"/>
              <w:rPr>
                <w:noProof/>
              </w:rPr>
            </w:pPr>
            <w:r>
              <w:t>143465</w:t>
            </w:r>
          </w:p>
        </w:tc>
      </w:tr>
      <w:tr w:rsidR="00EC3002" w:rsidRPr="007834FB" w14:paraId="48EEF7E4" w14:textId="77777777" w:rsidTr="004136D1">
        <w:trPr>
          <w:cantSplit/>
        </w:trPr>
        <w:tc>
          <w:tcPr>
            <w:tcW w:w="1100" w:type="pct"/>
            <w:shd w:val="clear" w:color="auto" w:fill="D9D9D9"/>
          </w:tcPr>
          <w:p w14:paraId="1A0B7E70" w14:textId="4C11B1D3" w:rsidR="00EC3002" w:rsidRPr="007834FB" w:rsidRDefault="004136D1" w:rsidP="004136D1">
            <w:pPr>
              <w:pStyle w:val="S8Gazettetableheading"/>
            </w:pPr>
            <w:r>
              <w:t>Product name</w:t>
            </w:r>
          </w:p>
        </w:tc>
        <w:tc>
          <w:tcPr>
            <w:tcW w:w="3900" w:type="pct"/>
            <w:shd w:val="clear" w:color="auto" w:fill="FFFFFF"/>
          </w:tcPr>
          <w:p w14:paraId="45FE5425" w14:textId="6AD69965" w:rsidR="00EC3002" w:rsidRPr="007834FB" w:rsidRDefault="004136D1" w:rsidP="004136D1">
            <w:pPr>
              <w:pStyle w:val="S8Gazettetabletext"/>
            </w:pPr>
            <w:proofErr w:type="spellStart"/>
            <w:r>
              <w:t>Agro</w:t>
            </w:r>
            <w:proofErr w:type="spellEnd"/>
            <w:r>
              <w:t xml:space="preserve">-Essence </w:t>
            </w:r>
            <w:proofErr w:type="spellStart"/>
            <w:r>
              <w:t>Proteb</w:t>
            </w:r>
            <w:proofErr w:type="spellEnd"/>
            <w:r>
              <w:t xml:space="preserve"> 420 SC Fungicide</w:t>
            </w:r>
          </w:p>
        </w:tc>
      </w:tr>
      <w:tr w:rsidR="00EC3002" w:rsidRPr="007834FB" w14:paraId="1291218D" w14:textId="77777777" w:rsidTr="004136D1">
        <w:trPr>
          <w:cantSplit/>
        </w:trPr>
        <w:tc>
          <w:tcPr>
            <w:tcW w:w="1100" w:type="pct"/>
            <w:shd w:val="clear" w:color="auto" w:fill="D9D9D9"/>
          </w:tcPr>
          <w:p w14:paraId="12A8C79D" w14:textId="1665C64A" w:rsidR="00EC3002" w:rsidRPr="007834FB" w:rsidRDefault="004136D1" w:rsidP="004136D1">
            <w:pPr>
              <w:pStyle w:val="S8Gazettetableheading"/>
            </w:pPr>
            <w:r>
              <w:t>Active constituents</w:t>
            </w:r>
          </w:p>
        </w:tc>
        <w:tc>
          <w:tcPr>
            <w:tcW w:w="3900" w:type="pct"/>
            <w:shd w:val="clear" w:color="auto" w:fill="FFFFFF"/>
          </w:tcPr>
          <w:p w14:paraId="6FFE8715" w14:textId="71C265B3" w:rsidR="00EC3002" w:rsidRPr="007834FB" w:rsidRDefault="004136D1" w:rsidP="004136D1">
            <w:pPr>
              <w:pStyle w:val="S8Gazettetabletext"/>
            </w:pPr>
            <w:r>
              <w:t xml:space="preserve">210 g/L </w:t>
            </w:r>
            <w:proofErr w:type="spellStart"/>
            <w:r>
              <w:t>prothioconazole</w:t>
            </w:r>
            <w:proofErr w:type="spellEnd"/>
            <w:r>
              <w:t>, 210 g/L tebuconazole</w:t>
            </w:r>
          </w:p>
        </w:tc>
      </w:tr>
      <w:tr w:rsidR="00EC3002" w:rsidRPr="007834FB" w14:paraId="2A2F184A" w14:textId="77777777" w:rsidTr="004136D1">
        <w:trPr>
          <w:cantSplit/>
        </w:trPr>
        <w:tc>
          <w:tcPr>
            <w:tcW w:w="1100" w:type="pct"/>
            <w:shd w:val="clear" w:color="auto" w:fill="D9D9D9"/>
          </w:tcPr>
          <w:p w14:paraId="64C0C782" w14:textId="0EF2AC92" w:rsidR="00EC3002" w:rsidRPr="007834FB" w:rsidRDefault="004136D1" w:rsidP="004136D1">
            <w:pPr>
              <w:pStyle w:val="S8Gazettetableheading"/>
            </w:pPr>
            <w:r>
              <w:t>Applicant name</w:t>
            </w:r>
          </w:p>
        </w:tc>
        <w:tc>
          <w:tcPr>
            <w:tcW w:w="3900" w:type="pct"/>
            <w:shd w:val="clear" w:color="auto" w:fill="FFFFFF"/>
          </w:tcPr>
          <w:p w14:paraId="52B2A349" w14:textId="548BEE56" w:rsidR="00EC3002" w:rsidRPr="007834FB" w:rsidRDefault="004136D1" w:rsidP="004136D1">
            <w:pPr>
              <w:pStyle w:val="S8Gazettetabletext"/>
            </w:pPr>
            <w:proofErr w:type="spellStart"/>
            <w:r>
              <w:t>Agro</w:t>
            </w:r>
            <w:proofErr w:type="spellEnd"/>
            <w:r>
              <w:t>-Alliance (Australia) Pty Ltd</w:t>
            </w:r>
          </w:p>
        </w:tc>
      </w:tr>
      <w:tr w:rsidR="00EC3002" w:rsidRPr="007834FB" w14:paraId="42340085" w14:textId="77777777" w:rsidTr="004136D1">
        <w:trPr>
          <w:cantSplit/>
        </w:trPr>
        <w:tc>
          <w:tcPr>
            <w:tcW w:w="1100" w:type="pct"/>
            <w:shd w:val="clear" w:color="auto" w:fill="D9D9D9"/>
          </w:tcPr>
          <w:p w14:paraId="6BC39085" w14:textId="09E5C8F7" w:rsidR="00EC3002" w:rsidRPr="007834FB" w:rsidRDefault="004136D1" w:rsidP="004136D1">
            <w:pPr>
              <w:pStyle w:val="S8Gazettetableheading"/>
            </w:pPr>
            <w:r>
              <w:t>Applicant ACN</w:t>
            </w:r>
          </w:p>
        </w:tc>
        <w:tc>
          <w:tcPr>
            <w:tcW w:w="3900" w:type="pct"/>
            <w:shd w:val="clear" w:color="auto" w:fill="FFFFFF"/>
          </w:tcPr>
          <w:p w14:paraId="488C1CA7" w14:textId="00E45479" w:rsidR="00EC3002" w:rsidRPr="007834FB" w:rsidRDefault="004136D1" w:rsidP="004136D1">
            <w:pPr>
              <w:pStyle w:val="S8Gazettetabletext"/>
            </w:pPr>
            <w:r>
              <w:t>130 864 603</w:t>
            </w:r>
          </w:p>
        </w:tc>
      </w:tr>
      <w:tr w:rsidR="00EC3002" w:rsidRPr="007834FB" w14:paraId="226AE9B3" w14:textId="77777777" w:rsidTr="004136D1">
        <w:trPr>
          <w:cantSplit/>
        </w:trPr>
        <w:tc>
          <w:tcPr>
            <w:tcW w:w="1100" w:type="pct"/>
            <w:shd w:val="clear" w:color="auto" w:fill="D9D9D9"/>
          </w:tcPr>
          <w:p w14:paraId="6004BD97" w14:textId="7744CB02" w:rsidR="00EC3002" w:rsidRPr="007834FB" w:rsidRDefault="004136D1" w:rsidP="004136D1">
            <w:pPr>
              <w:pStyle w:val="S8Gazettetableheading"/>
            </w:pPr>
            <w:r>
              <w:t>Date of registration</w:t>
            </w:r>
          </w:p>
        </w:tc>
        <w:tc>
          <w:tcPr>
            <w:tcW w:w="3900" w:type="pct"/>
            <w:shd w:val="clear" w:color="auto" w:fill="FFFFFF"/>
          </w:tcPr>
          <w:p w14:paraId="30EA2A70" w14:textId="498919BA" w:rsidR="00EC3002" w:rsidRPr="007834FB" w:rsidRDefault="004136D1" w:rsidP="004136D1">
            <w:pPr>
              <w:pStyle w:val="S8Gazettetabletext"/>
            </w:pPr>
            <w:r>
              <w:t>5 August 2025</w:t>
            </w:r>
          </w:p>
        </w:tc>
      </w:tr>
      <w:tr w:rsidR="00EC3002" w:rsidRPr="007834FB" w14:paraId="17A3C861" w14:textId="77777777" w:rsidTr="004136D1">
        <w:trPr>
          <w:cantSplit/>
        </w:trPr>
        <w:tc>
          <w:tcPr>
            <w:tcW w:w="1100" w:type="pct"/>
            <w:shd w:val="clear" w:color="auto" w:fill="D9D9D9"/>
          </w:tcPr>
          <w:p w14:paraId="7A9437CA" w14:textId="2276E14A" w:rsidR="00EC3002" w:rsidRPr="007834FB" w:rsidRDefault="004136D1" w:rsidP="004136D1">
            <w:pPr>
              <w:pStyle w:val="S8Gazettetableheading"/>
            </w:pPr>
            <w:r>
              <w:t>Product registration no.</w:t>
            </w:r>
          </w:p>
        </w:tc>
        <w:tc>
          <w:tcPr>
            <w:tcW w:w="3900" w:type="pct"/>
            <w:shd w:val="clear" w:color="auto" w:fill="FFFFFF"/>
          </w:tcPr>
          <w:p w14:paraId="232D3054" w14:textId="2EF1F1CA" w:rsidR="00EC3002" w:rsidRPr="007834FB" w:rsidRDefault="004136D1" w:rsidP="004136D1">
            <w:pPr>
              <w:pStyle w:val="S8Gazettetabletext"/>
            </w:pPr>
            <w:r>
              <w:t>94729</w:t>
            </w:r>
          </w:p>
        </w:tc>
      </w:tr>
      <w:tr w:rsidR="00EC3002" w:rsidRPr="007834FB" w14:paraId="6344747E" w14:textId="77777777" w:rsidTr="004136D1">
        <w:trPr>
          <w:cantSplit/>
        </w:trPr>
        <w:tc>
          <w:tcPr>
            <w:tcW w:w="1100" w:type="pct"/>
            <w:shd w:val="clear" w:color="auto" w:fill="D9D9D9"/>
          </w:tcPr>
          <w:p w14:paraId="014AFE1E" w14:textId="2AF1F03C" w:rsidR="00EC3002" w:rsidRPr="007834FB" w:rsidRDefault="004136D1" w:rsidP="004136D1">
            <w:pPr>
              <w:pStyle w:val="S8Gazettetableheading"/>
            </w:pPr>
            <w:r>
              <w:t>Label approval no.</w:t>
            </w:r>
          </w:p>
        </w:tc>
        <w:tc>
          <w:tcPr>
            <w:tcW w:w="3900" w:type="pct"/>
            <w:shd w:val="clear" w:color="auto" w:fill="FFFFFF"/>
          </w:tcPr>
          <w:p w14:paraId="35038650" w14:textId="11A8DD7E" w:rsidR="00EC3002" w:rsidRPr="007834FB" w:rsidRDefault="004136D1" w:rsidP="004136D1">
            <w:pPr>
              <w:pStyle w:val="S8Gazettetabletext"/>
            </w:pPr>
            <w:r>
              <w:t>94729/143465</w:t>
            </w:r>
          </w:p>
        </w:tc>
      </w:tr>
      <w:tr w:rsidR="00EC3002" w:rsidRPr="007834FB" w14:paraId="79AE9DDB" w14:textId="77777777" w:rsidTr="004136D1">
        <w:trPr>
          <w:cantSplit/>
        </w:trPr>
        <w:tc>
          <w:tcPr>
            <w:tcW w:w="1100" w:type="pct"/>
            <w:shd w:val="clear" w:color="auto" w:fill="D9D9D9"/>
          </w:tcPr>
          <w:p w14:paraId="5435EB6A" w14:textId="108EB8E2"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3951760" w14:textId="0BF8733E" w:rsidR="00EC3002" w:rsidRPr="007834FB" w:rsidRDefault="004136D1" w:rsidP="004136D1">
            <w:pPr>
              <w:pStyle w:val="S8Gazettetabletext"/>
            </w:pPr>
            <w:r>
              <w:t xml:space="preserve">Registration of a 210 g/L </w:t>
            </w:r>
            <w:proofErr w:type="spellStart"/>
            <w:r>
              <w:t>prothioconazole</w:t>
            </w:r>
            <w:proofErr w:type="spellEnd"/>
            <w:r>
              <w:t xml:space="preserve"> and 210 g/L tebuconazole suspension concentrate (SC) product for the control of various diseases in wheat, barley, oats, triticale, canola and pyrethrum</w:t>
            </w:r>
          </w:p>
        </w:tc>
      </w:tr>
    </w:tbl>
    <w:p w14:paraId="5D02B197"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7834FB" w14:paraId="018C3BC1" w14:textId="77777777" w:rsidTr="004136D1">
        <w:trPr>
          <w:cantSplit/>
          <w:tblHeader/>
        </w:trPr>
        <w:tc>
          <w:tcPr>
            <w:tcW w:w="1100" w:type="pct"/>
            <w:shd w:val="clear" w:color="auto" w:fill="D9D9D9"/>
          </w:tcPr>
          <w:p w14:paraId="4B63DACD" w14:textId="53FF9675" w:rsidR="00EC3002" w:rsidRPr="007834FB" w:rsidRDefault="004136D1" w:rsidP="004136D1">
            <w:pPr>
              <w:pStyle w:val="S8Gazettetableheading"/>
            </w:pPr>
            <w:r>
              <w:lastRenderedPageBreak/>
              <w:t>Application no.</w:t>
            </w:r>
          </w:p>
        </w:tc>
        <w:tc>
          <w:tcPr>
            <w:tcW w:w="3900" w:type="pct"/>
            <w:shd w:val="clear" w:color="auto" w:fill="FFFFFF"/>
          </w:tcPr>
          <w:p w14:paraId="50CDC85B" w14:textId="098A2595" w:rsidR="00EC3002" w:rsidRPr="007834FB" w:rsidRDefault="004136D1" w:rsidP="004136D1">
            <w:pPr>
              <w:pStyle w:val="S8Gazettetabletext"/>
              <w:rPr>
                <w:noProof/>
              </w:rPr>
            </w:pPr>
            <w:r>
              <w:t>148190</w:t>
            </w:r>
          </w:p>
        </w:tc>
      </w:tr>
      <w:tr w:rsidR="00EC3002" w:rsidRPr="007834FB" w14:paraId="7A3B3D79" w14:textId="77777777" w:rsidTr="004136D1">
        <w:trPr>
          <w:cantSplit/>
          <w:tblHeader/>
        </w:trPr>
        <w:tc>
          <w:tcPr>
            <w:tcW w:w="1100" w:type="pct"/>
            <w:shd w:val="clear" w:color="auto" w:fill="D9D9D9"/>
          </w:tcPr>
          <w:p w14:paraId="7BDD15C7" w14:textId="3DD55952" w:rsidR="00EC3002" w:rsidRPr="007834FB" w:rsidRDefault="004136D1" w:rsidP="004136D1">
            <w:pPr>
              <w:pStyle w:val="S8Gazettetableheading"/>
            </w:pPr>
            <w:r>
              <w:t>Product name</w:t>
            </w:r>
          </w:p>
        </w:tc>
        <w:tc>
          <w:tcPr>
            <w:tcW w:w="3900" w:type="pct"/>
            <w:shd w:val="clear" w:color="auto" w:fill="FFFFFF"/>
          </w:tcPr>
          <w:p w14:paraId="6B997C1C" w14:textId="2309FD2C" w:rsidR="00EC3002" w:rsidRPr="007834FB" w:rsidRDefault="004136D1" w:rsidP="004136D1">
            <w:pPr>
              <w:pStyle w:val="S8Gazettetabletext"/>
            </w:pPr>
            <w:r>
              <w:t xml:space="preserve">Thug </w:t>
            </w:r>
            <w:proofErr w:type="spellStart"/>
            <w:r>
              <w:t>Thug</w:t>
            </w:r>
            <w:proofErr w:type="spellEnd"/>
            <w:r>
              <w:t xml:space="preserve"> Wingman Rapid Death Flying Insect Killer </w:t>
            </w:r>
            <w:proofErr w:type="spellStart"/>
            <w:r>
              <w:t>Spray</w:t>
            </w:r>
            <w:r>
              <w:t>’</w:t>
            </w:r>
            <w:r>
              <w:t>n</w:t>
            </w:r>
            <w:r>
              <w:t>’</w:t>
            </w:r>
            <w:r>
              <w:t>Slay</w:t>
            </w:r>
            <w:proofErr w:type="spellEnd"/>
            <w:r>
              <w:t xml:space="preserve"> Fast and Deadly</w:t>
            </w:r>
          </w:p>
        </w:tc>
      </w:tr>
      <w:tr w:rsidR="00EC3002" w:rsidRPr="007834FB" w14:paraId="31E5FACE" w14:textId="77777777" w:rsidTr="004136D1">
        <w:trPr>
          <w:cantSplit/>
          <w:tblHeader/>
        </w:trPr>
        <w:tc>
          <w:tcPr>
            <w:tcW w:w="1100" w:type="pct"/>
            <w:shd w:val="clear" w:color="auto" w:fill="D9D9D9"/>
          </w:tcPr>
          <w:p w14:paraId="4DB23C2C" w14:textId="785E50EF" w:rsidR="00EC3002" w:rsidRPr="007834FB" w:rsidRDefault="004136D1" w:rsidP="004136D1">
            <w:pPr>
              <w:pStyle w:val="S8Gazettetableheading"/>
            </w:pPr>
            <w:r>
              <w:t>Active constituents</w:t>
            </w:r>
          </w:p>
        </w:tc>
        <w:tc>
          <w:tcPr>
            <w:tcW w:w="3900" w:type="pct"/>
            <w:shd w:val="clear" w:color="auto" w:fill="FFFFFF"/>
          </w:tcPr>
          <w:p w14:paraId="49BB4F82" w14:textId="0EA772D0" w:rsidR="00EC3002" w:rsidRPr="007834FB" w:rsidRDefault="004136D1" w:rsidP="004136D1">
            <w:pPr>
              <w:pStyle w:val="S8Gazettetabletext"/>
            </w:pPr>
            <w:r>
              <w:t xml:space="preserve">1.0 g/kg </w:t>
            </w:r>
            <w:proofErr w:type="spellStart"/>
            <w:r>
              <w:t>esbiothrin</w:t>
            </w:r>
            <w:proofErr w:type="spellEnd"/>
            <w:r>
              <w:t>, 0.5 g/kg permethrin, 0.2 g/kg imiprothrin</w:t>
            </w:r>
          </w:p>
        </w:tc>
      </w:tr>
      <w:tr w:rsidR="00EC3002" w:rsidRPr="007834FB" w14:paraId="3038380B" w14:textId="77777777" w:rsidTr="004136D1">
        <w:trPr>
          <w:cantSplit/>
          <w:tblHeader/>
        </w:trPr>
        <w:tc>
          <w:tcPr>
            <w:tcW w:w="1100" w:type="pct"/>
            <w:shd w:val="clear" w:color="auto" w:fill="D9D9D9"/>
          </w:tcPr>
          <w:p w14:paraId="5ED37CBD" w14:textId="2BC375EB" w:rsidR="00EC3002" w:rsidRPr="007834FB" w:rsidRDefault="004136D1" w:rsidP="004136D1">
            <w:pPr>
              <w:pStyle w:val="S8Gazettetableheading"/>
            </w:pPr>
            <w:r>
              <w:t>Applicant name</w:t>
            </w:r>
          </w:p>
        </w:tc>
        <w:tc>
          <w:tcPr>
            <w:tcW w:w="3900" w:type="pct"/>
            <w:shd w:val="clear" w:color="auto" w:fill="FFFFFF"/>
          </w:tcPr>
          <w:p w14:paraId="72653892" w14:textId="10FD6968" w:rsidR="00EC3002" w:rsidRPr="007834FB" w:rsidRDefault="004136D1" w:rsidP="004136D1">
            <w:pPr>
              <w:pStyle w:val="S8Gazettetabletext"/>
            </w:pPr>
            <w:r>
              <w:t>Aaron Laboratories Proprietary Limited</w:t>
            </w:r>
          </w:p>
        </w:tc>
      </w:tr>
      <w:tr w:rsidR="00EC3002" w:rsidRPr="007834FB" w14:paraId="039A309D" w14:textId="77777777" w:rsidTr="004136D1">
        <w:trPr>
          <w:cantSplit/>
          <w:tblHeader/>
        </w:trPr>
        <w:tc>
          <w:tcPr>
            <w:tcW w:w="1100" w:type="pct"/>
            <w:shd w:val="clear" w:color="auto" w:fill="D9D9D9"/>
          </w:tcPr>
          <w:p w14:paraId="77CAD356" w14:textId="6DBDB3FB" w:rsidR="00EC3002" w:rsidRPr="007834FB" w:rsidRDefault="004136D1" w:rsidP="004136D1">
            <w:pPr>
              <w:pStyle w:val="S8Gazettetableheading"/>
            </w:pPr>
            <w:r>
              <w:t>Applicant ACN</w:t>
            </w:r>
          </w:p>
        </w:tc>
        <w:tc>
          <w:tcPr>
            <w:tcW w:w="3900" w:type="pct"/>
            <w:shd w:val="clear" w:color="auto" w:fill="FFFFFF"/>
          </w:tcPr>
          <w:p w14:paraId="3B1A862D" w14:textId="400B47FF" w:rsidR="00EC3002" w:rsidRPr="007834FB" w:rsidRDefault="004136D1" w:rsidP="004136D1">
            <w:pPr>
              <w:pStyle w:val="S8Gazettetabletext"/>
            </w:pPr>
            <w:r>
              <w:t>004 856 848</w:t>
            </w:r>
          </w:p>
        </w:tc>
      </w:tr>
      <w:tr w:rsidR="00EC3002" w:rsidRPr="007834FB" w14:paraId="52BBE024" w14:textId="77777777" w:rsidTr="004136D1">
        <w:trPr>
          <w:cantSplit/>
          <w:tblHeader/>
        </w:trPr>
        <w:tc>
          <w:tcPr>
            <w:tcW w:w="1100" w:type="pct"/>
            <w:shd w:val="clear" w:color="auto" w:fill="D9D9D9"/>
          </w:tcPr>
          <w:p w14:paraId="4D47965B" w14:textId="255D53FD" w:rsidR="00EC3002" w:rsidRPr="007834FB" w:rsidRDefault="004136D1" w:rsidP="004136D1">
            <w:pPr>
              <w:pStyle w:val="S8Gazettetableheading"/>
            </w:pPr>
            <w:r>
              <w:t>Date of registration</w:t>
            </w:r>
          </w:p>
        </w:tc>
        <w:tc>
          <w:tcPr>
            <w:tcW w:w="3900" w:type="pct"/>
            <w:shd w:val="clear" w:color="auto" w:fill="FFFFFF"/>
          </w:tcPr>
          <w:p w14:paraId="4E5FF80D" w14:textId="2A0933C0" w:rsidR="00EC3002" w:rsidRPr="007834FB" w:rsidRDefault="004136D1" w:rsidP="004136D1">
            <w:pPr>
              <w:pStyle w:val="S8Gazettetabletext"/>
            </w:pPr>
            <w:r>
              <w:t>7 August 2025</w:t>
            </w:r>
          </w:p>
        </w:tc>
      </w:tr>
      <w:tr w:rsidR="00EC3002" w:rsidRPr="007834FB" w14:paraId="1E82B674" w14:textId="77777777" w:rsidTr="004136D1">
        <w:trPr>
          <w:cantSplit/>
          <w:tblHeader/>
        </w:trPr>
        <w:tc>
          <w:tcPr>
            <w:tcW w:w="1100" w:type="pct"/>
            <w:shd w:val="clear" w:color="auto" w:fill="D9D9D9"/>
          </w:tcPr>
          <w:p w14:paraId="0C92A19E" w14:textId="7C7D85E6" w:rsidR="00EC3002" w:rsidRPr="007834FB" w:rsidRDefault="004136D1" w:rsidP="004136D1">
            <w:pPr>
              <w:pStyle w:val="S8Gazettetableheading"/>
            </w:pPr>
            <w:r>
              <w:t>Product registration no.</w:t>
            </w:r>
          </w:p>
        </w:tc>
        <w:tc>
          <w:tcPr>
            <w:tcW w:w="3900" w:type="pct"/>
            <w:shd w:val="clear" w:color="auto" w:fill="FFFFFF"/>
          </w:tcPr>
          <w:p w14:paraId="704EEA62" w14:textId="2C0169F4" w:rsidR="00EC3002" w:rsidRPr="007834FB" w:rsidRDefault="004136D1" w:rsidP="004136D1">
            <w:pPr>
              <w:pStyle w:val="S8Gazettetabletext"/>
            </w:pPr>
            <w:r>
              <w:t>96105</w:t>
            </w:r>
          </w:p>
        </w:tc>
      </w:tr>
      <w:tr w:rsidR="00EC3002" w:rsidRPr="007834FB" w14:paraId="792F7B15" w14:textId="77777777" w:rsidTr="004136D1">
        <w:trPr>
          <w:cantSplit/>
          <w:tblHeader/>
        </w:trPr>
        <w:tc>
          <w:tcPr>
            <w:tcW w:w="1100" w:type="pct"/>
            <w:shd w:val="clear" w:color="auto" w:fill="D9D9D9"/>
          </w:tcPr>
          <w:p w14:paraId="179E3591" w14:textId="3BA0EAB5" w:rsidR="00EC3002" w:rsidRPr="007834FB" w:rsidRDefault="004136D1" w:rsidP="004136D1">
            <w:pPr>
              <w:pStyle w:val="S8Gazettetableheading"/>
            </w:pPr>
            <w:r>
              <w:t>Label approval no.</w:t>
            </w:r>
          </w:p>
        </w:tc>
        <w:tc>
          <w:tcPr>
            <w:tcW w:w="3900" w:type="pct"/>
            <w:shd w:val="clear" w:color="auto" w:fill="FFFFFF"/>
          </w:tcPr>
          <w:p w14:paraId="2B79C2B6" w14:textId="1B850A39" w:rsidR="00EC3002" w:rsidRPr="007834FB" w:rsidRDefault="004136D1" w:rsidP="004136D1">
            <w:pPr>
              <w:pStyle w:val="S8Gazettetabletext"/>
            </w:pPr>
            <w:r>
              <w:t>96105/148190</w:t>
            </w:r>
          </w:p>
        </w:tc>
      </w:tr>
      <w:tr w:rsidR="00EC3002" w:rsidRPr="007834FB" w14:paraId="76865195" w14:textId="77777777" w:rsidTr="004136D1">
        <w:trPr>
          <w:cantSplit/>
          <w:tblHeader/>
        </w:trPr>
        <w:tc>
          <w:tcPr>
            <w:tcW w:w="1100" w:type="pct"/>
            <w:shd w:val="clear" w:color="auto" w:fill="D9D9D9"/>
          </w:tcPr>
          <w:p w14:paraId="2D91D2F6" w14:textId="626341EB"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4E56E46F" w14:textId="259FCC69" w:rsidR="00EC3002" w:rsidRPr="007834FB" w:rsidRDefault="004136D1" w:rsidP="004136D1">
            <w:pPr>
              <w:pStyle w:val="S8Gazettetabletext"/>
            </w:pPr>
            <w:r>
              <w:t xml:space="preserve">Registration of a 1.0 g/kg </w:t>
            </w:r>
            <w:proofErr w:type="spellStart"/>
            <w:r>
              <w:t>esbiothrin</w:t>
            </w:r>
            <w:proofErr w:type="spellEnd"/>
            <w:r>
              <w:t>, 0.5 g/kg permethrin, and 0.2 g/kg imiprothrin aerosol product for the control of flying and crawling insects</w:t>
            </w:r>
          </w:p>
        </w:tc>
      </w:tr>
    </w:tbl>
    <w:p w14:paraId="48FA99F4" w14:textId="110499F9" w:rsidR="00EC3002" w:rsidRDefault="00EC3002" w:rsidP="00EC3002">
      <w:pPr>
        <w:pStyle w:val="Caption"/>
      </w:pPr>
      <w:r>
        <w:t xml:space="preserve">Table </w:t>
      </w:r>
      <w:r>
        <w:fldChar w:fldCharType="begin"/>
      </w:r>
      <w:r>
        <w:instrText xml:space="preserve"> SEQ Table \* ARABIC </w:instrText>
      </w:r>
      <w:r>
        <w:fldChar w:fldCharType="separate"/>
      </w:r>
      <w:r w:rsidR="00365304">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7DD542AF" w14:textId="77777777" w:rsidTr="004136D1">
        <w:trPr>
          <w:cantSplit/>
        </w:trPr>
        <w:tc>
          <w:tcPr>
            <w:tcW w:w="1100" w:type="pct"/>
            <w:shd w:val="clear" w:color="auto" w:fill="D9D9D9"/>
          </w:tcPr>
          <w:p w14:paraId="76CAC9D1" w14:textId="0386F2F7" w:rsidR="00EC3002" w:rsidRPr="00BC4F64" w:rsidRDefault="004136D1" w:rsidP="004136D1">
            <w:pPr>
              <w:pStyle w:val="S8Gazettetableheading"/>
            </w:pPr>
            <w:r>
              <w:t>Application no.</w:t>
            </w:r>
          </w:p>
        </w:tc>
        <w:tc>
          <w:tcPr>
            <w:tcW w:w="3900" w:type="pct"/>
            <w:shd w:val="clear" w:color="auto" w:fill="FFFFFF"/>
          </w:tcPr>
          <w:p w14:paraId="5CAD424C" w14:textId="52538FC2" w:rsidR="00EC3002" w:rsidRPr="00BC4F64" w:rsidRDefault="004136D1" w:rsidP="004136D1">
            <w:pPr>
              <w:pStyle w:val="S8Gazettetabletext"/>
            </w:pPr>
            <w:r>
              <w:t>149168</w:t>
            </w:r>
          </w:p>
        </w:tc>
      </w:tr>
      <w:tr w:rsidR="00EC3002" w:rsidRPr="00BC4F64" w14:paraId="65292756" w14:textId="77777777" w:rsidTr="004136D1">
        <w:trPr>
          <w:cantSplit/>
        </w:trPr>
        <w:tc>
          <w:tcPr>
            <w:tcW w:w="1100" w:type="pct"/>
            <w:shd w:val="clear" w:color="auto" w:fill="D9D9D9"/>
          </w:tcPr>
          <w:p w14:paraId="796C350C" w14:textId="3AC5D2DA" w:rsidR="00EC3002" w:rsidRPr="00362E71" w:rsidRDefault="004136D1" w:rsidP="004136D1">
            <w:pPr>
              <w:pStyle w:val="S8Gazettetableheading"/>
            </w:pPr>
            <w:r>
              <w:t>Product name</w:t>
            </w:r>
          </w:p>
        </w:tc>
        <w:tc>
          <w:tcPr>
            <w:tcW w:w="3900" w:type="pct"/>
            <w:shd w:val="clear" w:color="auto" w:fill="FFFFFF"/>
          </w:tcPr>
          <w:p w14:paraId="473C08C4" w14:textId="1BFC1A95" w:rsidR="00EC3002" w:rsidRPr="00BC4F64" w:rsidRDefault="004136D1" w:rsidP="004136D1">
            <w:pPr>
              <w:pStyle w:val="S8Gazettetabletext"/>
            </w:pPr>
            <w:proofErr w:type="spellStart"/>
            <w:r>
              <w:t>BinKill</w:t>
            </w:r>
            <w:proofErr w:type="spellEnd"/>
          </w:p>
        </w:tc>
      </w:tr>
      <w:tr w:rsidR="00EC3002" w:rsidRPr="00BC4F64" w14:paraId="46E6C9EC" w14:textId="77777777" w:rsidTr="004136D1">
        <w:trPr>
          <w:cantSplit/>
        </w:trPr>
        <w:tc>
          <w:tcPr>
            <w:tcW w:w="1100" w:type="pct"/>
            <w:shd w:val="clear" w:color="auto" w:fill="D9D9D9"/>
          </w:tcPr>
          <w:p w14:paraId="76D6E9CD" w14:textId="2929740D" w:rsidR="00EC3002" w:rsidRPr="00362E71" w:rsidRDefault="004136D1" w:rsidP="004136D1">
            <w:pPr>
              <w:pStyle w:val="S8Gazettetableheading"/>
            </w:pPr>
            <w:r>
              <w:t>Active constituent</w:t>
            </w:r>
          </w:p>
        </w:tc>
        <w:tc>
          <w:tcPr>
            <w:tcW w:w="3900" w:type="pct"/>
            <w:shd w:val="clear" w:color="auto" w:fill="FFFFFF"/>
          </w:tcPr>
          <w:p w14:paraId="2DD45C54" w14:textId="15A507E8" w:rsidR="00EC3002" w:rsidRPr="00BC4F64" w:rsidRDefault="004136D1" w:rsidP="004136D1">
            <w:pPr>
              <w:pStyle w:val="S8Gazettetabletext"/>
            </w:pPr>
            <w:r>
              <w:t xml:space="preserve">7.8 g/kg </w:t>
            </w:r>
            <w:proofErr w:type="spellStart"/>
            <w:r>
              <w:t>transfluthrin</w:t>
            </w:r>
            <w:proofErr w:type="spellEnd"/>
          </w:p>
        </w:tc>
      </w:tr>
      <w:tr w:rsidR="00EC3002" w:rsidRPr="00BC4F64" w14:paraId="4C828F7F" w14:textId="77777777" w:rsidTr="004136D1">
        <w:trPr>
          <w:cantSplit/>
        </w:trPr>
        <w:tc>
          <w:tcPr>
            <w:tcW w:w="1100" w:type="pct"/>
            <w:shd w:val="clear" w:color="auto" w:fill="D9D9D9"/>
          </w:tcPr>
          <w:p w14:paraId="1EDD408C" w14:textId="176A8026" w:rsidR="00EC3002" w:rsidRPr="00362E71" w:rsidRDefault="004136D1" w:rsidP="004136D1">
            <w:pPr>
              <w:pStyle w:val="S8Gazettetableheading"/>
            </w:pPr>
            <w:r>
              <w:t>Applicant name</w:t>
            </w:r>
          </w:p>
        </w:tc>
        <w:tc>
          <w:tcPr>
            <w:tcW w:w="3900" w:type="pct"/>
            <w:shd w:val="clear" w:color="auto" w:fill="FFFFFF"/>
          </w:tcPr>
          <w:p w14:paraId="2901FE39" w14:textId="2F4A482C" w:rsidR="00EC3002" w:rsidRPr="00BC4F64" w:rsidRDefault="004136D1" w:rsidP="004136D1">
            <w:pPr>
              <w:pStyle w:val="S8Gazettetabletext"/>
            </w:pPr>
            <w:r>
              <w:t>Lifeguard Sciences (Pty) Ltd</w:t>
            </w:r>
          </w:p>
        </w:tc>
      </w:tr>
      <w:tr w:rsidR="00EC3002" w:rsidRPr="00BC4F64" w14:paraId="64BED722" w14:textId="77777777" w:rsidTr="004136D1">
        <w:trPr>
          <w:cantSplit/>
        </w:trPr>
        <w:tc>
          <w:tcPr>
            <w:tcW w:w="1100" w:type="pct"/>
            <w:shd w:val="clear" w:color="auto" w:fill="D9D9D9"/>
          </w:tcPr>
          <w:p w14:paraId="47C7DD38" w14:textId="0534FD0D" w:rsidR="00EC3002" w:rsidRPr="00BC4F64" w:rsidRDefault="004136D1" w:rsidP="004136D1">
            <w:pPr>
              <w:pStyle w:val="S8Gazettetableheading"/>
            </w:pPr>
            <w:r>
              <w:t>Applicant ACN</w:t>
            </w:r>
          </w:p>
        </w:tc>
        <w:tc>
          <w:tcPr>
            <w:tcW w:w="3900" w:type="pct"/>
            <w:shd w:val="clear" w:color="auto" w:fill="FFFFFF"/>
          </w:tcPr>
          <w:p w14:paraId="597E7E44" w14:textId="151521B4" w:rsidR="00EC3002" w:rsidRPr="00FA2079" w:rsidRDefault="004136D1" w:rsidP="004136D1">
            <w:pPr>
              <w:pStyle w:val="S8Gazettetabletext"/>
            </w:pPr>
            <w:r>
              <w:t>N/A</w:t>
            </w:r>
          </w:p>
        </w:tc>
      </w:tr>
      <w:tr w:rsidR="00EC3002" w:rsidRPr="00BC4F64" w14:paraId="69A07828" w14:textId="77777777" w:rsidTr="004136D1">
        <w:trPr>
          <w:cantSplit/>
        </w:trPr>
        <w:tc>
          <w:tcPr>
            <w:tcW w:w="1100" w:type="pct"/>
            <w:shd w:val="clear" w:color="auto" w:fill="D9D9D9"/>
          </w:tcPr>
          <w:p w14:paraId="08502ACA" w14:textId="20AF0B5C" w:rsidR="00EC3002" w:rsidRPr="00362E71" w:rsidRDefault="004136D1" w:rsidP="004136D1">
            <w:pPr>
              <w:pStyle w:val="S8Gazettetableheading"/>
            </w:pPr>
            <w:r>
              <w:t>Date of variation</w:t>
            </w:r>
          </w:p>
        </w:tc>
        <w:tc>
          <w:tcPr>
            <w:tcW w:w="3900" w:type="pct"/>
            <w:shd w:val="clear" w:color="auto" w:fill="FFFFFF"/>
          </w:tcPr>
          <w:p w14:paraId="06864F65" w14:textId="7D8B23CA" w:rsidR="00EC3002" w:rsidRPr="00BC4F64" w:rsidRDefault="004136D1" w:rsidP="004136D1">
            <w:pPr>
              <w:pStyle w:val="S8Gazettetabletext"/>
            </w:pPr>
            <w:r>
              <w:t>14 July 2025</w:t>
            </w:r>
          </w:p>
        </w:tc>
      </w:tr>
      <w:tr w:rsidR="00EC3002" w:rsidRPr="00BC4F64" w14:paraId="773F6369" w14:textId="77777777" w:rsidTr="004136D1">
        <w:trPr>
          <w:cantSplit/>
        </w:trPr>
        <w:tc>
          <w:tcPr>
            <w:tcW w:w="1100" w:type="pct"/>
            <w:shd w:val="clear" w:color="auto" w:fill="D9D9D9"/>
          </w:tcPr>
          <w:p w14:paraId="4C2E85A6" w14:textId="4E45D734" w:rsidR="00EC3002" w:rsidRPr="00362E71" w:rsidRDefault="004136D1" w:rsidP="004136D1">
            <w:pPr>
              <w:pStyle w:val="S8Gazettetableheading"/>
            </w:pPr>
            <w:r>
              <w:t>Product registration no.</w:t>
            </w:r>
          </w:p>
        </w:tc>
        <w:tc>
          <w:tcPr>
            <w:tcW w:w="3900" w:type="pct"/>
            <w:shd w:val="clear" w:color="auto" w:fill="FFFFFF"/>
          </w:tcPr>
          <w:p w14:paraId="2FCA1975" w14:textId="715A460A" w:rsidR="00EC3002" w:rsidRPr="00BC4F64" w:rsidRDefault="004136D1" w:rsidP="004136D1">
            <w:pPr>
              <w:pStyle w:val="S8Gazettetabletext"/>
            </w:pPr>
            <w:r>
              <w:t>89119</w:t>
            </w:r>
          </w:p>
        </w:tc>
      </w:tr>
      <w:tr w:rsidR="00EC3002" w:rsidRPr="00BC4F64" w14:paraId="4FE3FA62" w14:textId="77777777" w:rsidTr="004136D1">
        <w:trPr>
          <w:cantSplit/>
        </w:trPr>
        <w:tc>
          <w:tcPr>
            <w:tcW w:w="1100" w:type="pct"/>
            <w:shd w:val="clear" w:color="auto" w:fill="D9D9D9"/>
          </w:tcPr>
          <w:p w14:paraId="55D59F0A" w14:textId="7552E27D" w:rsidR="00EC3002" w:rsidRPr="00362E71" w:rsidRDefault="004136D1" w:rsidP="004136D1">
            <w:pPr>
              <w:pStyle w:val="S8Gazettetableheading"/>
            </w:pPr>
            <w:r>
              <w:t>Label approval no.</w:t>
            </w:r>
          </w:p>
        </w:tc>
        <w:tc>
          <w:tcPr>
            <w:tcW w:w="3900" w:type="pct"/>
            <w:shd w:val="clear" w:color="auto" w:fill="FFFFFF"/>
          </w:tcPr>
          <w:p w14:paraId="7F43320C" w14:textId="18915767" w:rsidR="00EC3002" w:rsidRPr="00BC4F64" w:rsidRDefault="004136D1" w:rsidP="004136D1">
            <w:pPr>
              <w:pStyle w:val="S8Gazettetabletext"/>
            </w:pPr>
            <w:r>
              <w:t>89119/149168</w:t>
            </w:r>
          </w:p>
        </w:tc>
      </w:tr>
      <w:tr w:rsidR="00EC3002" w:rsidRPr="00BC4F64" w14:paraId="7BB25AAE" w14:textId="77777777" w:rsidTr="004136D1">
        <w:trPr>
          <w:cantSplit/>
        </w:trPr>
        <w:tc>
          <w:tcPr>
            <w:tcW w:w="1100" w:type="pct"/>
            <w:shd w:val="clear" w:color="auto" w:fill="D9D9D9"/>
          </w:tcPr>
          <w:p w14:paraId="78095D89" w14:textId="2394D74D"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A564C1B" w14:textId="4CCAA950" w:rsidR="00EC3002" w:rsidRPr="00BC4F64" w:rsidRDefault="004136D1" w:rsidP="004136D1">
            <w:pPr>
              <w:pStyle w:val="S8Gazettetabletext"/>
            </w:pPr>
            <w:r>
              <w:t xml:space="preserve">Variation to the particulars of registration and label approval to change the distinguishing product name to </w:t>
            </w:r>
            <w:r>
              <w:t>‘</w:t>
            </w:r>
            <w:proofErr w:type="spellStart"/>
            <w:r>
              <w:t>BinKill</w:t>
            </w:r>
            <w:proofErr w:type="spellEnd"/>
            <w:r>
              <w:t>’</w:t>
            </w:r>
            <w:r>
              <w:t xml:space="preserve"> and the name that appears on the label from </w:t>
            </w:r>
            <w:r>
              <w:t>‘</w:t>
            </w:r>
            <w:proofErr w:type="spellStart"/>
            <w:r>
              <w:t>BinGuard</w:t>
            </w:r>
            <w:proofErr w:type="spellEnd"/>
            <w:r>
              <w:t>’</w:t>
            </w:r>
            <w:r>
              <w:t xml:space="preserve"> to </w:t>
            </w:r>
            <w:r>
              <w:t>‘</w:t>
            </w:r>
            <w:proofErr w:type="spellStart"/>
            <w:r>
              <w:t>BinKill</w:t>
            </w:r>
            <w:proofErr w:type="spellEnd"/>
            <w:r>
              <w:t xml:space="preserve"> Indoor</w:t>
            </w:r>
            <w:r>
              <w:t>’</w:t>
            </w:r>
          </w:p>
        </w:tc>
      </w:tr>
    </w:tbl>
    <w:p w14:paraId="044DD23B"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6CD14D1F" w14:textId="77777777" w:rsidTr="004136D1">
        <w:trPr>
          <w:cantSplit/>
        </w:trPr>
        <w:tc>
          <w:tcPr>
            <w:tcW w:w="1100" w:type="pct"/>
            <w:shd w:val="clear" w:color="auto" w:fill="D9D9D9"/>
          </w:tcPr>
          <w:p w14:paraId="3886CF37" w14:textId="24137C22" w:rsidR="00EC3002" w:rsidRPr="00BC4F64" w:rsidRDefault="004136D1" w:rsidP="004136D1">
            <w:pPr>
              <w:pStyle w:val="S8Gazettetableheading"/>
            </w:pPr>
            <w:r>
              <w:t>Application no.</w:t>
            </w:r>
          </w:p>
        </w:tc>
        <w:tc>
          <w:tcPr>
            <w:tcW w:w="3900" w:type="pct"/>
            <w:shd w:val="clear" w:color="auto" w:fill="FFFFFF"/>
          </w:tcPr>
          <w:p w14:paraId="26C84A26" w14:textId="540FD2F7" w:rsidR="00EC3002" w:rsidRPr="00BC4F64" w:rsidRDefault="004136D1" w:rsidP="004136D1">
            <w:pPr>
              <w:pStyle w:val="S8Gazettetabletext"/>
            </w:pPr>
            <w:r>
              <w:t>149213</w:t>
            </w:r>
          </w:p>
        </w:tc>
      </w:tr>
      <w:tr w:rsidR="00EC3002" w:rsidRPr="00BC4F64" w14:paraId="178C4FD3" w14:textId="77777777" w:rsidTr="004136D1">
        <w:trPr>
          <w:cantSplit/>
        </w:trPr>
        <w:tc>
          <w:tcPr>
            <w:tcW w:w="1100" w:type="pct"/>
            <w:shd w:val="clear" w:color="auto" w:fill="D9D9D9"/>
          </w:tcPr>
          <w:p w14:paraId="34889CBE" w14:textId="3EE00515" w:rsidR="00EC3002" w:rsidRPr="00362E71" w:rsidRDefault="004136D1" w:rsidP="004136D1">
            <w:pPr>
              <w:pStyle w:val="S8Gazettetableheading"/>
            </w:pPr>
            <w:r>
              <w:t>Product name</w:t>
            </w:r>
          </w:p>
        </w:tc>
        <w:tc>
          <w:tcPr>
            <w:tcW w:w="3900" w:type="pct"/>
            <w:shd w:val="clear" w:color="auto" w:fill="FFFFFF"/>
          </w:tcPr>
          <w:p w14:paraId="77F1EFE0" w14:textId="4D0415C4" w:rsidR="00EC3002" w:rsidRPr="00BC4F64" w:rsidRDefault="004136D1" w:rsidP="004136D1">
            <w:pPr>
              <w:pStyle w:val="S8Gazettetabletext"/>
            </w:pPr>
            <w:r>
              <w:t>Peanut Seed Protectant Fungicide</w:t>
            </w:r>
          </w:p>
        </w:tc>
      </w:tr>
      <w:tr w:rsidR="00EC3002" w:rsidRPr="00BC4F64" w14:paraId="1B74DE42" w14:textId="77777777" w:rsidTr="004136D1">
        <w:trPr>
          <w:cantSplit/>
        </w:trPr>
        <w:tc>
          <w:tcPr>
            <w:tcW w:w="1100" w:type="pct"/>
            <w:shd w:val="clear" w:color="auto" w:fill="D9D9D9"/>
          </w:tcPr>
          <w:p w14:paraId="7CDF1768" w14:textId="632C39B4" w:rsidR="00EC3002" w:rsidRPr="00362E71" w:rsidRDefault="004136D1" w:rsidP="004136D1">
            <w:pPr>
              <w:pStyle w:val="S8Gazettetableheading"/>
            </w:pPr>
            <w:r>
              <w:t>Active constituents</w:t>
            </w:r>
          </w:p>
        </w:tc>
        <w:tc>
          <w:tcPr>
            <w:tcW w:w="3900" w:type="pct"/>
            <w:shd w:val="clear" w:color="auto" w:fill="FFFFFF"/>
          </w:tcPr>
          <w:p w14:paraId="1591F51C" w14:textId="6E733CAB" w:rsidR="00EC3002" w:rsidRPr="00BC4F64" w:rsidRDefault="004136D1" w:rsidP="004136D1">
            <w:pPr>
              <w:pStyle w:val="S8Gazettetabletext"/>
            </w:pPr>
            <w:r>
              <w:t xml:space="preserve">400 g/kg quintozene, 400 g/kg </w:t>
            </w:r>
            <w:proofErr w:type="spellStart"/>
            <w:r>
              <w:t>captan</w:t>
            </w:r>
            <w:proofErr w:type="spellEnd"/>
          </w:p>
        </w:tc>
      </w:tr>
      <w:tr w:rsidR="00EC3002" w:rsidRPr="00BC4F64" w14:paraId="25165636" w14:textId="77777777" w:rsidTr="004136D1">
        <w:trPr>
          <w:cantSplit/>
        </w:trPr>
        <w:tc>
          <w:tcPr>
            <w:tcW w:w="1100" w:type="pct"/>
            <w:shd w:val="clear" w:color="auto" w:fill="D9D9D9"/>
          </w:tcPr>
          <w:p w14:paraId="6D7F4E75" w14:textId="43BE7CDD" w:rsidR="00EC3002" w:rsidRPr="00362E71" w:rsidRDefault="004136D1" w:rsidP="004136D1">
            <w:pPr>
              <w:pStyle w:val="S8Gazettetableheading"/>
            </w:pPr>
            <w:r>
              <w:t>Applicant name</w:t>
            </w:r>
          </w:p>
        </w:tc>
        <w:tc>
          <w:tcPr>
            <w:tcW w:w="3900" w:type="pct"/>
            <w:shd w:val="clear" w:color="auto" w:fill="FFFFFF"/>
          </w:tcPr>
          <w:p w14:paraId="47F1DF75" w14:textId="25791CBC" w:rsidR="00EC3002" w:rsidRPr="00BC4F64" w:rsidRDefault="004136D1" w:rsidP="004136D1">
            <w:pPr>
              <w:pStyle w:val="S8Gazettetabletext"/>
            </w:pPr>
            <w:proofErr w:type="spellStart"/>
            <w:r>
              <w:t>Agnova</w:t>
            </w:r>
            <w:proofErr w:type="spellEnd"/>
            <w:r>
              <w:t xml:space="preserve"> Technologies Pty Ltd</w:t>
            </w:r>
          </w:p>
        </w:tc>
      </w:tr>
      <w:tr w:rsidR="00EC3002" w:rsidRPr="00BC4F64" w14:paraId="1C1AAD5D" w14:textId="77777777" w:rsidTr="004136D1">
        <w:trPr>
          <w:cantSplit/>
        </w:trPr>
        <w:tc>
          <w:tcPr>
            <w:tcW w:w="1100" w:type="pct"/>
            <w:shd w:val="clear" w:color="auto" w:fill="D9D9D9"/>
          </w:tcPr>
          <w:p w14:paraId="64F60CC3" w14:textId="491C0056" w:rsidR="00EC3002" w:rsidRPr="00BC4F64" w:rsidRDefault="004136D1" w:rsidP="004136D1">
            <w:pPr>
              <w:pStyle w:val="S8Gazettetableheading"/>
            </w:pPr>
            <w:r>
              <w:t>Applicant ACN</w:t>
            </w:r>
          </w:p>
        </w:tc>
        <w:tc>
          <w:tcPr>
            <w:tcW w:w="3900" w:type="pct"/>
            <w:shd w:val="clear" w:color="auto" w:fill="FFFFFF"/>
          </w:tcPr>
          <w:p w14:paraId="4E54890E" w14:textId="580C24F5" w:rsidR="00EC3002" w:rsidRPr="00FA2079" w:rsidRDefault="004136D1" w:rsidP="004136D1">
            <w:pPr>
              <w:pStyle w:val="S8Gazettetabletext"/>
            </w:pPr>
            <w:r>
              <w:t>097 705 158</w:t>
            </w:r>
          </w:p>
        </w:tc>
      </w:tr>
      <w:tr w:rsidR="00EC3002" w:rsidRPr="00BC4F64" w14:paraId="25B2CEA4" w14:textId="77777777" w:rsidTr="004136D1">
        <w:trPr>
          <w:cantSplit/>
        </w:trPr>
        <w:tc>
          <w:tcPr>
            <w:tcW w:w="1100" w:type="pct"/>
            <w:shd w:val="clear" w:color="auto" w:fill="D9D9D9"/>
          </w:tcPr>
          <w:p w14:paraId="46798301" w14:textId="4AD60DB6" w:rsidR="00EC3002" w:rsidRPr="00362E71" w:rsidRDefault="004136D1" w:rsidP="004136D1">
            <w:pPr>
              <w:pStyle w:val="S8Gazettetableheading"/>
            </w:pPr>
            <w:r>
              <w:t>Date of variation</w:t>
            </w:r>
          </w:p>
        </w:tc>
        <w:tc>
          <w:tcPr>
            <w:tcW w:w="3900" w:type="pct"/>
            <w:shd w:val="clear" w:color="auto" w:fill="FFFFFF"/>
          </w:tcPr>
          <w:p w14:paraId="3EA39C5F" w14:textId="69AC04D0" w:rsidR="00EC3002" w:rsidRPr="00BC4F64" w:rsidRDefault="004136D1" w:rsidP="004136D1">
            <w:pPr>
              <w:pStyle w:val="S8Gazettetabletext"/>
            </w:pPr>
            <w:r>
              <w:t>21 July 2025</w:t>
            </w:r>
          </w:p>
        </w:tc>
      </w:tr>
      <w:tr w:rsidR="00EC3002" w:rsidRPr="00BC4F64" w14:paraId="3F92B89D" w14:textId="77777777" w:rsidTr="004136D1">
        <w:trPr>
          <w:cantSplit/>
        </w:trPr>
        <w:tc>
          <w:tcPr>
            <w:tcW w:w="1100" w:type="pct"/>
            <w:shd w:val="clear" w:color="auto" w:fill="D9D9D9"/>
          </w:tcPr>
          <w:p w14:paraId="57AE3328" w14:textId="784DD9E5" w:rsidR="00EC3002" w:rsidRPr="00362E71" w:rsidRDefault="004136D1" w:rsidP="004136D1">
            <w:pPr>
              <w:pStyle w:val="S8Gazettetableheading"/>
            </w:pPr>
            <w:r>
              <w:t>Product registration no.</w:t>
            </w:r>
          </w:p>
        </w:tc>
        <w:tc>
          <w:tcPr>
            <w:tcW w:w="3900" w:type="pct"/>
            <w:shd w:val="clear" w:color="auto" w:fill="FFFFFF"/>
          </w:tcPr>
          <w:p w14:paraId="50ED6D9B" w14:textId="542E5EE4" w:rsidR="00EC3002" w:rsidRPr="00BC4F64" w:rsidRDefault="004136D1" w:rsidP="004136D1">
            <w:pPr>
              <w:pStyle w:val="S8Gazettetabletext"/>
            </w:pPr>
            <w:r>
              <w:t>50788</w:t>
            </w:r>
          </w:p>
        </w:tc>
      </w:tr>
      <w:tr w:rsidR="00EC3002" w:rsidRPr="00BC4F64" w14:paraId="223E3C85" w14:textId="77777777" w:rsidTr="004136D1">
        <w:trPr>
          <w:cantSplit/>
        </w:trPr>
        <w:tc>
          <w:tcPr>
            <w:tcW w:w="1100" w:type="pct"/>
            <w:shd w:val="clear" w:color="auto" w:fill="D9D9D9"/>
          </w:tcPr>
          <w:p w14:paraId="7AC128B0" w14:textId="6A7E60DA" w:rsidR="00EC3002" w:rsidRPr="00362E71" w:rsidRDefault="004136D1" w:rsidP="004136D1">
            <w:pPr>
              <w:pStyle w:val="S8Gazettetableheading"/>
            </w:pPr>
            <w:r>
              <w:t>Label approval no.</w:t>
            </w:r>
          </w:p>
        </w:tc>
        <w:tc>
          <w:tcPr>
            <w:tcW w:w="3900" w:type="pct"/>
            <w:shd w:val="clear" w:color="auto" w:fill="FFFFFF"/>
          </w:tcPr>
          <w:p w14:paraId="5F42D6FB" w14:textId="4B400476" w:rsidR="00EC3002" w:rsidRPr="00BC4F64" w:rsidRDefault="004136D1" w:rsidP="004136D1">
            <w:pPr>
              <w:pStyle w:val="S8Gazettetabletext"/>
            </w:pPr>
            <w:r>
              <w:t>50788/149213</w:t>
            </w:r>
          </w:p>
        </w:tc>
      </w:tr>
      <w:tr w:rsidR="00EC3002" w:rsidRPr="00BC4F64" w14:paraId="609248FE" w14:textId="77777777" w:rsidTr="004136D1">
        <w:trPr>
          <w:cantSplit/>
        </w:trPr>
        <w:tc>
          <w:tcPr>
            <w:tcW w:w="1100" w:type="pct"/>
            <w:shd w:val="clear" w:color="auto" w:fill="D9D9D9"/>
          </w:tcPr>
          <w:p w14:paraId="48A46BEB" w14:textId="5119A3C3"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6CCF9A6" w14:textId="71091911"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Uniroyal Chemical Peanut Seed Protectant Fungicide</w:t>
            </w:r>
            <w:r>
              <w:t>’</w:t>
            </w:r>
            <w:r>
              <w:t xml:space="preserve"> to </w:t>
            </w:r>
            <w:r>
              <w:t>‘</w:t>
            </w:r>
            <w:r>
              <w:t>Peanut Seed Protectant Fungicide</w:t>
            </w:r>
            <w:r>
              <w:t>’</w:t>
            </w:r>
          </w:p>
        </w:tc>
      </w:tr>
    </w:tbl>
    <w:p w14:paraId="77342546" w14:textId="77777777" w:rsidR="00EC3002" w:rsidRPr="00CD77B0"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3997A826" w14:textId="77777777" w:rsidTr="004136D1">
        <w:trPr>
          <w:cantSplit/>
          <w:tblHeader/>
        </w:trPr>
        <w:tc>
          <w:tcPr>
            <w:tcW w:w="1100" w:type="pct"/>
            <w:shd w:val="clear" w:color="auto" w:fill="D9D9D9"/>
          </w:tcPr>
          <w:p w14:paraId="2686ED36" w14:textId="5D45566F" w:rsidR="00EC3002" w:rsidRPr="00BC4F64" w:rsidRDefault="004136D1" w:rsidP="004136D1">
            <w:pPr>
              <w:pStyle w:val="S8Gazettetableheading"/>
            </w:pPr>
            <w:r>
              <w:lastRenderedPageBreak/>
              <w:t>Application no.</w:t>
            </w:r>
          </w:p>
        </w:tc>
        <w:tc>
          <w:tcPr>
            <w:tcW w:w="3900" w:type="pct"/>
            <w:shd w:val="clear" w:color="auto" w:fill="FFFFFF"/>
          </w:tcPr>
          <w:p w14:paraId="2146F0FC" w14:textId="6A7056D1" w:rsidR="00EC3002" w:rsidRPr="00BC4F64" w:rsidRDefault="004136D1" w:rsidP="004136D1">
            <w:pPr>
              <w:pStyle w:val="S8Gazettetabletext"/>
            </w:pPr>
            <w:r>
              <w:t>149259</w:t>
            </w:r>
          </w:p>
        </w:tc>
      </w:tr>
      <w:tr w:rsidR="00EC3002" w:rsidRPr="00BC4F64" w14:paraId="140AE1C3" w14:textId="77777777" w:rsidTr="004136D1">
        <w:trPr>
          <w:cantSplit/>
          <w:tblHeader/>
        </w:trPr>
        <w:tc>
          <w:tcPr>
            <w:tcW w:w="1100" w:type="pct"/>
            <w:shd w:val="clear" w:color="auto" w:fill="D9D9D9"/>
          </w:tcPr>
          <w:p w14:paraId="0A1A80EA" w14:textId="3765920D" w:rsidR="00EC3002" w:rsidRPr="00362E71" w:rsidRDefault="004136D1" w:rsidP="004136D1">
            <w:pPr>
              <w:pStyle w:val="S8Gazettetableheading"/>
            </w:pPr>
            <w:r>
              <w:t>Product name</w:t>
            </w:r>
          </w:p>
        </w:tc>
        <w:tc>
          <w:tcPr>
            <w:tcW w:w="3900" w:type="pct"/>
            <w:shd w:val="clear" w:color="auto" w:fill="FFFFFF"/>
          </w:tcPr>
          <w:p w14:paraId="35D052F2" w14:textId="0CAD1478" w:rsidR="00EC3002" w:rsidRPr="00BC4F64" w:rsidRDefault="004136D1" w:rsidP="004136D1">
            <w:pPr>
              <w:pStyle w:val="S8Gazettetabletext"/>
            </w:pPr>
            <w:r>
              <w:t>Hy-Clor Spa Bromine Tablets</w:t>
            </w:r>
          </w:p>
        </w:tc>
      </w:tr>
      <w:tr w:rsidR="00EC3002" w:rsidRPr="00BC4F64" w14:paraId="47AC7A26" w14:textId="77777777" w:rsidTr="004136D1">
        <w:trPr>
          <w:cantSplit/>
          <w:tblHeader/>
        </w:trPr>
        <w:tc>
          <w:tcPr>
            <w:tcW w:w="1100" w:type="pct"/>
            <w:shd w:val="clear" w:color="auto" w:fill="D9D9D9"/>
          </w:tcPr>
          <w:p w14:paraId="0083B323" w14:textId="2B6784BF" w:rsidR="00EC3002" w:rsidRPr="00362E71" w:rsidRDefault="004136D1" w:rsidP="004136D1">
            <w:pPr>
              <w:pStyle w:val="S8Gazettetableheading"/>
            </w:pPr>
            <w:r>
              <w:t>Active constituents</w:t>
            </w:r>
          </w:p>
        </w:tc>
        <w:tc>
          <w:tcPr>
            <w:tcW w:w="3900" w:type="pct"/>
            <w:shd w:val="clear" w:color="auto" w:fill="FFFFFF"/>
          </w:tcPr>
          <w:p w14:paraId="577BE928" w14:textId="1BA3B518" w:rsidR="00EC3002" w:rsidRPr="00BC4F64" w:rsidRDefault="004136D1" w:rsidP="004136D1">
            <w:pPr>
              <w:pStyle w:val="S8Gazettetabletext"/>
            </w:pPr>
            <w:r>
              <w:t xml:space="preserve">650 g/kg bromine (Br) present as </w:t>
            </w:r>
            <w:proofErr w:type="spellStart"/>
            <w:r>
              <w:t>bromochlorodimethylhydantoin</w:t>
            </w:r>
            <w:proofErr w:type="spellEnd"/>
            <w:r>
              <w:t xml:space="preserve">, 280 g/kg chlorine (Cl) present as </w:t>
            </w:r>
            <w:proofErr w:type="spellStart"/>
            <w:r>
              <w:t>bromochlorodimethylhydantoin</w:t>
            </w:r>
            <w:proofErr w:type="spellEnd"/>
          </w:p>
        </w:tc>
      </w:tr>
      <w:tr w:rsidR="00EC3002" w:rsidRPr="00BC4F64" w14:paraId="220EB703" w14:textId="77777777" w:rsidTr="004136D1">
        <w:trPr>
          <w:cantSplit/>
          <w:tblHeader/>
        </w:trPr>
        <w:tc>
          <w:tcPr>
            <w:tcW w:w="1100" w:type="pct"/>
            <w:shd w:val="clear" w:color="auto" w:fill="D9D9D9"/>
          </w:tcPr>
          <w:p w14:paraId="3ED6E836" w14:textId="76B145FD" w:rsidR="00EC3002" w:rsidRPr="00362E71" w:rsidRDefault="004136D1" w:rsidP="004136D1">
            <w:pPr>
              <w:pStyle w:val="S8Gazettetableheading"/>
            </w:pPr>
            <w:r>
              <w:t>Applicant name</w:t>
            </w:r>
          </w:p>
        </w:tc>
        <w:tc>
          <w:tcPr>
            <w:tcW w:w="3900" w:type="pct"/>
            <w:shd w:val="clear" w:color="auto" w:fill="FFFFFF"/>
          </w:tcPr>
          <w:p w14:paraId="55972261" w14:textId="1544721E" w:rsidR="00EC3002" w:rsidRPr="00BC4F64" w:rsidRDefault="004136D1" w:rsidP="004136D1">
            <w:pPr>
              <w:pStyle w:val="S8Gazettetabletext"/>
            </w:pPr>
            <w:r>
              <w:t>Hy-Clor (Australia) Pty Ltd</w:t>
            </w:r>
          </w:p>
        </w:tc>
      </w:tr>
      <w:tr w:rsidR="00EC3002" w:rsidRPr="00BC4F64" w14:paraId="40852C91" w14:textId="77777777" w:rsidTr="004136D1">
        <w:trPr>
          <w:cantSplit/>
          <w:tblHeader/>
        </w:trPr>
        <w:tc>
          <w:tcPr>
            <w:tcW w:w="1100" w:type="pct"/>
            <w:shd w:val="clear" w:color="auto" w:fill="D9D9D9"/>
          </w:tcPr>
          <w:p w14:paraId="298FA46A" w14:textId="45800E20" w:rsidR="00EC3002" w:rsidRPr="00BC4F64" w:rsidRDefault="004136D1" w:rsidP="004136D1">
            <w:pPr>
              <w:pStyle w:val="S8Gazettetableheading"/>
            </w:pPr>
            <w:r>
              <w:t>Applicant ACN</w:t>
            </w:r>
          </w:p>
        </w:tc>
        <w:tc>
          <w:tcPr>
            <w:tcW w:w="3900" w:type="pct"/>
            <w:shd w:val="clear" w:color="auto" w:fill="FFFFFF"/>
          </w:tcPr>
          <w:p w14:paraId="06A34470" w14:textId="1E73440F" w:rsidR="00EC3002" w:rsidRPr="00FA2079" w:rsidRDefault="004136D1" w:rsidP="004136D1">
            <w:pPr>
              <w:pStyle w:val="S8Gazettetabletext"/>
            </w:pPr>
            <w:r>
              <w:t>000 655 381</w:t>
            </w:r>
          </w:p>
        </w:tc>
      </w:tr>
      <w:tr w:rsidR="00EC3002" w:rsidRPr="00BC4F64" w14:paraId="32B6F2B0" w14:textId="77777777" w:rsidTr="004136D1">
        <w:trPr>
          <w:cantSplit/>
          <w:tblHeader/>
        </w:trPr>
        <w:tc>
          <w:tcPr>
            <w:tcW w:w="1100" w:type="pct"/>
            <w:shd w:val="clear" w:color="auto" w:fill="D9D9D9"/>
          </w:tcPr>
          <w:p w14:paraId="500B9323" w14:textId="663018E7" w:rsidR="00EC3002" w:rsidRPr="00362E71" w:rsidRDefault="004136D1" w:rsidP="004136D1">
            <w:pPr>
              <w:pStyle w:val="S8Gazettetableheading"/>
            </w:pPr>
            <w:r>
              <w:t>Date of variation</w:t>
            </w:r>
          </w:p>
        </w:tc>
        <w:tc>
          <w:tcPr>
            <w:tcW w:w="3900" w:type="pct"/>
            <w:shd w:val="clear" w:color="auto" w:fill="FFFFFF"/>
          </w:tcPr>
          <w:p w14:paraId="67188519" w14:textId="3218F743" w:rsidR="00EC3002" w:rsidRPr="00BC4F64" w:rsidRDefault="004136D1" w:rsidP="004136D1">
            <w:pPr>
              <w:pStyle w:val="S8Gazettetabletext"/>
            </w:pPr>
            <w:r>
              <w:t>23 July 2025</w:t>
            </w:r>
          </w:p>
        </w:tc>
      </w:tr>
      <w:tr w:rsidR="00EC3002" w:rsidRPr="00BC4F64" w14:paraId="19E4D4F0" w14:textId="77777777" w:rsidTr="004136D1">
        <w:trPr>
          <w:cantSplit/>
          <w:tblHeader/>
        </w:trPr>
        <w:tc>
          <w:tcPr>
            <w:tcW w:w="1100" w:type="pct"/>
            <w:shd w:val="clear" w:color="auto" w:fill="D9D9D9"/>
          </w:tcPr>
          <w:p w14:paraId="2F892547" w14:textId="64BE7E8E" w:rsidR="00EC3002" w:rsidRPr="00362E71" w:rsidRDefault="004136D1" w:rsidP="004136D1">
            <w:pPr>
              <w:pStyle w:val="S8Gazettetableheading"/>
            </w:pPr>
            <w:r>
              <w:t>Product registration no.</w:t>
            </w:r>
          </w:p>
        </w:tc>
        <w:tc>
          <w:tcPr>
            <w:tcW w:w="3900" w:type="pct"/>
            <w:shd w:val="clear" w:color="auto" w:fill="FFFFFF"/>
          </w:tcPr>
          <w:p w14:paraId="3B67D861" w14:textId="47A3D664" w:rsidR="00EC3002" w:rsidRPr="00BC4F64" w:rsidRDefault="004136D1" w:rsidP="004136D1">
            <w:pPr>
              <w:pStyle w:val="S8Gazettetabletext"/>
            </w:pPr>
            <w:r>
              <w:t>56160</w:t>
            </w:r>
          </w:p>
        </w:tc>
      </w:tr>
      <w:tr w:rsidR="00EC3002" w:rsidRPr="00BC4F64" w14:paraId="15D77271" w14:textId="77777777" w:rsidTr="004136D1">
        <w:trPr>
          <w:cantSplit/>
          <w:tblHeader/>
        </w:trPr>
        <w:tc>
          <w:tcPr>
            <w:tcW w:w="1100" w:type="pct"/>
            <w:shd w:val="clear" w:color="auto" w:fill="D9D9D9"/>
          </w:tcPr>
          <w:p w14:paraId="7AC9AA8A" w14:textId="74FC82A2" w:rsidR="00EC3002" w:rsidRPr="00362E71" w:rsidRDefault="004136D1" w:rsidP="004136D1">
            <w:pPr>
              <w:pStyle w:val="S8Gazettetableheading"/>
            </w:pPr>
            <w:r>
              <w:t>Label approval no.</w:t>
            </w:r>
          </w:p>
        </w:tc>
        <w:tc>
          <w:tcPr>
            <w:tcW w:w="3900" w:type="pct"/>
            <w:shd w:val="clear" w:color="auto" w:fill="FFFFFF"/>
          </w:tcPr>
          <w:p w14:paraId="25A0688B" w14:textId="4517BF8E" w:rsidR="00EC3002" w:rsidRPr="00BC4F64" w:rsidRDefault="004136D1" w:rsidP="004136D1">
            <w:pPr>
              <w:pStyle w:val="S8Gazettetabletext"/>
            </w:pPr>
            <w:r>
              <w:t>56160/149259</w:t>
            </w:r>
          </w:p>
        </w:tc>
      </w:tr>
      <w:tr w:rsidR="00EC3002" w:rsidRPr="00BC4F64" w14:paraId="7D3770BC" w14:textId="77777777" w:rsidTr="004136D1">
        <w:trPr>
          <w:cantSplit/>
          <w:tblHeader/>
        </w:trPr>
        <w:tc>
          <w:tcPr>
            <w:tcW w:w="1100" w:type="pct"/>
            <w:shd w:val="clear" w:color="auto" w:fill="D9D9D9"/>
          </w:tcPr>
          <w:p w14:paraId="054E19A5" w14:textId="51C327BE"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203A7216" w14:textId="790B4858"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Hy-Clor Spa Sanitiser Spa Tablets</w:t>
            </w:r>
            <w:r>
              <w:t>’</w:t>
            </w:r>
            <w:r>
              <w:t xml:space="preserve"> to </w:t>
            </w:r>
            <w:r>
              <w:t>‘</w:t>
            </w:r>
            <w:r>
              <w:t>Hy-Clor Spa Bromine Tablets</w:t>
            </w:r>
            <w:r>
              <w:t>’</w:t>
            </w:r>
          </w:p>
        </w:tc>
      </w:tr>
    </w:tbl>
    <w:p w14:paraId="52ECC5B8"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4238B65A" w14:textId="77777777" w:rsidTr="004136D1">
        <w:trPr>
          <w:cantSplit/>
        </w:trPr>
        <w:tc>
          <w:tcPr>
            <w:tcW w:w="1100" w:type="pct"/>
            <w:shd w:val="clear" w:color="auto" w:fill="D9D9D9"/>
          </w:tcPr>
          <w:p w14:paraId="606A138F" w14:textId="6B6A10EF" w:rsidR="00EC3002" w:rsidRPr="00BC4F64" w:rsidRDefault="004136D1" w:rsidP="004136D1">
            <w:pPr>
              <w:pStyle w:val="S8Gazettetableheading"/>
            </w:pPr>
            <w:r>
              <w:t>Application no.</w:t>
            </w:r>
          </w:p>
        </w:tc>
        <w:tc>
          <w:tcPr>
            <w:tcW w:w="3900" w:type="pct"/>
            <w:shd w:val="clear" w:color="auto" w:fill="FFFFFF"/>
          </w:tcPr>
          <w:p w14:paraId="607D4E7B" w14:textId="4E7080AB" w:rsidR="00EC3002" w:rsidRPr="00BC4F64" w:rsidRDefault="004136D1" w:rsidP="004136D1">
            <w:pPr>
              <w:pStyle w:val="S8Gazettetabletext"/>
            </w:pPr>
            <w:r>
              <w:t>149258</w:t>
            </w:r>
          </w:p>
        </w:tc>
      </w:tr>
      <w:tr w:rsidR="00EC3002" w:rsidRPr="00BC4F64" w14:paraId="665EA4B2" w14:textId="77777777" w:rsidTr="004136D1">
        <w:trPr>
          <w:cantSplit/>
        </w:trPr>
        <w:tc>
          <w:tcPr>
            <w:tcW w:w="1100" w:type="pct"/>
            <w:shd w:val="clear" w:color="auto" w:fill="D9D9D9"/>
          </w:tcPr>
          <w:p w14:paraId="14B8633B" w14:textId="518ED434" w:rsidR="00EC3002" w:rsidRPr="00362E71" w:rsidRDefault="004136D1" w:rsidP="004136D1">
            <w:pPr>
              <w:pStyle w:val="S8Gazettetableheading"/>
            </w:pPr>
            <w:r>
              <w:t>Product name</w:t>
            </w:r>
          </w:p>
        </w:tc>
        <w:tc>
          <w:tcPr>
            <w:tcW w:w="3900" w:type="pct"/>
            <w:shd w:val="clear" w:color="auto" w:fill="FFFFFF"/>
          </w:tcPr>
          <w:p w14:paraId="00C37B52" w14:textId="2C0D2410" w:rsidR="00EC3002" w:rsidRPr="00BC4F64" w:rsidRDefault="004136D1" w:rsidP="004136D1">
            <w:pPr>
              <w:pStyle w:val="S8Gazettetabletext"/>
            </w:pPr>
            <w:proofErr w:type="spellStart"/>
            <w:r>
              <w:t>Plafin</w:t>
            </w:r>
            <w:proofErr w:type="spellEnd"/>
            <w:r>
              <w:t xml:space="preserve"> Mosquito Coil</w:t>
            </w:r>
          </w:p>
        </w:tc>
      </w:tr>
      <w:tr w:rsidR="00EC3002" w:rsidRPr="00BC4F64" w14:paraId="2D43E0AA" w14:textId="77777777" w:rsidTr="004136D1">
        <w:trPr>
          <w:cantSplit/>
        </w:trPr>
        <w:tc>
          <w:tcPr>
            <w:tcW w:w="1100" w:type="pct"/>
            <w:shd w:val="clear" w:color="auto" w:fill="D9D9D9"/>
          </w:tcPr>
          <w:p w14:paraId="57E12B70" w14:textId="53D03A50" w:rsidR="00EC3002" w:rsidRPr="00362E71" w:rsidRDefault="004136D1" w:rsidP="004136D1">
            <w:pPr>
              <w:pStyle w:val="S8Gazettetableheading"/>
            </w:pPr>
            <w:r>
              <w:t>Active constituent</w:t>
            </w:r>
          </w:p>
        </w:tc>
        <w:tc>
          <w:tcPr>
            <w:tcW w:w="3900" w:type="pct"/>
            <w:shd w:val="clear" w:color="auto" w:fill="FFFFFF"/>
          </w:tcPr>
          <w:p w14:paraId="744C46C5" w14:textId="72207966" w:rsidR="00EC3002" w:rsidRPr="00BC4F64" w:rsidRDefault="004136D1" w:rsidP="004136D1">
            <w:pPr>
              <w:pStyle w:val="S8Gazettetabletext"/>
            </w:pPr>
            <w:r>
              <w:t>2 g/kg D-allethrin</w:t>
            </w:r>
          </w:p>
        </w:tc>
      </w:tr>
      <w:tr w:rsidR="00EC3002" w:rsidRPr="00BC4F64" w14:paraId="2D4E02BE" w14:textId="77777777" w:rsidTr="004136D1">
        <w:trPr>
          <w:cantSplit/>
        </w:trPr>
        <w:tc>
          <w:tcPr>
            <w:tcW w:w="1100" w:type="pct"/>
            <w:shd w:val="clear" w:color="auto" w:fill="D9D9D9"/>
          </w:tcPr>
          <w:p w14:paraId="200E9F38" w14:textId="001BDD5A" w:rsidR="00EC3002" w:rsidRPr="00362E71" w:rsidRDefault="004136D1" w:rsidP="004136D1">
            <w:pPr>
              <w:pStyle w:val="S8Gazettetableheading"/>
            </w:pPr>
            <w:r>
              <w:t>Applicant name</w:t>
            </w:r>
          </w:p>
        </w:tc>
        <w:tc>
          <w:tcPr>
            <w:tcW w:w="3900" w:type="pct"/>
            <w:shd w:val="clear" w:color="auto" w:fill="FFFFFF"/>
          </w:tcPr>
          <w:p w14:paraId="6BFEE96E" w14:textId="6252F80F" w:rsidR="00EC3002" w:rsidRPr="00BC4F64" w:rsidRDefault="004136D1" w:rsidP="004136D1">
            <w:pPr>
              <w:pStyle w:val="S8Gazettetabletext"/>
            </w:pPr>
            <w:proofErr w:type="spellStart"/>
            <w:r>
              <w:t>Vinico</w:t>
            </w:r>
            <w:proofErr w:type="spellEnd"/>
            <w:r>
              <w:t xml:space="preserve"> </w:t>
            </w:r>
            <w:proofErr w:type="spellStart"/>
            <w:r>
              <w:t>Sdn</w:t>
            </w:r>
            <w:proofErr w:type="spellEnd"/>
            <w:r>
              <w:t xml:space="preserve"> </w:t>
            </w:r>
            <w:proofErr w:type="spellStart"/>
            <w:r>
              <w:t>Bhd</w:t>
            </w:r>
            <w:proofErr w:type="spellEnd"/>
          </w:p>
        </w:tc>
      </w:tr>
      <w:tr w:rsidR="00EC3002" w:rsidRPr="00BC4F64" w14:paraId="4379E8FD" w14:textId="77777777" w:rsidTr="004136D1">
        <w:trPr>
          <w:cantSplit/>
        </w:trPr>
        <w:tc>
          <w:tcPr>
            <w:tcW w:w="1100" w:type="pct"/>
            <w:shd w:val="clear" w:color="auto" w:fill="D9D9D9"/>
          </w:tcPr>
          <w:p w14:paraId="24CC0E83" w14:textId="2E9CDAF9" w:rsidR="00EC3002" w:rsidRPr="00BC4F64" w:rsidRDefault="004136D1" w:rsidP="004136D1">
            <w:pPr>
              <w:pStyle w:val="S8Gazettetableheading"/>
            </w:pPr>
            <w:r>
              <w:t>Applicant ACN</w:t>
            </w:r>
          </w:p>
        </w:tc>
        <w:tc>
          <w:tcPr>
            <w:tcW w:w="3900" w:type="pct"/>
            <w:shd w:val="clear" w:color="auto" w:fill="FFFFFF"/>
          </w:tcPr>
          <w:p w14:paraId="4355891D" w14:textId="76C6EDE5" w:rsidR="00EC3002" w:rsidRPr="00FA2079" w:rsidRDefault="004136D1" w:rsidP="004136D1">
            <w:pPr>
              <w:pStyle w:val="S8Gazettetabletext"/>
            </w:pPr>
            <w:r>
              <w:t>N/A</w:t>
            </w:r>
          </w:p>
        </w:tc>
      </w:tr>
      <w:tr w:rsidR="00EC3002" w:rsidRPr="00BC4F64" w14:paraId="5BB5E98B" w14:textId="77777777" w:rsidTr="004136D1">
        <w:trPr>
          <w:cantSplit/>
        </w:trPr>
        <w:tc>
          <w:tcPr>
            <w:tcW w:w="1100" w:type="pct"/>
            <w:shd w:val="clear" w:color="auto" w:fill="D9D9D9"/>
          </w:tcPr>
          <w:p w14:paraId="36EC0861" w14:textId="73C35321" w:rsidR="00EC3002" w:rsidRPr="00362E71" w:rsidRDefault="004136D1" w:rsidP="004136D1">
            <w:pPr>
              <w:pStyle w:val="S8Gazettetableheading"/>
            </w:pPr>
            <w:r>
              <w:t>Date of variation</w:t>
            </w:r>
          </w:p>
        </w:tc>
        <w:tc>
          <w:tcPr>
            <w:tcW w:w="3900" w:type="pct"/>
            <w:shd w:val="clear" w:color="auto" w:fill="FFFFFF"/>
          </w:tcPr>
          <w:p w14:paraId="180A3C3F" w14:textId="1C260CCB" w:rsidR="00EC3002" w:rsidRPr="00BC4F64" w:rsidRDefault="004136D1" w:rsidP="004136D1">
            <w:pPr>
              <w:pStyle w:val="S8Gazettetabletext"/>
            </w:pPr>
            <w:r>
              <w:t>23 July 2025</w:t>
            </w:r>
          </w:p>
        </w:tc>
      </w:tr>
      <w:tr w:rsidR="00EC3002" w:rsidRPr="00BC4F64" w14:paraId="110A131E" w14:textId="77777777" w:rsidTr="004136D1">
        <w:trPr>
          <w:cantSplit/>
        </w:trPr>
        <w:tc>
          <w:tcPr>
            <w:tcW w:w="1100" w:type="pct"/>
            <w:shd w:val="clear" w:color="auto" w:fill="D9D9D9"/>
          </w:tcPr>
          <w:p w14:paraId="6CCD5D39" w14:textId="091CFCF4" w:rsidR="00EC3002" w:rsidRPr="00362E71" w:rsidRDefault="004136D1" w:rsidP="004136D1">
            <w:pPr>
              <w:pStyle w:val="S8Gazettetableheading"/>
            </w:pPr>
            <w:r>
              <w:t>Product registration no.</w:t>
            </w:r>
          </w:p>
        </w:tc>
        <w:tc>
          <w:tcPr>
            <w:tcW w:w="3900" w:type="pct"/>
            <w:shd w:val="clear" w:color="auto" w:fill="FFFFFF"/>
          </w:tcPr>
          <w:p w14:paraId="1D7E4AD8" w14:textId="604F8460" w:rsidR="00EC3002" w:rsidRPr="00BC4F64" w:rsidRDefault="004136D1" w:rsidP="004136D1">
            <w:pPr>
              <w:pStyle w:val="S8Gazettetabletext"/>
            </w:pPr>
            <w:r>
              <w:t>68861</w:t>
            </w:r>
          </w:p>
        </w:tc>
      </w:tr>
      <w:tr w:rsidR="00EC3002" w:rsidRPr="00BC4F64" w14:paraId="366C63AE" w14:textId="77777777" w:rsidTr="004136D1">
        <w:trPr>
          <w:cantSplit/>
        </w:trPr>
        <w:tc>
          <w:tcPr>
            <w:tcW w:w="1100" w:type="pct"/>
            <w:shd w:val="clear" w:color="auto" w:fill="D9D9D9"/>
          </w:tcPr>
          <w:p w14:paraId="4A8C26C9" w14:textId="511F0863" w:rsidR="00EC3002" w:rsidRPr="00362E71" w:rsidRDefault="004136D1" w:rsidP="004136D1">
            <w:pPr>
              <w:pStyle w:val="S8Gazettetableheading"/>
            </w:pPr>
            <w:r>
              <w:t>Label approval no.</w:t>
            </w:r>
          </w:p>
        </w:tc>
        <w:tc>
          <w:tcPr>
            <w:tcW w:w="3900" w:type="pct"/>
            <w:shd w:val="clear" w:color="auto" w:fill="FFFFFF"/>
          </w:tcPr>
          <w:p w14:paraId="7DB8D265" w14:textId="260BA262" w:rsidR="00EC3002" w:rsidRPr="00BC4F64" w:rsidRDefault="004136D1" w:rsidP="004136D1">
            <w:pPr>
              <w:pStyle w:val="S8Gazettetabletext"/>
            </w:pPr>
            <w:r>
              <w:t>68861/149258</w:t>
            </w:r>
          </w:p>
        </w:tc>
      </w:tr>
      <w:tr w:rsidR="00EC3002" w:rsidRPr="00BC4F64" w14:paraId="0272BB49" w14:textId="77777777" w:rsidTr="004136D1">
        <w:trPr>
          <w:cantSplit/>
        </w:trPr>
        <w:tc>
          <w:tcPr>
            <w:tcW w:w="1100" w:type="pct"/>
            <w:shd w:val="clear" w:color="auto" w:fill="D9D9D9"/>
          </w:tcPr>
          <w:p w14:paraId="7738CEC4" w14:textId="5D33C31A"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9613D1F" w14:textId="50ABE2F7" w:rsidR="00EC3002" w:rsidRPr="00BC4F64" w:rsidRDefault="004136D1" w:rsidP="004136D1">
            <w:pPr>
              <w:pStyle w:val="S8Gazettetabletext"/>
            </w:pPr>
            <w:r>
              <w:t xml:space="preserve">Variation to the particulars of registration and label approval to change the name that appears on the label from </w:t>
            </w:r>
            <w:r>
              <w:t>‘</w:t>
            </w:r>
            <w:r>
              <w:t>Atlas Mosquito Coils Repels for Up To 8 Hours 30 Coil Value Pack</w:t>
            </w:r>
            <w:r>
              <w:t>’</w:t>
            </w:r>
            <w:r>
              <w:t xml:space="preserve"> to </w:t>
            </w:r>
            <w:r>
              <w:t>‘</w:t>
            </w:r>
            <w:r>
              <w:t>Atlas Repels for Up To 8 Hours Mosquito Coils</w:t>
            </w:r>
            <w:r>
              <w:t>’</w:t>
            </w:r>
          </w:p>
        </w:tc>
      </w:tr>
    </w:tbl>
    <w:p w14:paraId="06879E03" w14:textId="77777777" w:rsidR="00EC3002" w:rsidRPr="00D326B6"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661B7CB5" w14:textId="77777777" w:rsidTr="004136D1">
        <w:trPr>
          <w:cantSplit/>
        </w:trPr>
        <w:tc>
          <w:tcPr>
            <w:tcW w:w="1100" w:type="pct"/>
            <w:shd w:val="clear" w:color="auto" w:fill="D9D9D9"/>
          </w:tcPr>
          <w:p w14:paraId="1BC59F4D" w14:textId="3C3300DA" w:rsidR="00EC3002" w:rsidRPr="007834FB" w:rsidRDefault="004136D1" w:rsidP="004136D1">
            <w:pPr>
              <w:pStyle w:val="S8Gazettetableheading"/>
            </w:pPr>
            <w:r>
              <w:t>Application no.</w:t>
            </w:r>
          </w:p>
        </w:tc>
        <w:tc>
          <w:tcPr>
            <w:tcW w:w="3900" w:type="pct"/>
            <w:shd w:val="clear" w:color="auto" w:fill="FFFFFF"/>
          </w:tcPr>
          <w:p w14:paraId="077D1F03" w14:textId="26BF832F" w:rsidR="00EC3002" w:rsidRPr="008B6E36" w:rsidRDefault="004136D1" w:rsidP="004136D1">
            <w:pPr>
              <w:pStyle w:val="S8Gazettetabletext"/>
              <w:rPr>
                <w:noProof/>
              </w:rPr>
            </w:pPr>
            <w:r>
              <w:rPr>
                <w:noProof/>
              </w:rPr>
              <w:t>148051</w:t>
            </w:r>
          </w:p>
        </w:tc>
      </w:tr>
      <w:tr w:rsidR="00EC3002" w:rsidRPr="008B6E36" w14:paraId="185B2F4E" w14:textId="77777777" w:rsidTr="004136D1">
        <w:trPr>
          <w:cantSplit/>
        </w:trPr>
        <w:tc>
          <w:tcPr>
            <w:tcW w:w="1100" w:type="pct"/>
            <w:shd w:val="clear" w:color="auto" w:fill="D9D9D9"/>
          </w:tcPr>
          <w:p w14:paraId="478C204E" w14:textId="725C516B" w:rsidR="00EC3002" w:rsidRPr="007834FB" w:rsidRDefault="004136D1" w:rsidP="004136D1">
            <w:pPr>
              <w:pStyle w:val="S8Gazettetableheading"/>
            </w:pPr>
            <w:r>
              <w:t>Product name</w:t>
            </w:r>
          </w:p>
        </w:tc>
        <w:tc>
          <w:tcPr>
            <w:tcW w:w="3900" w:type="pct"/>
            <w:shd w:val="clear" w:color="auto" w:fill="FFFFFF"/>
          </w:tcPr>
          <w:p w14:paraId="65C02BBF" w14:textId="23ED17A7" w:rsidR="00EC3002" w:rsidRPr="008B6E36" w:rsidRDefault="004136D1" w:rsidP="004136D1">
            <w:pPr>
              <w:pStyle w:val="S8Gazettetabletext"/>
            </w:pPr>
            <w:r>
              <w:t>Titan S-metolachlor 960 Herbicide</w:t>
            </w:r>
          </w:p>
        </w:tc>
      </w:tr>
      <w:tr w:rsidR="00EC3002" w:rsidRPr="008B6E36" w14:paraId="22808343" w14:textId="77777777" w:rsidTr="004136D1">
        <w:trPr>
          <w:cantSplit/>
        </w:trPr>
        <w:tc>
          <w:tcPr>
            <w:tcW w:w="1100" w:type="pct"/>
            <w:shd w:val="clear" w:color="auto" w:fill="D9D9D9"/>
          </w:tcPr>
          <w:p w14:paraId="7D3292E8" w14:textId="7D257456" w:rsidR="00EC3002" w:rsidRPr="007834FB" w:rsidRDefault="004136D1" w:rsidP="004136D1">
            <w:pPr>
              <w:pStyle w:val="S8Gazettetableheading"/>
            </w:pPr>
            <w:r>
              <w:t>Active constituent</w:t>
            </w:r>
          </w:p>
        </w:tc>
        <w:tc>
          <w:tcPr>
            <w:tcW w:w="3900" w:type="pct"/>
            <w:shd w:val="clear" w:color="auto" w:fill="FFFFFF"/>
          </w:tcPr>
          <w:p w14:paraId="183ACABD" w14:textId="41EFBED1" w:rsidR="00EC3002" w:rsidRPr="008B6E36" w:rsidRDefault="004136D1" w:rsidP="004136D1">
            <w:pPr>
              <w:pStyle w:val="S8Gazettetabletext"/>
            </w:pPr>
            <w:r>
              <w:t>960 g/L S-metolachlor</w:t>
            </w:r>
          </w:p>
        </w:tc>
      </w:tr>
      <w:tr w:rsidR="00EC3002" w:rsidRPr="008B6E36" w14:paraId="76CD05AF" w14:textId="77777777" w:rsidTr="004136D1">
        <w:trPr>
          <w:cantSplit/>
        </w:trPr>
        <w:tc>
          <w:tcPr>
            <w:tcW w:w="1100" w:type="pct"/>
            <w:shd w:val="clear" w:color="auto" w:fill="D9D9D9"/>
          </w:tcPr>
          <w:p w14:paraId="37386992" w14:textId="0F001F0B" w:rsidR="00EC3002" w:rsidRPr="007834FB" w:rsidRDefault="004136D1" w:rsidP="004136D1">
            <w:pPr>
              <w:pStyle w:val="S8Gazettetableheading"/>
            </w:pPr>
            <w:r>
              <w:t>Applicant name</w:t>
            </w:r>
          </w:p>
        </w:tc>
        <w:tc>
          <w:tcPr>
            <w:tcW w:w="3900" w:type="pct"/>
            <w:shd w:val="clear" w:color="auto" w:fill="FFFFFF"/>
          </w:tcPr>
          <w:p w14:paraId="0A36E3C7" w14:textId="0F44829B" w:rsidR="00EC3002" w:rsidRPr="008B6E36" w:rsidRDefault="004136D1" w:rsidP="004136D1">
            <w:pPr>
              <w:pStyle w:val="S8Gazettetabletext"/>
            </w:pPr>
            <w:r>
              <w:t>Titan Ag Pty Ltd</w:t>
            </w:r>
          </w:p>
        </w:tc>
      </w:tr>
      <w:tr w:rsidR="00EC3002" w:rsidRPr="008B6E36" w14:paraId="68833B72" w14:textId="77777777" w:rsidTr="004136D1">
        <w:trPr>
          <w:cantSplit/>
        </w:trPr>
        <w:tc>
          <w:tcPr>
            <w:tcW w:w="1100" w:type="pct"/>
            <w:shd w:val="clear" w:color="auto" w:fill="D9D9D9"/>
          </w:tcPr>
          <w:p w14:paraId="325FF3DA" w14:textId="5DCD9D4C" w:rsidR="00EC3002" w:rsidRPr="007834FB" w:rsidRDefault="004136D1" w:rsidP="004136D1">
            <w:pPr>
              <w:pStyle w:val="S8Gazettetableheading"/>
            </w:pPr>
            <w:r>
              <w:t>Applicant ACN</w:t>
            </w:r>
          </w:p>
        </w:tc>
        <w:tc>
          <w:tcPr>
            <w:tcW w:w="3900" w:type="pct"/>
            <w:shd w:val="clear" w:color="auto" w:fill="FFFFFF"/>
          </w:tcPr>
          <w:p w14:paraId="261AAD9E" w14:textId="269AAA2E" w:rsidR="00EC3002" w:rsidRPr="008B6E36" w:rsidRDefault="004136D1" w:rsidP="004136D1">
            <w:pPr>
              <w:pStyle w:val="S8Gazettetabletext"/>
            </w:pPr>
            <w:r>
              <w:t>122 081 574</w:t>
            </w:r>
          </w:p>
        </w:tc>
      </w:tr>
      <w:tr w:rsidR="00EC3002" w:rsidRPr="008B6E36" w14:paraId="5ED6F13B" w14:textId="77777777" w:rsidTr="004136D1">
        <w:trPr>
          <w:cantSplit/>
        </w:trPr>
        <w:tc>
          <w:tcPr>
            <w:tcW w:w="1100" w:type="pct"/>
            <w:shd w:val="clear" w:color="auto" w:fill="D9D9D9"/>
          </w:tcPr>
          <w:p w14:paraId="0D8C7556" w14:textId="2F0CD11A" w:rsidR="00EC3002" w:rsidRPr="007834FB" w:rsidRDefault="004136D1" w:rsidP="004136D1">
            <w:pPr>
              <w:pStyle w:val="S8Gazettetableheading"/>
            </w:pPr>
            <w:r>
              <w:t>Date of variation</w:t>
            </w:r>
          </w:p>
        </w:tc>
        <w:tc>
          <w:tcPr>
            <w:tcW w:w="3900" w:type="pct"/>
            <w:shd w:val="clear" w:color="auto" w:fill="FFFFFF"/>
          </w:tcPr>
          <w:p w14:paraId="607E0D73" w14:textId="40ED34D3" w:rsidR="00EC3002" w:rsidRPr="008B6E36" w:rsidRDefault="004136D1" w:rsidP="004136D1">
            <w:pPr>
              <w:pStyle w:val="S8Gazettetabletext"/>
            </w:pPr>
            <w:r>
              <w:t>29 July 2025</w:t>
            </w:r>
          </w:p>
        </w:tc>
      </w:tr>
      <w:tr w:rsidR="00EC3002" w:rsidRPr="008B6E36" w14:paraId="29BD7271" w14:textId="77777777" w:rsidTr="004136D1">
        <w:trPr>
          <w:cantSplit/>
        </w:trPr>
        <w:tc>
          <w:tcPr>
            <w:tcW w:w="1100" w:type="pct"/>
            <w:shd w:val="clear" w:color="auto" w:fill="D9D9D9"/>
          </w:tcPr>
          <w:p w14:paraId="76F15952" w14:textId="787FCD8A" w:rsidR="00EC3002" w:rsidRPr="007834FB" w:rsidRDefault="004136D1" w:rsidP="004136D1">
            <w:pPr>
              <w:pStyle w:val="S8Gazettetableheading"/>
            </w:pPr>
            <w:r>
              <w:t>Product registration no.</w:t>
            </w:r>
          </w:p>
        </w:tc>
        <w:tc>
          <w:tcPr>
            <w:tcW w:w="3900" w:type="pct"/>
            <w:shd w:val="clear" w:color="auto" w:fill="FFFFFF"/>
          </w:tcPr>
          <w:p w14:paraId="23FC866B" w14:textId="5E1D53F5" w:rsidR="00EC3002" w:rsidRPr="008B6E36" w:rsidRDefault="004136D1" w:rsidP="004136D1">
            <w:pPr>
              <w:pStyle w:val="S8Gazettetabletext"/>
            </w:pPr>
            <w:r>
              <w:t>69410</w:t>
            </w:r>
          </w:p>
        </w:tc>
      </w:tr>
      <w:tr w:rsidR="00EC3002" w:rsidRPr="008B6E36" w14:paraId="5982AD3C" w14:textId="77777777" w:rsidTr="004136D1">
        <w:trPr>
          <w:cantSplit/>
        </w:trPr>
        <w:tc>
          <w:tcPr>
            <w:tcW w:w="1100" w:type="pct"/>
            <w:shd w:val="clear" w:color="auto" w:fill="D9D9D9"/>
          </w:tcPr>
          <w:p w14:paraId="63DC1C09" w14:textId="5387A0DA" w:rsidR="00EC3002" w:rsidRPr="007834FB" w:rsidRDefault="004136D1" w:rsidP="004136D1">
            <w:pPr>
              <w:pStyle w:val="S8Gazettetableheading"/>
            </w:pPr>
            <w:r>
              <w:t>Label approval no.</w:t>
            </w:r>
          </w:p>
        </w:tc>
        <w:tc>
          <w:tcPr>
            <w:tcW w:w="3900" w:type="pct"/>
            <w:shd w:val="clear" w:color="auto" w:fill="FFFFFF"/>
          </w:tcPr>
          <w:p w14:paraId="0E2C6DF3" w14:textId="5226051F" w:rsidR="00EC3002" w:rsidRPr="008B6E36" w:rsidRDefault="004136D1" w:rsidP="004136D1">
            <w:pPr>
              <w:pStyle w:val="S8Gazettetabletext"/>
            </w:pPr>
            <w:r>
              <w:t>69410/148051</w:t>
            </w:r>
          </w:p>
        </w:tc>
      </w:tr>
      <w:tr w:rsidR="00EC3002" w:rsidRPr="008B6E36" w14:paraId="3EB8CB9E" w14:textId="77777777" w:rsidTr="004136D1">
        <w:trPr>
          <w:cantSplit/>
        </w:trPr>
        <w:tc>
          <w:tcPr>
            <w:tcW w:w="1100" w:type="pct"/>
            <w:shd w:val="clear" w:color="auto" w:fill="D9D9D9"/>
          </w:tcPr>
          <w:p w14:paraId="053CCC37" w14:textId="595A3E61"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0872FF4C" w14:textId="0F32CBFC" w:rsidR="00EC3002" w:rsidRPr="008B6E36" w:rsidRDefault="004136D1" w:rsidP="004136D1">
            <w:pPr>
              <w:pStyle w:val="S8Gazettetabletext"/>
            </w:pPr>
            <w:r>
              <w:t>Variation to registration and label approval to add uses</w:t>
            </w:r>
          </w:p>
        </w:tc>
      </w:tr>
    </w:tbl>
    <w:p w14:paraId="52685167"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14C7F102" w14:textId="77777777" w:rsidTr="004136D1">
        <w:trPr>
          <w:cantSplit/>
          <w:tblHeader/>
        </w:trPr>
        <w:tc>
          <w:tcPr>
            <w:tcW w:w="1100" w:type="pct"/>
            <w:shd w:val="clear" w:color="auto" w:fill="D9D9D9"/>
          </w:tcPr>
          <w:p w14:paraId="0707B091" w14:textId="5C2F6879" w:rsidR="00EC3002" w:rsidRPr="007834FB" w:rsidRDefault="004136D1" w:rsidP="004136D1">
            <w:pPr>
              <w:pStyle w:val="S8Gazettetableheading"/>
            </w:pPr>
            <w:r>
              <w:lastRenderedPageBreak/>
              <w:t>Application no.</w:t>
            </w:r>
          </w:p>
        </w:tc>
        <w:tc>
          <w:tcPr>
            <w:tcW w:w="3900" w:type="pct"/>
            <w:shd w:val="clear" w:color="auto" w:fill="FFFFFF"/>
          </w:tcPr>
          <w:p w14:paraId="4D0D5D7A" w14:textId="0A4FDC86" w:rsidR="00EC3002" w:rsidRPr="008B6E36" w:rsidRDefault="004136D1" w:rsidP="004136D1">
            <w:pPr>
              <w:pStyle w:val="S8Gazettetabletext"/>
              <w:rPr>
                <w:noProof/>
              </w:rPr>
            </w:pPr>
            <w:r>
              <w:rPr>
                <w:noProof/>
              </w:rPr>
              <w:t>148011</w:t>
            </w:r>
          </w:p>
        </w:tc>
      </w:tr>
      <w:tr w:rsidR="00EC3002" w:rsidRPr="008B6E36" w14:paraId="2DD84B38" w14:textId="77777777" w:rsidTr="004136D1">
        <w:trPr>
          <w:cantSplit/>
          <w:tblHeader/>
        </w:trPr>
        <w:tc>
          <w:tcPr>
            <w:tcW w:w="1100" w:type="pct"/>
            <w:shd w:val="clear" w:color="auto" w:fill="D9D9D9"/>
          </w:tcPr>
          <w:p w14:paraId="55758B7A" w14:textId="04F0BE09" w:rsidR="00EC3002" w:rsidRPr="007834FB" w:rsidRDefault="004136D1" w:rsidP="004136D1">
            <w:pPr>
              <w:pStyle w:val="S8Gazettetableheading"/>
            </w:pPr>
            <w:r>
              <w:t>Product name</w:t>
            </w:r>
          </w:p>
        </w:tc>
        <w:tc>
          <w:tcPr>
            <w:tcW w:w="3900" w:type="pct"/>
            <w:shd w:val="clear" w:color="auto" w:fill="FFFFFF"/>
          </w:tcPr>
          <w:p w14:paraId="1974B88A" w14:textId="653730F8" w:rsidR="00EC3002" w:rsidRPr="008B6E36" w:rsidRDefault="004136D1" w:rsidP="004136D1">
            <w:pPr>
              <w:pStyle w:val="S8Gazettetabletext"/>
            </w:pPr>
            <w:proofErr w:type="spellStart"/>
            <w:r>
              <w:t>Enviroside</w:t>
            </w:r>
            <w:proofErr w:type="spellEnd"/>
            <w:r>
              <w:t xml:space="preserve"> International Moth Kill Hangers</w:t>
            </w:r>
          </w:p>
        </w:tc>
      </w:tr>
      <w:tr w:rsidR="00EC3002" w:rsidRPr="008B6E36" w14:paraId="7B09DB4B" w14:textId="77777777" w:rsidTr="004136D1">
        <w:trPr>
          <w:cantSplit/>
          <w:tblHeader/>
        </w:trPr>
        <w:tc>
          <w:tcPr>
            <w:tcW w:w="1100" w:type="pct"/>
            <w:shd w:val="clear" w:color="auto" w:fill="D9D9D9"/>
          </w:tcPr>
          <w:p w14:paraId="5DCA68F3" w14:textId="73134125" w:rsidR="00EC3002" w:rsidRPr="007834FB" w:rsidRDefault="004136D1" w:rsidP="004136D1">
            <w:pPr>
              <w:pStyle w:val="S8Gazettetableheading"/>
            </w:pPr>
            <w:r>
              <w:t>Active constituent</w:t>
            </w:r>
          </w:p>
        </w:tc>
        <w:tc>
          <w:tcPr>
            <w:tcW w:w="3900" w:type="pct"/>
            <w:shd w:val="clear" w:color="auto" w:fill="FFFFFF"/>
          </w:tcPr>
          <w:p w14:paraId="392928AA" w14:textId="3E96F69B" w:rsidR="00EC3002" w:rsidRPr="008B6E36" w:rsidRDefault="004136D1" w:rsidP="004136D1">
            <w:pPr>
              <w:pStyle w:val="S8Gazettetabletext"/>
            </w:pPr>
            <w:r>
              <w:t xml:space="preserve">4.5 g/kg </w:t>
            </w:r>
            <w:proofErr w:type="spellStart"/>
            <w:r>
              <w:t>transfluthrin</w:t>
            </w:r>
            <w:proofErr w:type="spellEnd"/>
          </w:p>
        </w:tc>
      </w:tr>
      <w:tr w:rsidR="00EC3002" w:rsidRPr="008B6E36" w14:paraId="0EDD8C86" w14:textId="77777777" w:rsidTr="004136D1">
        <w:trPr>
          <w:cantSplit/>
          <w:tblHeader/>
        </w:trPr>
        <w:tc>
          <w:tcPr>
            <w:tcW w:w="1100" w:type="pct"/>
            <w:shd w:val="clear" w:color="auto" w:fill="D9D9D9"/>
          </w:tcPr>
          <w:p w14:paraId="442ECEC5" w14:textId="754AC1F7" w:rsidR="00EC3002" w:rsidRPr="007834FB" w:rsidRDefault="004136D1" w:rsidP="004136D1">
            <w:pPr>
              <w:pStyle w:val="S8Gazettetableheading"/>
            </w:pPr>
            <w:r>
              <w:t>Applicant name</w:t>
            </w:r>
          </w:p>
        </w:tc>
        <w:tc>
          <w:tcPr>
            <w:tcW w:w="3900" w:type="pct"/>
            <w:shd w:val="clear" w:color="auto" w:fill="FFFFFF"/>
          </w:tcPr>
          <w:p w14:paraId="52BF4597" w14:textId="2CB2088A" w:rsidR="00EC3002" w:rsidRPr="008B6E36" w:rsidRDefault="004136D1" w:rsidP="004136D1">
            <w:pPr>
              <w:pStyle w:val="S8Gazettetabletext"/>
            </w:pPr>
            <w:proofErr w:type="spellStart"/>
            <w:r>
              <w:t>Yanco</w:t>
            </w:r>
            <w:proofErr w:type="spellEnd"/>
            <w:r>
              <w:t xml:space="preserve"> Limited</w:t>
            </w:r>
          </w:p>
        </w:tc>
      </w:tr>
      <w:tr w:rsidR="00EC3002" w:rsidRPr="008B6E36" w14:paraId="55A1784E" w14:textId="77777777" w:rsidTr="004136D1">
        <w:trPr>
          <w:cantSplit/>
          <w:tblHeader/>
        </w:trPr>
        <w:tc>
          <w:tcPr>
            <w:tcW w:w="1100" w:type="pct"/>
            <w:shd w:val="clear" w:color="auto" w:fill="D9D9D9"/>
          </w:tcPr>
          <w:p w14:paraId="64649BE9" w14:textId="6F1AA0A3" w:rsidR="00EC3002" w:rsidRPr="007834FB" w:rsidRDefault="004136D1" w:rsidP="004136D1">
            <w:pPr>
              <w:pStyle w:val="S8Gazettetableheading"/>
            </w:pPr>
            <w:r>
              <w:t>Applicant ACN</w:t>
            </w:r>
          </w:p>
        </w:tc>
        <w:tc>
          <w:tcPr>
            <w:tcW w:w="3900" w:type="pct"/>
            <w:shd w:val="clear" w:color="auto" w:fill="FFFFFF"/>
          </w:tcPr>
          <w:p w14:paraId="02BE326F" w14:textId="4753116B" w:rsidR="00EC3002" w:rsidRPr="008B6E36" w:rsidRDefault="004136D1" w:rsidP="004136D1">
            <w:pPr>
              <w:pStyle w:val="S8Gazettetabletext"/>
            </w:pPr>
            <w:r>
              <w:t>N/A</w:t>
            </w:r>
          </w:p>
        </w:tc>
      </w:tr>
      <w:tr w:rsidR="00EC3002" w:rsidRPr="008B6E36" w14:paraId="59C706A0" w14:textId="77777777" w:rsidTr="004136D1">
        <w:trPr>
          <w:cantSplit/>
          <w:tblHeader/>
        </w:trPr>
        <w:tc>
          <w:tcPr>
            <w:tcW w:w="1100" w:type="pct"/>
            <w:shd w:val="clear" w:color="auto" w:fill="D9D9D9"/>
          </w:tcPr>
          <w:p w14:paraId="2E913A15" w14:textId="3FD817B9" w:rsidR="00EC3002" w:rsidRPr="007834FB" w:rsidRDefault="004136D1" w:rsidP="004136D1">
            <w:pPr>
              <w:pStyle w:val="S8Gazettetableheading"/>
            </w:pPr>
            <w:r>
              <w:t>Date of variation</w:t>
            </w:r>
          </w:p>
        </w:tc>
        <w:tc>
          <w:tcPr>
            <w:tcW w:w="3900" w:type="pct"/>
            <w:shd w:val="clear" w:color="auto" w:fill="FFFFFF"/>
          </w:tcPr>
          <w:p w14:paraId="146DF7C5" w14:textId="4FB665E1" w:rsidR="00EC3002" w:rsidRPr="008B6E36" w:rsidRDefault="004136D1" w:rsidP="004136D1">
            <w:pPr>
              <w:pStyle w:val="S8Gazettetabletext"/>
            </w:pPr>
            <w:r>
              <w:t>29 July 2025</w:t>
            </w:r>
          </w:p>
        </w:tc>
      </w:tr>
      <w:tr w:rsidR="00EC3002" w:rsidRPr="008B6E36" w14:paraId="60B74A19" w14:textId="77777777" w:rsidTr="004136D1">
        <w:trPr>
          <w:cantSplit/>
          <w:tblHeader/>
        </w:trPr>
        <w:tc>
          <w:tcPr>
            <w:tcW w:w="1100" w:type="pct"/>
            <w:shd w:val="clear" w:color="auto" w:fill="D9D9D9"/>
          </w:tcPr>
          <w:p w14:paraId="4355FB98" w14:textId="7D4605D9" w:rsidR="00EC3002" w:rsidRPr="007834FB" w:rsidRDefault="004136D1" w:rsidP="004136D1">
            <w:pPr>
              <w:pStyle w:val="S8Gazettetableheading"/>
            </w:pPr>
            <w:r>
              <w:t>Product registration no.</w:t>
            </w:r>
          </w:p>
        </w:tc>
        <w:tc>
          <w:tcPr>
            <w:tcW w:w="3900" w:type="pct"/>
            <w:shd w:val="clear" w:color="auto" w:fill="FFFFFF"/>
          </w:tcPr>
          <w:p w14:paraId="54A1DD65" w14:textId="06BB151B" w:rsidR="00EC3002" w:rsidRPr="008B6E36" w:rsidRDefault="004136D1" w:rsidP="004136D1">
            <w:pPr>
              <w:pStyle w:val="S8Gazettetabletext"/>
            </w:pPr>
            <w:r>
              <w:t>88148</w:t>
            </w:r>
          </w:p>
        </w:tc>
      </w:tr>
      <w:tr w:rsidR="00EC3002" w:rsidRPr="008B6E36" w14:paraId="605AF3C6" w14:textId="77777777" w:rsidTr="004136D1">
        <w:trPr>
          <w:cantSplit/>
          <w:tblHeader/>
        </w:trPr>
        <w:tc>
          <w:tcPr>
            <w:tcW w:w="1100" w:type="pct"/>
            <w:shd w:val="clear" w:color="auto" w:fill="D9D9D9"/>
          </w:tcPr>
          <w:p w14:paraId="72A29C30" w14:textId="7CC6B1E2" w:rsidR="00EC3002" w:rsidRPr="007834FB" w:rsidRDefault="004136D1" w:rsidP="004136D1">
            <w:pPr>
              <w:pStyle w:val="S8Gazettetableheading"/>
            </w:pPr>
            <w:r>
              <w:t>Label approval no.</w:t>
            </w:r>
          </w:p>
        </w:tc>
        <w:tc>
          <w:tcPr>
            <w:tcW w:w="3900" w:type="pct"/>
            <w:shd w:val="clear" w:color="auto" w:fill="FFFFFF"/>
          </w:tcPr>
          <w:p w14:paraId="634EC7FC" w14:textId="2703699F" w:rsidR="00EC3002" w:rsidRPr="008B6E36" w:rsidRDefault="004136D1" w:rsidP="004136D1">
            <w:pPr>
              <w:pStyle w:val="S8Gazettetabletext"/>
            </w:pPr>
            <w:r>
              <w:t>88148/148011</w:t>
            </w:r>
          </w:p>
        </w:tc>
      </w:tr>
      <w:tr w:rsidR="00EC3002" w:rsidRPr="008B6E36" w14:paraId="6069BC5A" w14:textId="77777777" w:rsidTr="004136D1">
        <w:trPr>
          <w:cantSplit/>
          <w:tblHeader/>
        </w:trPr>
        <w:tc>
          <w:tcPr>
            <w:tcW w:w="1100" w:type="pct"/>
            <w:shd w:val="clear" w:color="auto" w:fill="D9D9D9"/>
          </w:tcPr>
          <w:p w14:paraId="1C46DBFB" w14:textId="6218A080"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571F8FC" w14:textId="4DCC3BF6" w:rsidR="00EC3002" w:rsidRPr="008B6E36" w:rsidRDefault="004136D1" w:rsidP="004136D1">
            <w:pPr>
              <w:pStyle w:val="S8Gazettetabletext"/>
            </w:pPr>
            <w:r>
              <w:t>Variation to registration particulars and particulars of label to change the packaging format and modify the directions for use</w:t>
            </w:r>
          </w:p>
        </w:tc>
      </w:tr>
    </w:tbl>
    <w:p w14:paraId="536BBC9C"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EC3002" w:rsidRPr="00173E71" w14:paraId="6CEA76D6" w14:textId="77777777" w:rsidTr="004136D1">
        <w:trPr>
          <w:cantSplit/>
        </w:trPr>
        <w:tc>
          <w:tcPr>
            <w:tcW w:w="1100" w:type="pct"/>
            <w:shd w:val="clear" w:color="auto" w:fill="D9D9D9"/>
          </w:tcPr>
          <w:p w14:paraId="672F866F" w14:textId="7A7C847D" w:rsidR="00EC3002" w:rsidRPr="00173E71" w:rsidRDefault="004136D1" w:rsidP="004136D1">
            <w:pPr>
              <w:pStyle w:val="S8Gazettetableheading"/>
            </w:pPr>
            <w:r>
              <w:t>Application no.</w:t>
            </w:r>
          </w:p>
        </w:tc>
        <w:tc>
          <w:tcPr>
            <w:tcW w:w="3900" w:type="pct"/>
            <w:shd w:val="clear" w:color="auto" w:fill="FFFFFF"/>
          </w:tcPr>
          <w:p w14:paraId="25454165" w14:textId="1E4AE95B" w:rsidR="00EC3002" w:rsidRPr="00173E71" w:rsidRDefault="004136D1" w:rsidP="004136D1">
            <w:pPr>
              <w:pStyle w:val="S8Gazettetabletext"/>
              <w:rPr>
                <w:noProof/>
              </w:rPr>
            </w:pPr>
            <w:r>
              <w:t xml:space="preserve">N/A </w:t>
            </w:r>
            <w:r>
              <w:t>–</w:t>
            </w:r>
            <w:r>
              <w:t xml:space="preserve"> variation under section 29A of the </w:t>
            </w:r>
            <w:proofErr w:type="spellStart"/>
            <w:r>
              <w:t>Agvet</w:t>
            </w:r>
            <w:proofErr w:type="spellEnd"/>
            <w:r>
              <w:t xml:space="preserve"> Code</w:t>
            </w:r>
          </w:p>
        </w:tc>
      </w:tr>
      <w:tr w:rsidR="00EC3002" w:rsidRPr="00173E71" w14:paraId="32CA4D53" w14:textId="77777777" w:rsidTr="004136D1">
        <w:trPr>
          <w:cantSplit/>
        </w:trPr>
        <w:tc>
          <w:tcPr>
            <w:tcW w:w="1100" w:type="pct"/>
            <w:shd w:val="clear" w:color="auto" w:fill="D9D9D9"/>
          </w:tcPr>
          <w:p w14:paraId="79DDE3F4" w14:textId="4A35897A" w:rsidR="00EC3002" w:rsidRPr="00173E71" w:rsidRDefault="004136D1" w:rsidP="004136D1">
            <w:pPr>
              <w:pStyle w:val="S8Gazettetableheading"/>
            </w:pPr>
            <w:r>
              <w:t>Product name</w:t>
            </w:r>
          </w:p>
        </w:tc>
        <w:tc>
          <w:tcPr>
            <w:tcW w:w="3900" w:type="pct"/>
            <w:shd w:val="clear" w:color="auto" w:fill="FFFFFF"/>
          </w:tcPr>
          <w:p w14:paraId="507EFD5A" w14:textId="14BBABA8" w:rsidR="00EC3002" w:rsidRPr="00173E71" w:rsidRDefault="004136D1" w:rsidP="004136D1">
            <w:pPr>
              <w:pStyle w:val="S8Gazettetabletext"/>
            </w:pPr>
            <w:r>
              <w:t>SCA Ammonium Sulphate Herbicide Adjuvant</w:t>
            </w:r>
          </w:p>
        </w:tc>
      </w:tr>
      <w:tr w:rsidR="00EC3002" w:rsidRPr="00173E71" w14:paraId="7E882695" w14:textId="77777777" w:rsidTr="004136D1">
        <w:trPr>
          <w:cantSplit/>
        </w:trPr>
        <w:tc>
          <w:tcPr>
            <w:tcW w:w="1100" w:type="pct"/>
            <w:shd w:val="clear" w:color="auto" w:fill="D9D9D9"/>
          </w:tcPr>
          <w:p w14:paraId="160524A6" w14:textId="02D76E98" w:rsidR="00EC3002" w:rsidRPr="00173E71" w:rsidRDefault="004136D1" w:rsidP="004136D1">
            <w:pPr>
              <w:pStyle w:val="S8Gazettetableheading"/>
            </w:pPr>
            <w:r>
              <w:t>Active constituent</w:t>
            </w:r>
          </w:p>
        </w:tc>
        <w:tc>
          <w:tcPr>
            <w:tcW w:w="3900" w:type="pct"/>
            <w:shd w:val="clear" w:color="auto" w:fill="FFFFFF"/>
          </w:tcPr>
          <w:p w14:paraId="5E5BB052" w14:textId="11F88B92" w:rsidR="00EC3002" w:rsidRPr="00173E71" w:rsidRDefault="004136D1" w:rsidP="004136D1">
            <w:pPr>
              <w:pStyle w:val="S8Gazettetabletext"/>
            </w:pPr>
            <w:r>
              <w:t>980 g/kg ammonium sulphate</w:t>
            </w:r>
          </w:p>
        </w:tc>
      </w:tr>
      <w:tr w:rsidR="00EC3002" w:rsidRPr="00173E71" w14:paraId="1A4C88EB" w14:textId="77777777" w:rsidTr="004136D1">
        <w:trPr>
          <w:cantSplit/>
        </w:trPr>
        <w:tc>
          <w:tcPr>
            <w:tcW w:w="1100" w:type="pct"/>
            <w:shd w:val="clear" w:color="auto" w:fill="D9D9D9"/>
          </w:tcPr>
          <w:p w14:paraId="483D1871" w14:textId="67A6298C" w:rsidR="00EC3002" w:rsidRPr="00173E71" w:rsidRDefault="004136D1" w:rsidP="004136D1">
            <w:pPr>
              <w:pStyle w:val="S8Gazettetableheading"/>
            </w:pPr>
            <w:r>
              <w:t>Applicant name</w:t>
            </w:r>
          </w:p>
        </w:tc>
        <w:tc>
          <w:tcPr>
            <w:tcW w:w="3900" w:type="pct"/>
            <w:shd w:val="clear" w:color="auto" w:fill="FFFFFF"/>
          </w:tcPr>
          <w:p w14:paraId="6ADF79B2" w14:textId="22F21F31" w:rsidR="00EC3002" w:rsidRPr="00173E71" w:rsidRDefault="004136D1" w:rsidP="004136D1">
            <w:pPr>
              <w:pStyle w:val="S8Gazettetabletext"/>
            </w:pPr>
            <w:r>
              <w:t>Specialised Chemicals (</w:t>
            </w:r>
            <w:proofErr w:type="spellStart"/>
            <w:r>
              <w:t>Aust</w:t>
            </w:r>
            <w:proofErr w:type="spellEnd"/>
            <w:r>
              <w:t>) Pty Ltd</w:t>
            </w:r>
          </w:p>
        </w:tc>
      </w:tr>
      <w:tr w:rsidR="00EC3002" w:rsidRPr="00173E71" w14:paraId="1C645533" w14:textId="77777777" w:rsidTr="004136D1">
        <w:trPr>
          <w:cantSplit/>
        </w:trPr>
        <w:tc>
          <w:tcPr>
            <w:tcW w:w="1100" w:type="pct"/>
            <w:shd w:val="clear" w:color="auto" w:fill="D9D9D9"/>
          </w:tcPr>
          <w:p w14:paraId="052D5E8A" w14:textId="3CD0CD89" w:rsidR="00EC3002" w:rsidRPr="00173E71" w:rsidRDefault="004136D1" w:rsidP="004136D1">
            <w:pPr>
              <w:pStyle w:val="S8Gazettetableheading"/>
            </w:pPr>
            <w:r>
              <w:t>Applicant ACN</w:t>
            </w:r>
          </w:p>
        </w:tc>
        <w:tc>
          <w:tcPr>
            <w:tcW w:w="3900" w:type="pct"/>
            <w:shd w:val="clear" w:color="auto" w:fill="FFFFFF"/>
          </w:tcPr>
          <w:p w14:paraId="38908C54" w14:textId="434537BE" w:rsidR="00EC3002" w:rsidRPr="00173E71" w:rsidRDefault="004136D1" w:rsidP="004136D1">
            <w:pPr>
              <w:pStyle w:val="S8Gazettetabletext"/>
            </w:pPr>
            <w:r>
              <w:t>657 238 849</w:t>
            </w:r>
          </w:p>
        </w:tc>
      </w:tr>
      <w:tr w:rsidR="00EC3002" w:rsidRPr="00173E71" w14:paraId="77F7C94D" w14:textId="77777777" w:rsidTr="004136D1">
        <w:trPr>
          <w:cantSplit/>
        </w:trPr>
        <w:tc>
          <w:tcPr>
            <w:tcW w:w="1100" w:type="pct"/>
            <w:shd w:val="clear" w:color="auto" w:fill="D9D9D9"/>
          </w:tcPr>
          <w:p w14:paraId="50254178" w14:textId="0FE5623C" w:rsidR="00EC3002" w:rsidRPr="00173E71" w:rsidRDefault="004136D1" w:rsidP="004136D1">
            <w:pPr>
              <w:pStyle w:val="S8Gazettetableheading"/>
              <w:rPr>
                <w:highlight w:val="yellow"/>
              </w:rPr>
            </w:pPr>
            <w:r>
              <w:t>Date of variation</w:t>
            </w:r>
          </w:p>
        </w:tc>
        <w:tc>
          <w:tcPr>
            <w:tcW w:w="3900" w:type="pct"/>
            <w:shd w:val="clear" w:color="auto" w:fill="FFFFFF"/>
          </w:tcPr>
          <w:p w14:paraId="404D7E6C" w14:textId="1F02B376" w:rsidR="00EC3002" w:rsidRPr="00173E71" w:rsidRDefault="004136D1" w:rsidP="004136D1">
            <w:pPr>
              <w:pStyle w:val="S8Gazettetabletext"/>
              <w:rPr>
                <w:highlight w:val="yellow"/>
              </w:rPr>
            </w:pPr>
            <w:r>
              <w:t xml:space="preserve">29 July 2025 </w:t>
            </w:r>
          </w:p>
        </w:tc>
      </w:tr>
      <w:tr w:rsidR="00EC3002" w:rsidRPr="00173E71" w14:paraId="5A82DF4D" w14:textId="77777777" w:rsidTr="004136D1">
        <w:trPr>
          <w:cantSplit/>
        </w:trPr>
        <w:tc>
          <w:tcPr>
            <w:tcW w:w="1100" w:type="pct"/>
            <w:shd w:val="clear" w:color="auto" w:fill="D9D9D9"/>
          </w:tcPr>
          <w:p w14:paraId="77F28787" w14:textId="60E5EDBC" w:rsidR="00EC3002" w:rsidRPr="00173E71" w:rsidRDefault="004136D1" w:rsidP="004136D1">
            <w:pPr>
              <w:pStyle w:val="S8Gazettetableheading"/>
            </w:pPr>
            <w:r>
              <w:t>Product registration no.</w:t>
            </w:r>
          </w:p>
        </w:tc>
        <w:tc>
          <w:tcPr>
            <w:tcW w:w="3900" w:type="pct"/>
            <w:shd w:val="clear" w:color="auto" w:fill="FFFFFF"/>
          </w:tcPr>
          <w:p w14:paraId="2E465049" w14:textId="3B84E389" w:rsidR="00EC3002" w:rsidRPr="00173E71" w:rsidRDefault="004136D1" w:rsidP="004136D1">
            <w:pPr>
              <w:pStyle w:val="S8Gazettetabletext"/>
            </w:pPr>
            <w:r>
              <w:t>95088</w:t>
            </w:r>
          </w:p>
        </w:tc>
      </w:tr>
      <w:tr w:rsidR="00EC3002" w:rsidRPr="00173E71" w14:paraId="78D40CC7" w14:textId="77777777" w:rsidTr="004136D1">
        <w:trPr>
          <w:cantSplit/>
        </w:trPr>
        <w:tc>
          <w:tcPr>
            <w:tcW w:w="1100" w:type="pct"/>
            <w:shd w:val="clear" w:color="auto" w:fill="D9D9D9"/>
          </w:tcPr>
          <w:p w14:paraId="69BD848E" w14:textId="1FFC1A4F" w:rsidR="00EC3002" w:rsidRPr="00173E71" w:rsidRDefault="004136D1" w:rsidP="004136D1">
            <w:pPr>
              <w:pStyle w:val="S8Gazettetableheading"/>
            </w:pPr>
            <w:r>
              <w:t>Label approval no.</w:t>
            </w:r>
          </w:p>
        </w:tc>
        <w:tc>
          <w:tcPr>
            <w:tcW w:w="3900" w:type="pct"/>
            <w:shd w:val="clear" w:color="auto" w:fill="FFFFFF"/>
          </w:tcPr>
          <w:p w14:paraId="269337E5" w14:textId="3D78EF88" w:rsidR="00EC3002" w:rsidRPr="00173E71" w:rsidRDefault="004136D1" w:rsidP="004136D1">
            <w:pPr>
              <w:pStyle w:val="S8Gazettetabletext"/>
            </w:pPr>
            <w:r>
              <w:t>95088/144635v</w:t>
            </w:r>
          </w:p>
        </w:tc>
      </w:tr>
      <w:tr w:rsidR="00EC3002" w:rsidRPr="00173E71" w14:paraId="512D855E" w14:textId="77777777" w:rsidTr="004136D1">
        <w:trPr>
          <w:cantSplit/>
        </w:trPr>
        <w:tc>
          <w:tcPr>
            <w:tcW w:w="1100" w:type="pct"/>
            <w:shd w:val="clear" w:color="auto" w:fill="D9D9D9"/>
          </w:tcPr>
          <w:p w14:paraId="79FB1E28" w14:textId="4285163B" w:rsidR="00EC3002" w:rsidRPr="00173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1C0EC14" w14:textId="104B5E7C" w:rsidR="00EC3002" w:rsidRPr="00173E71" w:rsidRDefault="004136D1" w:rsidP="004136D1">
            <w:pPr>
              <w:pStyle w:val="S8Gazettetabletext"/>
            </w:pPr>
            <w:r>
              <w:t xml:space="preserve">Variation of registration and label particulars to change the distinguishing product name and the name that appears on the label from </w:t>
            </w:r>
            <w:r>
              <w:t>‘</w:t>
            </w:r>
            <w:r>
              <w:t>SC Ammonium Sulphate</w:t>
            </w:r>
            <w:r>
              <w:t>’</w:t>
            </w:r>
            <w:r>
              <w:t xml:space="preserve"> to </w:t>
            </w:r>
            <w:r>
              <w:t>‘</w:t>
            </w:r>
            <w:r>
              <w:t>SCA Ammonium Sulphate</w:t>
            </w:r>
            <w:r>
              <w:t>’</w:t>
            </w:r>
          </w:p>
        </w:tc>
      </w:tr>
    </w:tbl>
    <w:p w14:paraId="5A6259A3"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06783B41" w14:textId="77777777" w:rsidTr="004136D1">
        <w:trPr>
          <w:cantSplit/>
        </w:trPr>
        <w:tc>
          <w:tcPr>
            <w:tcW w:w="1100" w:type="pct"/>
            <w:shd w:val="clear" w:color="auto" w:fill="D9D9D9"/>
          </w:tcPr>
          <w:p w14:paraId="0A15B10A" w14:textId="2BA41DA5" w:rsidR="00EC3002" w:rsidRPr="007834FB" w:rsidRDefault="004136D1" w:rsidP="004136D1">
            <w:pPr>
              <w:pStyle w:val="S8Gazettetableheading"/>
            </w:pPr>
            <w:r>
              <w:t>Application no.</w:t>
            </w:r>
          </w:p>
        </w:tc>
        <w:tc>
          <w:tcPr>
            <w:tcW w:w="3900" w:type="pct"/>
            <w:shd w:val="clear" w:color="auto" w:fill="FFFFFF"/>
          </w:tcPr>
          <w:p w14:paraId="7D35728B" w14:textId="1C42F231" w:rsidR="00EC3002" w:rsidRPr="008B6E36" w:rsidRDefault="004136D1" w:rsidP="004136D1">
            <w:pPr>
              <w:pStyle w:val="S8Gazettetabletext"/>
              <w:rPr>
                <w:noProof/>
              </w:rPr>
            </w:pPr>
            <w:r>
              <w:rPr>
                <w:noProof/>
              </w:rPr>
              <w:t>145584</w:t>
            </w:r>
          </w:p>
        </w:tc>
      </w:tr>
      <w:tr w:rsidR="00EC3002" w:rsidRPr="008B6E36" w14:paraId="4F9B4DA9" w14:textId="77777777" w:rsidTr="004136D1">
        <w:trPr>
          <w:cantSplit/>
        </w:trPr>
        <w:tc>
          <w:tcPr>
            <w:tcW w:w="1100" w:type="pct"/>
            <w:shd w:val="clear" w:color="auto" w:fill="D9D9D9"/>
          </w:tcPr>
          <w:p w14:paraId="4D85F0B9" w14:textId="196611FF" w:rsidR="00EC3002" w:rsidRPr="007834FB" w:rsidRDefault="004136D1" w:rsidP="004136D1">
            <w:pPr>
              <w:pStyle w:val="S8Gazettetableheading"/>
            </w:pPr>
            <w:r>
              <w:t>Product name</w:t>
            </w:r>
          </w:p>
        </w:tc>
        <w:tc>
          <w:tcPr>
            <w:tcW w:w="3900" w:type="pct"/>
            <w:shd w:val="clear" w:color="auto" w:fill="FFFFFF"/>
          </w:tcPr>
          <w:p w14:paraId="2670C752" w14:textId="09FBD72C" w:rsidR="00EC3002" w:rsidRPr="008B6E36" w:rsidRDefault="004136D1" w:rsidP="004136D1">
            <w:pPr>
              <w:pStyle w:val="S8Gazettetabletext"/>
            </w:pPr>
            <w:proofErr w:type="spellStart"/>
            <w:r>
              <w:t>Imtrade</w:t>
            </w:r>
            <w:proofErr w:type="spellEnd"/>
            <w:r>
              <w:t xml:space="preserve"> Motto RMR Miticide</w:t>
            </w:r>
          </w:p>
        </w:tc>
      </w:tr>
      <w:tr w:rsidR="00EC3002" w:rsidRPr="008B6E36" w14:paraId="622D5387" w14:textId="77777777" w:rsidTr="004136D1">
        <w:trPr>
          <w:cantSplit/>
        </w:trPr>
        <w:tc>
          <w:tcPr>
            <w:tcW w:w="1100" w:type="pct"/>
            <w:shd w:val="clear" w:color="auto" w:fill="D9D9D9"/>
          </w:tcPr>
          <w:p w14:paraId="13FF2111" w14:textId="7A499F17" w:rsidR="00EC3002" w:rsidRPr="007834FB" w:rsidRDefault="004136D1" w:rsidP="004136D1">
            <w:pPr>
              <w:pStyle w:val="S8Gazettetableheading"/>
            </w:pPr>
            <w:r>
              <w:t>Active constituents</w:t>
            </w:r>
          </w:p>
        </w:tc>
        <w:tc>
          <w:tcPr>
            <w:tcW w:w="3900" w:type="pct"/>
            <w:shd w:val="clear" w:color="auto" w:fill="FFFFFF"/>
          </w:tcPr>
          <w:p w14:paraId="3DA44665" w14:textId="5EB75206" w:rsidR="00EC3002" w:rsidRPr="008B6E36" w:rsidRDefault="004136D1" w:rsidP="004136D1">
            <w:pPr>
              <w:pStyle w:val="S8Gazettetabletext"/>
            </w:pPr>
            <w:r>
              <w:t xml:space="preserve">110 g/L </w:t>
            </w:r>
            <w:proofErr w:type="spellStart"/>
            <w:r>
              <w:t>etoxazole</w:t>
            </w:r>
            <w:proofErr w:type="spellEnd"/>
            <w:r>
              <w:t>, 110 g/L piperonyl butoxide</w:t>
            </w:r>
          </w:p>
        </w:tc>
      </w:tr>
      <w:tr w:rsidR="00EC3002" w:rsidRPr="008B6E36" w14:paraId="75DE6227" w14:textId="77777777" w:rsidTr="004136D1">
        <w:trPr>
          <w:cantSplit/>
        </w:trPr>
        <w:tc>
          <w:tcPr>
            <w:tcW w:w="1100" w:type="pct"/>
            <w:shd w:val="clear" w:color="auto" w:fill="D9D9D9"/>
          </w:tcPr>
          <w:p w14:paraId="7FEA3CC7" w14:textId="60474DFB" w:rsidR="00EC3002" w:rsidRPr="007834FB" w:rsidRDefault="004136D1" w:rsidP="004136D1">
            <w:pPr>
              <w:pStyle w:val="S8Gazettetableheading"/>
            </w:pPr>
            <w:r>
              <w:t>Applicant name</w:t>
            </w:r>
          </w:p>
        </w:tc>
        <w:tc>
          <w:tcPr>
            <w:tcW w:w="3900" w:type="pct"/>
            <w:shd w:val="clear" w:color="auto" w:fill="FFFFFF"/>
          </w:tcPr>
          <w:p w14:paraId="582A9D38" w14:textId="2DAFB080" w:rsidR="00EC3002" w:rsidRPr="008B6E36" w:rsidRDefault="004136D1" w:rsidP="004136D1">
            <w:pPr>
              <w:pStyle w:val="S8Gazettetabletext"/>
            </w:pPr>
            <w:proofErr w:type="spellStart"/>
            <w:r>
              <w:t>Imtrade</w:t>
            </w:r>
            <w:proofErr w:type="spellEnd"/>
            <w:r>
              <w:t xml:space="preserve"> Australia Pty Ltd</w:t>
            </w:r>
          </w:p>
        </w:tc>
      </w:tr>
      <w:tr w:rsidR="00EC3002" w:rsidRPr="008B6E36" w14:paraId="4E34E054" w14:textId="77777777" w:rsidTr="004136D1">
        <w:trPr>
          <w:cantSplit/>
        </w:trPr>
        <w:tc>
          <w:tcPr>
            <w:tcW w:w="1100" w:type="pct"/>
            <w:shd w:val="clear" w:color="auto" w:fill="D9D9D9"/>
          </w:tcPr>
          <w:p w14:paraId="6F687930" w14:textId="1ADF3281" w:rsidR="00EC3002" w:rsidRPr="007834FB" w:rsidRDefault="004136D1" w:rsidP="004136D1">
            <w:pPr>
              <w:pStyle w:val="S8Gazettetableheading"/>
            </w:pPr>
            <w:r>
              <w:t>Applicant ACN</w:t>
            </w:r>
          </w:p>
        </w:tc>
        <w:tc>
          <w:tcPr>
            <w:tcW w:w="3900" w:type="pct"/>
            <w:shd w:val="clear" w:color="auto" w:fill="FFFFFF"/>
          </w:tcPr>
          <w:p w14:paraId="15FE0C91" w14:textId="680EEE84" w:rsidR="00EC3002" w:rsidRPr="008B6E36" w:rsidRDefault="004136D1" w:rsidP="004136D1">
            <w:pPr>
              <w:pStyle w:val="S8Gazettetabletext"/>
            </w:pPr>
            <w:r>
              <w:t>090 151 134</w:t>
            </w:r>
          </w:p>
        </w:tc>
      </w:tr>
      <w:tr w:rsidR="00EC3002" w:rsidRPr="008B6E36" w14:paraId="5D856261" w14:textId="77777777" w:rsidTr="004136D1">
        <w:trPr>
          <w:cantSplit/>
        </w:trPr>
        <w:tc>
          <w:tcPr>
            <w:tcW w:w="1100" w:type="pct"/>
            <w:shd w:val="clear" w:color="auto" w:fill="D9D9D9"/>
          </w:tcPr>
          <w:p w14:paraId="5D8EE58F" w14:textId="19D912BB" w:rsidR="00EC3002" w:rsidRPr="007834FB" w:rsidRDefault="004136D1" w:rsidP="004136D1">
            <w:pPr>
              <w:pStyle w:val="S8Gazettetableheading"/>
            </w:pPr>
            <w:r>
              <w:t>Date of variation</w:t>
            </w:r>
          </w:p>
        </w:tc>
        <w:tc>
          <w:tcPr>
            <w:tcW w:w="3900" w:type="pct"/>
            <w:shd w:val="clear" w:color="auto" w:fill="FFFFFF"/>
          </w:tcPr>
          <w:p w14:paraId="4E098021" w14:textId="0198137E" w:rsidR="00EC3002" w:rsidRPr="008B6E36" w:rsidRDefault="004136D1" w:rsidP="004136D1">
            <w:pPr>
              <w:pStyle w:val="S8Gazettetabletext"/>
            </w:pPr>
            <w:r>
              <w:t>30 July 2025</w:t>
            </w:r>
          </w:p>
        </w:tc>
      </w:tr>
      <w:tr w:rsidR="00EC3002" w:rsidRPr="008B6E36" w14:paraId="1D7BA3C7" w14:textId="77777777" w:rsidTr="004136D1">
        <w:trPr>
          <w:cantSplit/>
        </w:trPr>
        <w:tc>
          <w:tcPr>
            <w:tcW w:w="1100" w:type="pct"/>
            <w:shd w:val="clear" w:color="auto" w:fill="D9D9D9"/>
          </w:tcPr>
          <w:p w14:paraId="611C0EC2" w14:textId="56C58FD2" w:rsidR="00EC3002" w:rsidRPr="007834FB" w:rsidRDefault="004136D1" w:rsidP="004136D1">
            <w:pPr>
              <w:pStyle w:val="S8Gazettetableheading"/>
            </w:pPr>
            <w:r>
              <w:t>Product registration no.</w:t>
            </w:r>
          </w:p>
        </w:tc>
        <w:tc>
          <w:tcPr>
            <w:tcW w:w="3900" w:type="pct"/>
            <w:shd w:val="clear" w:color="auto" w:fill="FFFFFF"/>
          </w:tcPr>
          <w:p w14:paraId="0C6F1B6C" w14:textId="3EA84AE3" w:rsidR="00EC3002" w:rsidRPr="008B6E36" w:rsidRDefault="004136D1" w:rsidP="004136D1">
            <w:pPr>
              <w:pStyle w:val="S8Gazettetabletext"/>
            </w:pPr>
            <w:r>
              <w:t>92373</w:t>
            </w:r>
          </w:p>
        </w:tc>
      </w:tr>
      <w:tr w:rsidR="00EC3002" w:rsidRPr="008B6E36" w14:paraId="27FD9E71" w14:textId="77777777" w:rsidTr="004136D1">
        <w:trPr>
          <w:cantSplit/>
        </w:trPr>
        <w:tc>
          <w:tcPr>
            <w:tcW w:w="1100" w:type="pct"/>
            <w:shd w:val="clear" w:color="auto" w:fill="D9D9D9"/>
          </w:tcPr>
          <w:p w14:paraId="2B46BCD8" w14:textId="18866E9D" w:rsidR="00EC3002" w:rsidRPr="007834FB" w:rsidRDefault="004136D1" w:rsidP="004136D1">
            <w:pPr>
              <w:pStyle w:val="S8Gazettetableheading"/>
            </w:pPr>
            <w:r>
              <w:t>Label approval no.</w:t>
            </w:r>
          </w:p>
        </w:tc>
        <w:tc>
          <w:tcPr>
            <w:tcW w:w="3900" w:type="pct"/>
            <w:shd w:val="clear" w:color="auto" w:fill="FFFFFF"/>
          </w:tcPr>
          <w:p w14:paraId="53C7831C" w14:textId="69EFEB89" w:rsidR="00EC3002" w:rsidRPr="008B6E36" w:rsidRDefault="004136D1" w:rsidP="004136D1">
            <w:pPr>
              <w:pStyle w:val="S8Gazettetabletext"/>
            </w:pPr>
            <w:r>
              <w:t>92373/145584</w:t>
            </w:r>
          </w:p>
        </w:tc>
      </w:tr>
      <w:tr w:rsidR="00EC3002" w:rsidRPr="008B6E36" w14:paraId="7BC5A649" w14:textId="77777777" w:rsidTr="004136D1">
        <w:trPr>
          <w:cantSplit/>
        </w:trPr>
        <w:tc>
          <w:tcPr>
            <w:tcW w:w="1100" w:type="pct"/>
            <w:shd w:val="clear" w:color="auto" w:fill="D9D9D9"/>
          </w:tcPr>
          <w:p w14:paraId="47B423A7" w14:textId="128538ED"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4C885E6" w14:textId="5270F8AD" w:rsidR="00EC3002" w:rsidRPr="008B6E36" w:rsidRDefault="004136D1" w:rsidP="004136D1">
            <w:pPr>
              <w:pStyle w:val="S8Gazettetabletext"/>
            </w:pPr>
            <w:r>
              <w:t>Variation to particulars of label and label approval to extend uses in pome fruit, stone fruit (except cherries), citrus and capsicum</w:t>
            </w:r>
          </w:p>
        </w:tc>
      </w:tr>
    </w:tbl>
    <w:p w14:paraId="688947A3"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5D5D1946" w14:textId="77777777" w:rsidTr="004136D1">
        <w:trPr>
          <w:cantSplit/>
          <w:tblHeader/>
        </w:trPr>
        <w:tc>
          <w:tcPr>
            <w:tcW w:w="1100" w:type="pct"/>
            <w:shd w:val="clear" w:color="auto" w:fill="D9D9D9"/>
          </w:tcPr>
          <w:p w14:paraId="758E21A3" w14:textId="62B3DFE2" w:rsidR="00EC3002" w:rsidRPr="007834FB" w:rsidRDefault="004136D1" w:rsidP="004136D1">
            <w:pPr>
              <w:pStyle w:val="S8Gazettetableheading"/>
            </w:pPr>
            <w:r>
              <w:lastRenderedPageBreak/>
              <w:t>Application no.</w:t>
            </w:r>
          </w:p>
        </w:tc>
        <w:tc>
          <w:tcPr>
            <w:tcW w:w="3900" w:type="pct"/>
            <w:shd w:val="clear" w:color="auto" w:fill="FFFFFF"/>
          </w:tcPr>
          <w:p w14:paraId="68AD59DB" w14:textId="1B270810" w:rsidR="00EC3002" w:rsidRPr="008B6E36" w:rsidRDefault="004136D1" w:rsidP="004136D1">
            <w:pPr>
              <w:pStyle w:val="S8Gazettetabletext"/>
              <w:rPr>
                <w:noProof/>
              </w:rPr>
            </w:pPr>
            <w:r>
              <w:rPr>
                <w:noProof/>
              </w:rPr>
              <w:t>147848</w:t>
            </w:r>
          </w:p>
        </w:tc>
      </w:tr>
      <w:tr w:rsidR="00EC3002" w:rsidRPr="008B6E36" w14:paraId="3457F0E9" w14:textId="77777777" w:rsidTr="004136D1">
        <w:trPr>
          <w:cantSplit/>
          <w:tblHeader/>
        </w:trPr>
        <w:tc>
          <w:tcPr>
            <w:tcW w:w="1100" w:type="pct"/>
            <w:shd w:val="clear" w:color="auto" w:fill="D9D9D9"/>
          </w:tcPr>
          <w:p w14:paraId="579F6FCA" w14:textId="4AC2A3EE" w:rsidR="00EC3002" w:rsidRPr="007834FB" w:rsidRDefault="004136D1" w:rsidP="004136D1">
            <w:pPr>
              <w:pStyle w:val="S8Gazettetableheading"/>
            </w:pPr>
            <w:r>
              <w:t>Product name</w:t>
            </w:r>
          </w:p>
        </w:tc>
        <w:tc>
          <w:tcPr>
            <w:tcW w:w="3900" w:type="pct"/>
            <w:shd w:val="clear" w:color="auto" w:fill="FFFFFF"/>
          </w:tcPr>
          <w:p w14:paraId="1A907EAA" w14:textId="31CF86C4" w:rsidR="00EC3002" w:rsidRPr="008B6E36" w:rsidRDefault="004136D1" w:rsidP="004136D1">
            <w:pPr>
              <w:pStyle w:val="S8Gazettetabletext"/>
            </w:pPr>
            <w:proofErr w:type="spellStart"/>
            <w:r>
              <w:t>Seasol</w:t>
            </w:r>
            <w:proofErr w:type="spellEnd"/>
            <w:r>
              <w:t xml:space="preserve"> </w:t>
            </w:r>
            <w:proofErr w:type="spellStart"/>
            <w:r>
              <w:t>Earthcare</w:t>
            </w:r>
            <w:proofErr w:type="spellEnd"/>
            <w:r>
              <w:t xml:space="preserve"> Ready to Use Glyphosate Free Organic* Weedkiller</w:t>
            </w:r>
          </w:p>
        </w:tc>
      </w:tr>
      <w:tr w:rsidR="00EC3002" w:rsidRPr="008B6E36" w14:paraId="7622257C" w14:textId="77777777" w:rsidTr="004136D1">
        <w:trPr>
          <w:cantSplit/>
          <w:tblHeader/>
        </w:trPr>
        <w:tc>
          <w:tcPr>
            <w:tcW w:w="1100" w:type="pct"/>
            <w:shd w:val="clear" w:color="auto" w:fill="D9D9D9"/>
          </w:tcPr>
          <w:p w14:paraId="2CC1FA7B" w14:textId="08607231" w:rsidR="00EC3002" w:rsidRPr="007834FB" w:rsidRDefault="004136D1" w:rsidP="004136D1">
            <w:pPr>
              <w:pStyle w:val="S8Gazettetableheading"/>
            </w:pPr>
            <w:r>
              <w:t>Active constituent</w:t>
            </w:r>
          </w:p>
        </w:tc>
        <w:tc>
          <w:tcPr>
            <w:tcW w:w="3900" w:type="pct"/>
            <w:shd w:val="clear" w:color="auto" w:fill="FFFFFF"/>
          </w:tcPr>
          <w:p w14:paraId="28B30060" w14:textId="4032C9FC" w:rsidR="00EC3002" w:rsidRPr="008B6E36" w:rsidRDefault="004136D1" w:rsidP="004136D1">
            <w:pPr>
              <w:pStyle w:val="S8Gazettetabletext"/>
            </w:pPr>
            <w:r>
              <w:t>36.8 g/L nonanoic acid</w:t>
            </w:r>
          </w:p>
        </w:tc>
      </w:tr>
      <w:tr w:rsidR="00EC3002" w:rsidRPr="008B6E36" w14:paraId="04B34452" w14:textId="77777777" w:rsidTr="004136D1">
        <w:trPr>
          <w:cantSplit/>
          <w:tblHeader/>
        </w:trPr>
        <w:tc>
          <w:tcPr>
            <w:tcW w:w="1100" w:type="pct"/>
            <w:shd w:val="clear" w:color="auto" w:fill="D9D9D9"/>
          </w:tcPr>
          <w:p w14:paraId="1704F23F" w14:textId="5D3F7F91" w:rsidR="00EC3002" w:rsidRPr="007834FB" w:rsidRDefault="004136D1" w:rsidP="004136D1">
            <w:pPr>
              <w:pStyle w:val="S8Gazettetableheading"/>
            </w:pPr>
            <w:r>
              <w:t>Applicant name</w:t>
            </w:r>
          </w:p>
        </w:tc>
        <w:tc>
          <w:tcPr>
            <w:tcW w:w="3900" w:type="pct"/>
            <w:shd w:val="clear" w:color="auto" w:fill="FFFFFF"/>
          </w:tcPr>
          <w:p w14:paraId="33CE1974" w14:textId="72D88284" w:rsidR="00EC3002" w:rsidRPr="008B6E36" w:rsidRDefault="004136D1" w:rsidP="004136D1">
            <w:pPr>
              <w:pStyle w:val="S8Gazettetabletext"/>
            </w:pPr>
            <w:proofErr w:type="spellStart"/>
            <w:r>
              <w:t>Duluxgroup</w:t>
            </w:r>
            <w:proofErr w:type="spellEnd"/>
            <w:r>
              <w:t xml:space="preserve"> (Australia) Pty Ltd</w:t>
            </w:r>
          </w:p>
        </w:tc>
      </w:tr>
      <w:tr w:rsidR="00EC3002" w:rsidRPr="008B6E36" w14:paraId="5A71F63C" w14:textId="77777777" w:rsidTr="004136D1">
        <w:trPr>
          <w:cantSplit/>
          <w:tblHeader/>
        </w:trPr>
        <w:tc>
          <w:tcPr>
            <w:tcW w:w="1100" w:type="pct"/>
            <w:shd w:val="clear" w:color="auto" w:fill="D9D9D9"/>
          </w:tcPr>
          <w:p w14:paraId="6C50B4B6" w14:textId="5558CDA4" w:rsidR="00EC3002" w:rsidRPr="007834FB" w:rsidRDefault="004136D1" w:rsidP="004136D1">
            <w:pPr>
              <w:pStyle w:val="S8Gazettetableheading"/>
            </w:pPr>
            <w:r>
              <w:t>Applicant ACN</w:t>
            </w:r>
          </w:p>
        </w:tc>
        <w:tc>
          <w:tcPr>
            <w:tcW w:w="3900" w:type="pct"/>
            <w:shd w:val="clear" w:color="auto" w:fill="FFFFFF"/>
          </w:tcPr>
          <w:p w14:paraId="6F31896C" w14:textId="0AC1AAE0" w:rsidR="00EC3002" w:rsidRPr="008B6E36" w:rsidRDefault="004136D1" w:rsidP="004136D1">
            <w:pPr>
              <w:pStyle w:val="S8Gazettetabletext"/>
            </w:pPr>
            <w:r>
              <w:t>000 049 427</w:t>
            </w:r>
          </w:p>
        </w:tc>
      </w:tr>
      <w:tr w:rsidR="00EC3002" w:rsidRPr="008B6E36" w14:paraId="171C708C" w14:textId="77777777" w:rsidTr="004136D1">
        <w:trPr>
          <w:cantSplit/>
          <w:tblHeader/>
        </w:trPr>
        <w:tc>
          <w:tcPr>
            <w:tcW w:w="1100" w:type="pct"/>
            <w:shd w:val="clear" w:color="auto" w:fill="D9D9D9"/>
          </w:tcPr>
          <w:p w14:paraId="61003B54" w14:textId="1B31B00B" w:rsidR="00EC3002" w:rsidRPr="007834FB" w:rsidRDefault="004136D1" w:rsidP="004136D1">
            <w:pPr>
              <w:pStyle w:val="S8Gazettetableheading"/>
            </w:pPr>
            <w:r>
              <w:t>Date of variation</w:t>
            </w:r>
          </w:p>
        </w:tc>
        <w:tc>
          <w:tcPr>
            <w:tcW w:w="3900" w:type="pct"/>
            <w:shd w:val="clear" w:color="auto" w:fill="FFFFFF"/>
          </w:tcPr>
          <w:p w14:paraId="60F0F60E" w14:textId="6B2225BF" w:rsidR="00EC3002" w:rsidRPr="008B6E36" w:rsidRDefault="004136D1" w:rsidP="004136D1">
            <w:pPr>
              <w:pStyle w:val="S8Gazettetabletext"/>
            </w:pPr>
            <w:r>
              <w:t>30 July 2025</w:t>
            </w:r>
          </w:p>
        </w:tc>
      </w:tr>
      <w:tr w:rsidR="00EC3002" w:rsidRPr="008B6E36" w14:paraId="28172DCC" w14:textId="77777777" w:rsidTr="004136D1">
        <w:trPr>
          <w:cantSplit/>
          <w:tblHeader/>
        </w:trPr>
        <w:tc>
          <w:tcPr>
            <w:tcW w:w="1100" w:type="pct"/>
            <w:shd w:val="clear" w:color="auto" w:fill="D9D9D9"/>
          </w:tcPr>
          <w:p w14:paraId="39166F32" w14:textId="10FCF0A5" w:rsidR="00EC3002" w:rsidRPr="007834FB" w:rsidRDefault="004136D1" w:rsidP="004136D1">
            <w:pPr>
              <w:pStyle w:val="S8Gazettetableheading"/>
            </w:pPr>
            <w:r>
              <w:t>Product registration no.</w:t>
            </w:r>
          </w:p>
        </w:tc>
        <w:tc>
          <w:tcPr>
            <w:tcW w:w="3900" w:type="pct"/>
            <w:shd w:val="clear" w:color="auto" w:fill="FFFFFF"/>
          </w:tcPr>
          <w:p w14:paraId="2CB49DD1" w14:textId="2C0A6842" w:rsidR="00EC3002" w:rsidRPr="008B6E36" w:rsidRDefault="004136D1" w:rsidP="004136D1">
            <w:pPr>
              <w:pStyle w:val="S8Gazettetabletext"/>
            </w:pPr>
            <w:r>
              <w:t>90632</w:t>
            </w:r>
          </w:p>
        </w:tc>
      </w:tr>
      <w:tr w:rsidR="00EC3002" w:rsidRPr="008B6E36" w14:paraId="3AAD4092" w14:textId="77777777" w:rsidTr="004136D1">
        <w:trPr>
          <w:cantSplit/>
          <w:tblHeader/>
        </w:trPr>
        <w:tc>
          <w:tcPr>
            <w:tcW w:w="1100" w:type="pct"/>
            <w:shd w:val="clear" w:color="auto" w:fill="D9D9D9"/>
          </w:tcPr>
          <w:p w14:paraId="1C44C0E8" w14:textId="298B017A" w:rsidR="00EC3002" w:rsidRPr="007834FB" w:rsidRDefault="004136D1" w:rsidP="004136D1">
            <w:pPr>
              <w:pStyle w:val="S8Gazettetableheading"/>
            </w:pPr>
            <w:r>
              <w:t>Label approval no.</w:t>
            </w:r>
          </w:p>
        </w:tc>
        <w:tc>
          <w:tcPr>
            <w:tcW w:w="3900" w:type="pct"/>
            <w:shd w:val="clear" w:color="auto" w:fill="FFFFFF"/>
          </w:tcPr>
          <w:p w14:paraId="14A936F0" w14:textId="0D136A53" w:rsidR="00EC3002" w:rsidRPr="008B6E36" w:rsidRDefault="004136D1" w:rsidP="004136D1">
            <w:pPr>
              <w:pStyle w:val="S8Gazettetabletext"/>
            </w:pPr>
            <w:r>
              <w:t>90632/147848</w:t>
            </w:r>
          </w:p>
        </w:tc>
      </w:tr>
      <w:tr w:rsidR="00EC3002" w:rsidRPr="008B6E36" w14:paraId="5440A105" w14:textId="77777777" w:rsidTr="004136D1">
        <w:trPr>
          <w:cantSplit/>
          <w:tblHeader/>
        </w:trPr>
        <w:tc>
          <w:tcPr>
            <w:tcW w:w="1100" w:type="pct"/>
            <w:shd w:val="clear" w:color="auto" w:fill="D9D9D9"/>
          </w:tcPr>
          <w:p w14:paraId="23930166" w14:textId="60C4A2F5"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9A97028" w14:textId="71D97675" w:rsidR="00EC3002" w:rsidRPr="008B6E36" w:rsidRDefault="004136D1" w:rsidP="004136D1">
            <w:pPr>
              <w:pStyle w:val="S8Gazettetabletext"/>
            </w:pPr>
            <w:r>
              <w:t>Variation to registration and label particulars to change the product name and vary the pack size range to 750 mL</w:t>
            </w:r>
            <w:r>
              <w:t>–</w:t>
            </w:r>
            <w:r>
              <w:t>5 L</w:t>
            </w:r>
          </w:p>
        </w:tc>
      </w:tr>
    </w:tbl>
    <w:p w14:paraId="4E6E2BA3"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07F6A5BC" w14:textId="77777777" w:rsidTr="004136D1">
        <w:trPr>
          <w:cantSplit/>
        </w:trPr>
        <w:tc>
          <w:tcPr>
            <w:tcW w:w="1100" w:type="pct"/>
            <w:shd w:val="clear" w:color="auto" w:fill="D9D9D9"/>
          </w:tcPr>
          <w:p w14:paraId="738CD87D" w14:textId="0CB97AA2" w:rsidR="00EC3002" w:rsidRPr="007834FB" w:rsidRDefault="004136D1" w:rsidP="004136D1">
            <w:pPr>
              <w:pStyle w:val="S8Gazettetableheading"/>
            </w:pPr>
            <w:r>
              <w:t>Application no.</w:t>
            </w:r>
          </w:p>
        </w:tc>
        <w:tc>
          <w:tcPr>
            <w:tcW w:w="3900" w:type="pct"/>
            <w:shd w:val="clear" w:color="auto" w:fill="FFFFFF"/>
          </w:tcPr>
          <w:p w14:paraId="7D5A302A" w14:textId="68AFF4AB" w:rsidR="00EC3002" w:rsidRPr="008B6E36" w:rsidRDefault="004136D1" w:rsidP="004136D1">
            <w:pPr>
              <w:pStyle w:val="S8Gazettetabletext"/>
              <w:rPr>
                <w:noProof/>
              </w:rPr>
            </w:pPr>
            <w:r>
              <w:rPr>
                <w:noProof/>
              </w:rPr>
              <w:t>144408</w:t>
            </w:r>
          </w:p>
        </w:tc>
      </w:tr>
      <w:tr w:rsidR="00EC3002" w:rsidRPr="008B6E36" w14:paraId="7C88A3FD" w14:textId="77777777" w:rsidTr="004136D1">
        <w:trPr>
          <w:cantSplit/>
        </w:trPr>
        <w:tc>
          <w:tcPr>
            <w:tcW w:w="1100" w:type="pct"/>
            <w:shd w:val="clear" w:color="auto" w:fill="D9D9D9"/>
          </w:tcPr>
          <w:p w14:paraId="1C40D51F" w14:textId="53FBF192" w:rsidR="00EC3002" w:rsidRPr="007834FB" w:rsidRDefault="004136D1" w:rsidP="004136D1">
            <w:pPr>
              <w:pStyle w:val="S8Gazettetableheading"/>
            </w:pPr>
            <w:r>
              <w:t>Product name</w:t>
            </w:r>
          </w:p>
        </w:tc>
        <w:tc>
          <w:tcPr>
            <w:tcW w:w="3900" w:type="pct"/>
            <w:shd w:val="clear" w:color="auto" w:fill="FFFFFF"/>
          </w:tcPr>
          <w:p w14:paraId="7E3CC619" w14:textId="62B1AB8B" w:rsidR="00EC3002" w:rsidRPr="008B6E36" w:rsidRDefault="004136D1" w:rsidP="004136D1">
            <w:pPr>
              <w:pStyle w:val="S8Gazettetabletext"/>
            </w:pPr>
            <w:r>
              <w:t>Boxer Gold Herbicide</w:t>
            </w:r>
          </w:p>
        </w:tc>
      </w:tr>
      <w:tr w:rsidR="00EC3002" w:rsidRPr="008B6E36" w14:paraId="20B716A5" w14:textId="77777777" w:rsidTr="004136D1">
        <w:trPr>
          <w:cantSplit/>
        </w:trPr>
        <w:tc>
          <w:tcPr>
            <w:tcW w:w="1100" w:type="pct"/>
            <w:shd w:val="clear" w:color="auto" w:fill="D9D9D9"/>
          </w:tcPr>
          <w:p w14:paraId="21082B4E" w14:textId="34276B12" w:rsidR="00EC3002" w:rsidRPr="007834FB" w:rsidRDefault="004136D1" w:rsidP="004136D1">
            <w:pPr>
              <w:pStyle w:val="S8Gazettetableheading"/>
            </w:pPr>
            <w:r>
              <w:t>Active constituents</w:t>
            </w:r>
          </w:p>
        </w:tc>
        <w:tc>
          <w:tcPr>
            <w:tcW w:w="3900" w:type="pct"/>
            <w:shd w:val="clear" w:color="auto" w:fill="FFFFFF"/>
          </w:tcPr>
          <w:p w14:paraId="517215B1" w14:textId="1E5352BE" w:rsidR="00EC3002" w:rsidRPr="008B6E36" w:rsidRDefault="004136D1" w:rsidP="004136D1">
            <w:pPr>
              <w:pStyle w:val="S8Gazettetabletext"/>
            </w:pPr>
            <w:r>
              <w:t xml:space="preserve">800 g/L </w:t>
            </w:r>
            <w:proofErr w:type="spellStart"/>
            <w:r>
              <w:t>prosulfocarb</w:t>
            </w:r>
            <w:proofErr w:type="spellEnd"/>
            <w:r>
              <w:t>, 120 g/L S-metolachlor</w:t>
            </w:r>
          </w:p>
        </w:tc>
      </w:tr>
      <w:tr w:rsidR="00EC3002" w:rsidRPr="008B6E36" w14:paraId="45DE4B7F" w14:textId="77777777" w:rsidTr="004136D1">
        <w:trPr>
          <w:cantSplit/>
        </w:trPr>
        <w:tc>
          <w:tcPr>
            <w:tcW w:w="1100" w:type="pct"/>
            <w:shd w:val="clear" w:color="auto" w:fill="D9D9D9"/>
          </w:tcPr>
          <w:p w14:paraId="2AEC8EA3" w14:textId="1A18F591" w:rsidR="00EC3002" w:rsidRPr="007834FB" w:rsidRDefault="004136D1" w:rsidP="004136D1">
            <w:pPr>
              <w:pStyle w:val="S8Gazettetableheading"/>
            </w:pPr>
            <w:r>
              <w:t>Applicant name</w:t>
            </w:r>
          </w:p>
        </w:tc>
        <w:tc>
          <w:tcPr>
            <w:tcW w:w="3900" w:type="pct"/>
            <w:shd w:val="clear" w:color="auto" w:fill="FFFFFF"/>
          </w:tcPr>
          <w:p w14:paraId="5028BCC2" w14:textId="49DD6BC5" w:rsidR="00EC3002" w:rsidRPr="008B6E36" w:rsidRDefault="004136D1" w:rsidP="004136D1">
            <w:pPr>
              <w:pStyle w:val="S8Gazettetabletext"/>
            </w:pPr>
            <w:r>
              <w:t>Syngenta Australia Pty Ltd</w:t>
            </w:r>
          </w:p>
        </w:tc>
      </w:tr>
      <w:tr w:rsidR="00EC3002" w:rsidRPr="008B6E36" w14:paraId="5296D12A" w14:textId="77777777" w:rsidTr="004136D1">
        <w:trPr>
          <w:cantSplit/>
        </w:trPr>
        <w:tc>
          <w:tcPr>
            <w:tcW w:w="1100" w:type="pct"/>
            <w:shd w:val="clear" w:color="auto" w:fill="D9D9D9"/>
          </w:tcPr>
          <w:p w14:paraId="7C032BFD" w14:textId="0E593A21" w:rsidR="00EC3002" w:rsidRPr="007834FB" w:rsidRDefault="004136D1" w:rsidP="004136D1">
            <w:pPr>
              <w:pStyle w:val="S8Gazettetableheading"/>
            </w:pPr>
            <w:r>
              <w:t>Applicant ACN</w:t>
            </w:r>
          </w:p>
        </w:tc>
        <w:tc>
          <w:tcPr>
            <w:tcW w:w="3900" w:type="pct"/>
            <w:shd w:val="clear" w:color="auto" w:fill="FFFFFF"/>
          </w:tcPr>
          <w:p w14:paraId="20BB757C" w14:textId="7BDCFFC2" w:rsidR="00EC3002" w:rsidRPr="008B6E36" w:rsidRDefault="004136D1" w:rsidP="004136D1">
            <w:pPr>
              <w:pStyle w:val="S8Gazettetabletext"/>
            </w:pPr>
            <w:r>
              <w:t>002 933 717</w:t>
            </w:r>
          </w:p>
        </w:tc>
      </w:tr>
      <w:tr w:rsidR="00EC3002" w:rsidRPr="008B6E36" w14:paraId="7269CFF9" w14:textId="77777777" w:rsidTr="004136D1">
        <w:trPr>
          <w:cantSplit/>
        </w:trPr>
        <w:tc>
          <w:tcPr>
            <w:tcW w:w="1100" w:type="pct"/>
            <w:shd w:val="clear" w:color="auto" w:fill="D9D9D9"/>
          </w:tcPr>
          <w:p w14:paraId="7EE31E28" w14:textId="5FC07E87" w:rsidR="00EC3002" w:rsidRPr="007834FB" w:rsidRDefault="004136D1" w:rsidP="004136D1">
            <w:pPr>
              <w:pStyle w:val="S8Gazettetableheading"/>
            </w:pPr>
            <w:r>
              <w:t>Date of variation</w:t>
            </w:r>
          </w:p>
        </w:tc>
        <w:tc>
          <w:tcPr>
            <w:tcW w:w="3900" w:type="pct"/>
            <w:shd w:val="clear" w:color="auto" w:fill="FFFFFF"/>
          </w:tcPr>
          <w:p w14:paraId="6A08E5EE" w14:textId="2FA99B5D" w:rsidR="00EC3002" w:rsidRPr="008B6E36" w:rsidRDefault="004136D1" w:rsidP="004136D1">
            <w:pPr>
              <w:pStyle w:val="S8Gazettetabletext"/>
            </w:pPr>
            <w:r>
              <w:t>5 August 2025</w:t>
            </w:r>
          </w:p>
        </w:tc>
      </w:tr>
      <w:tr w:rsidR="00EC3002" w:rsidRPr="008B6E36" w14:paraId="487E3608" w14:textId="77777777" w:rsidTr="004136D1">
        <w:trPr>
          <w:cantSplit/>
        </w:trPr>
        <w:tc>
          <w:tcPr>
            <w:tcW w:w="1100" w:type="pct"/>
            <w:shd w:val="clear" w:color="auto" w:fill="D9D9D9"/>
          </w:tcPr>
          <w:p w14:paraId="605C6E9A" w14:textId="36CDFE1B" w:rsidR="00EC3002" w:rsidRPr="007834FB" w:rsidRDefault="004136D1" w:rsidP="004136D1">
            <w:pPr>
              <w:pStyle w:val="S8Gazettetableheading"/>
            </w:pPr>
            <w:r>
              <w:t>Product registration no.</w:t>
            </w:r>
          </w:p>
        </w:tc>
        <w:tc>
          <w:tcPr>
            <w:tcW w:w="3900" w:type="pct"/>
            <w:shd w:val="clear" w:color="auto" w:fill="FFFFFF"/>
          </w:tcPr>
          <w:p w14:paraId="550C008E" w14:textId="120A7FA6" w:rsidR="00EC3002" w:rsidRPr="008B6E36" w:rsidRDefault="004136D1" w:rsidP="004136D1">
            <w:pPr>
              <w:pStyle w:val="S8Gazettetabletext"/>
            </w:pPr>
            <w:r>
              <w:t>61234</w:t>
            </w:r>
          </w:p>
        </w:tc>
      </w:tr>
      <w:tr w:rsidR="00EC3002" w:rsidRPr="008B6E36" w14:paraId="7E92327C" w14:textId="77777777" w:rsidTr="004136D1">
        <w:trPr>
          <w:cantSplit/>
        </w:trPr>
        <w:tc>
          <w:tcPr>
            <w:tcW w:w="1100" w:type="pct"/>
            <w:shd w:val="clear" w:color="auto" w:fill="D9D9D9"/>
          </w:tcPr>
          <w:p w14:paraId="2CEBA0B5" w14:textId="3A0DC104" w:rsidR="00EC3002" w:rsidRPr="007834FB" w:rsidRDefault="004136D1" w:rsidP="004136D1">
            <w:pPr>
              <w:pStyle w:val="S8Gazettetableheading"/>
            </w:pPr>
            <w:r>
              <w:t>Label approval no.</w:t>
            </w:r>
          </w:p>
        </w:tc>
        <w:tc>
          <w:tcPr>
            <w:tcW w:w="3900" w:type="pct"/>
            <w:shd w:val="clear" w:color="auto" w:fill="FFFFFF"/>
          </w:tcPr>
          <w:p w14:paraId="66810463" w14:textId="257F4B26" w:rsidR="00EC3002" w:rsidRPr="008B6E36" w:rsidRDefault="004136D1" w:rsidP="004136D1">
            <w:pPr>
              <w:pStyle w:val="S8Gazettetabletext"/>
            </w:pPr>
            <w:r>
              <w:t>61234/144408</w:t>
            </w:r>
          </w:p>
        </w:tc>
      </w:tr>
      <w:tr w:rsidR="00EC3002" w:rsidRPr="008B6E36" w14:paraId="2C3E061C" w14:textId="77777777" w:rsidTr="004136D1">
        <w:trPr>
          <w:cantSplit/>
        </w:trPr>
        <w:tc>
          <w:tcPr>
            <w:tcW w:w="1100" w:type="pct"/>
            <w:shd w:val="clear" w:color="auto" w:fill="D9D9D9"/>
          </w:tcPr>
          <w:p w14:paraId="49A7CE29" w14:textId="10427FB9"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459CD256" w14:textId="15FF3C70" w:rsidR="00EC3002" w:rsidRPr="008B6E36" w:rsidRDefault="004136D1" w:rsidP="004136D1">
            <w:pPr>
              <w:pStyle w:val="S8Gazettetabletext"/>
            </w:pPr>
            <w:r>
              <w:t>Variation to the particulars of registration and label approval to extend the use in oats and triticale to include a split application (IBS followed by PSPE), early post emergent (EPE) application and control of toad rush</w:t>
            </w:r>
          </w:p>
        </w:tc>
      </w:tr>
    </w:tbl>
    <w:p w14:paraId="627D23FB"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42C69A1F" w14:textId="77777777" w:rsidTr="004136D1">
        <w:trPr>
          <w:cantSplit/>
        </w:trPr>
        <w:tc>
          <w:tcPr>
            <w:tcW w:w="1100" w:type="pct"/>
            <w:shd w:val="clear" w:color="auto" w:fill="D9D9D9"/>
          </w:tcPr>
          <w:p w14:paraId="75DA3CC8" w14:textId="50AC24DB" w:rsidR="00EC3002" w:rsidRPr="007834FB" w:rsidRDefault="004136D1" w:rsidP="004136D1">
            <w:pPr>
              <w:pStyle w:val="S8Gazettetableheading"/>
            </w:pPr>
            <w:r>
              <w:t>Application no.</w:t>
            </w:r>
          </w:p>
        </w:tc>
        <w:tc>
          <w:tcPr>
            <w:tcW w:w="3900" w:type="pct"/>
            <w:shd w:val="clear" w:color="auto" w:fill="FFFFFF"/>
          </w:tcPr>
          <w:p w14:paraId="505AB460" w14:textId="0DD6E674" w:rsidR="00EC3002" w:rsidRPr="008B6E36" w:rsidRDefault="004136D1" w:rsidP="004136D1">
            <w:pPr>
              <w:pStyle w:val="S8Gazettetabletext"/>
              <w:rPr>
                <w:noProof/>
              </w:rPr>
            </w:pPr>
            <w:r>
              <w:rPr>
                <w:noProof/>
              </w:rPr>
              <w:t>148158</w:t>
            </w:r>
          </w:p>
        </w:tc>
      </w:tr>
      <w:tr w:rsidR="00EC3002" w:rsidRPr="008B6E36" w14:paraId="3A36C555" w14:textId="77777777" w:rsidTr="004136D1">
        <w:trPr>
          <w:cantSplit/>
        </w:trPr>
        <w:tc>
          <w:tcPr>
            <w:tcW w:w="1100" w:type="pct"/>
            <w:shd w:val="clear" w:color="auto" w:fill="D9D9D9"/>
          </w:tcPr>
          <w:p w14:paraId="58136988" w14:textId="09BECCD6" w:rsidR="00EC3002" w:rsidRPr="007834FB" w:rsidRDefault="004136D1" w:rsidP="004136D1">
            <w:pPr>
              <w:pStyle w:val="S8Gazettetableheading"/>
            </w:pPr>
            <w:r>
              <w:t>Product name</w:t>
            </w:r>
          </w:p>
        </w:tc>
        <w:tc>
          <w:tcPr>
            <w:tcW w:w="3900" w:type="pct"/>
            <w:shd w:val="clear" w:color="auto" w:fill="FFFFFF"/>
          </w:tcPr>
          <w:p w14:paraId="7BC4712D" w14:textId="5665BA00" w:rsidR="00EC3002" w:rsidRPr="008B6E36" w:rsidRDefault="004136D1" w:rsidP="004136D1">
            <w:pPr>
              <w:pStyle w:val="S8Gazettetabletext"/>
            </w:pPr>
            <w:r>
              <w:t>Jasper 520 EC Herbicide</w:t>
            </w:r>
          </w:p>
        </w:tc>
      </w:tr>
      <w:tr w:rsidR="00EC3002" w:rsidRPr="008B6E36" w14:paraId="17BE5C87" w14:textId="77777777" w:rsidTr="004136D1">
        <w:trPr>
          <w:cantSplit/>
        </w:trPr>
        <w:tc>
          <w:tcPr>
            <w:tcW w:w="1100" w:type="pct"/>
            <w:shd w:val="clear" w:color="auto" w:fill="D9D9D9"/>
          </w:tcPr>
          <w:p w14:paraId="623D1CA0" w14:textId="0C0876BF" w:rsidR="00EC3002" w:rsidRPr="007834FB" w:rsidRDefault="004136D1" w:rsidP="004136D1">
            <w:pPr>
              <w:pStyle w:val="S8Gazettetableheading"/>
            </w:pPr>
            <w:r>
              <w:t>Active constituent</w:t>
            </w:r>
          </w:p>
        </w:tc>
        <w:tc>
          <w:tcPr>
            <w:tcW w:w="3900" w:type="pct"/>
            <w:shd w:val="clear" w:color="auto" w:fill="FFFFFF"/>
          </w:tcPr>
          <w:p w14:paraId="5D8022A8" w14:textId="5A8378E6" w:rsidR="00EC3002" w:rsidRPr="008B6E36" w:rsidRDefault="004136D1" w:rsidP="004136D1">
            <w:pPr>
              <w:pStyle w:val="S8Gazettetabletext"/>
            </w:pPr>
            <w:r>
              <w:t xml:space="preserve">520 g/L </w:t>
            </w:r>
            <w:proofErr w:type="spellStart"/>
            <w:r>
              <w:t>haloxyfop</w:t>
            </w:r>
            <w:proofErr w:type="spellEnd"/>
            <w:r>
              <w:t xml:space="preserve"> present as the </w:t>
            </w:r>
            <w:proofErr w:type="spellStart"/>
            <w:r>
              <w:t>haloxyfop</w:t>
            </w:r>
            <w:proofErr w:type="spellEnd"/>
            <w:r>
              <w:t>-r methyl ester</w:t>
            </w:r>
          </w:p>
        </w:tc>
      </w:tr>
      <w:tr w:rsidR="00EC3002" w:rsidRPr="008B6E36" w14:paraId="15162C46" w14:textId="77777777" w:rsidTr="004136D1">
        <w:trPr>
          <w:cantSplit/>
        </w:trPr>
        <w:tc>
          <w:tcPr>
            <w:tcW w:w="1100" w:type="pct"/>
            <w:shd w:val="clear" w:color="auto" w:fill="D9D9D9"/>
          </w:tcPr>
          <w:p w14:paraId="7CF0642E" w14:textId="2D487527" w:rsidR="00EC3002" w:rsidRPr="007834FB" w:rsidRDefault="004136D1" w:rsidP="004136D1">
            <w:pPr>
              <w:pStyle w:val="S8Gazettetableheading"/>
            </w:pPr>
            <w:r>
              <w:t>Applicant name</w:t>
            </w:r>
          </w:p>
        </w:tc>
        <w:tc>
          <w:tcPr>
            <w:tcW w:w="3900" w:type="pct"/>
            <w:shd w:val="clear" w:color="auto" w:fill="FFFFFF"/>
          </w:tcPr>
          <w:p w14:paraId="2D40414F" w14:textId="0E0476DA" w:rsidR="00EC3002" w:rsidRPr="008B6E36" w:rsidRDefault="004136D1" w:rsidP="004136D1">
            <w:pPr>
              <w:pStyle w:val="S8Gazettetabletext"/>
            </w:pPr>
            <w:r>
              <w:t>UPL Australia Pty Ltd</w:t>
            </w:r>
          </w:p>
        </w:tc>
      </w:tr>
      <w:tr w:rsidR="00EC3002" w:rsidRPr="008B6E36" w14:paraId="54937544" w14:textId="77777777" w:rsidTr="004136D1">
        <w:trPr>
          <w:cantSplit/>
        </w:trPr>
        <w:tc>
          <w:tcPr>
            <w:tcW w:w="1100" w:type="pct"/>
            <w:shd w:val="clear" w:color="auto" w:fill="D9D9D9"/>
          </w:tcPr>
          <w:p w14:paraId="0EAD323B" w14:textId="0EFD6F99" w:rsidR="00EC3002" w:rsidRPr="007834FB" w:rsidRDefault="004136D1" w:rsidP="004136D1">
            <w:pPr>
              <w:pStyle w:val="S8Gazettetableheading"/>
            </w:pPr>
            <w:r>
              <w:t>Applicant ACN</w:t>
            </w:r>
          </w:p>
        </w:tc>
        <w:tc>
          <w:tcPr>
            <w:tcW w:w="3900" w:type="pct"/>
            <w:shd w:val="clear" w:color="auto" w:fill="FFFFFF"/>
          </w:tcPr>
          <w:p w14:paraId="256CA8C6" w14:textId="714E9B32" w:rsidR="00EC3002" w:rsidRPr="008B6E36" w:rsidRDefault="004136D1" w:rsidP="004136D1">
            <w:pPr>
              <w:pStyle w:val="S8Gazettetabletext"/>
            </w:pPr>
            <w:r>
              <w:t>066 391 384</w:t>
            </w:r>
          </w:p>
        </w:tc>
      </w:tr>
      <w:tr w:rsidR="00EC3002" w:rsidRPr="008B6E36" w14:paraId="22B57625" w14:textId="77777777" w:rsidTr="004136D1">
        <w:trPr>
          <w:cantSplit/>
        </w:trPr>
        <w:tc>
          <w:tcPr>
            <w:tcW w:w="1100" w:type="pct"/>
            <w:shd w:val="clear" w:color="auto" w:fill="D9D9D9"/>
          </w:tcPr>
          <w:p w14:paraId="38069A87" w14:textId="209DFE84" w:rsidR="00EC3002" w:rsidRPr="007834FB" w:rsidRDefault="004136D1" w:rsidP="004136D1">
            <w:pPr>
              <w:pStyle w:val="S8Gazettetableheading"/>
            </w:pPr>
            <w:r>
              <w:t>Date of variation</w:t>
            </w:r>
          </w:p>
        </w:tc>
        <w:tc>
          <w:tcPr>
            <w:tcW w:w="3900" w:type="pct"/>
            <w:shd w:val="clear" w:color="auto" w:fill="FFFFFF"/>
          </w:tcPr>
          <w:p w14:paraId="70630B4D" w14:textId="0C8A55F2" w:rsidR="00EC3002" w:rsidRPr="008B6E36" w:rsidRDefault="004136D1" w:rsidP="004136D1">
            <w:pPr>
              <w:pStyle w:val="S8Gazettetabletext"/>
            </w:pPr>
            <w:r>
              <w:t>5 August 2025</w:t>
            </w:r>
          </w:p>
        </w:tc>
      </w:tr>
      <w:tr w:rsidR="00EC3002" w:rsidRPr="008B6E36" w14:paraId="2B89E7DE" w14:textId="77777777" w:rsidTr="004136D1">
        <w:trPr>
          <w:cantSplit/>
        </w:trPr>
        <w:tc>
          <w:tcPr>
            <w:tcW w:w="1100" w:type="pct"/>
            <w:shd w:val="clear" w:color="auto" w:fill="D9D9D9"/>
          </w:tcPr>
          <w:p w14:paraId="268235F2" w14:textId="23C81331" w:rsidR="00EC3002" w:rsidRPr="007834FB" w:rsidRDefault="004136D1" w:rsidP="004136D1">
            <w:pPr>
              <w:pStyle w:val="S8Gazettetableheading"/>
            </w:pPr>
            <w:r>
              <w:t>Product registration no.</w:t>
            </w:r>
          </w:p>
        </w:tc>
        <w:tc>
          <w:tcPr>
            <w:tcW w:w="3900" w:type="pct"/>
            <w:shd w:val="clear" w:color="auto" w:fill="FFFFFF"/>
          </w:tcPr>
          <w:p w14:paraId="6C5C49D9" w14:textId="6B8EA0DE" w:rsidR="00EC3002" w:rsidRPr="008B6E36" w:rsidRDefault="004136D1" w:rsidP="004136D1">
            <w:pPr>
              <w:pStyle w:val="S8Gazettetabletext"/>
            </w:pPr>
            <w:r>
              <w:t>69584</w:t>
            </w:r>
          </w:p>
        </w:tc>
      </w:tr>
      <w:tr w:rsidR="00EC3002" w:rsidRPr="008B6E36" w14:paraId="47790334" w14:textId="77777777" w:rsidTr="004136D1">
        <w:trPr>
          <w:cantSplit/>
        </w:trPr>
        <w:tc>
          <w:tcPr>
            <w:tcW w:w="1100" w:type="pct"/>
            <w:shd w:val="clear" w:color="auto" w:fill="D9D9D9"/>
          </w:tcPr>
          <w:p w14:paraId="649107FD" w14:textId="782A1133" w:rsidR="00EC3002" w:rsidRPr="007834FB" w:rsidRDefault="004136D1" w:rsidP="004136D1">
            <w:pPr>
              <w:pStyle w:val="S8Gazettetableheading"/>
            </w:pPr>
            <w:r>
              <w:t>Label approval no.</w:t>
            </w:r>
          </w:p>
        </w:tc>
        <w:tc>
          <w:tcPr>
            <w:tcW w:w="3900" w:type="pct"/>
            <w:shd w:val="clear" w:color="auto" w:fill="FFFFFF"/>
          </w:tcPr>
          <w:p w14:paraId="2AEC54AC" w14:textId="150B4D59" w:rsidR="00EC3002" w:rsidRPr="008B6E36" w:rsidRDefault="004136D1" w:rsidP="004136D1">
            <w:pPr>
              <w:pStyle w:val="S8Gazettetabletext"/>
            </w:pPr>
            <w:r>
              <w:t>69584/148158</w:t>
            </w:r>
          </w:p>
        </w:tc>
      </w:tr>
      <w:tr w:rsidR="00EC3002" w:rsidRPr="008B6E36" w14:paraId="02924F9A" w14:textId="77777777" w:rsidTr="004136D1">
        <w:trPr>
          <w:cantSplit/>
        </w:trPr>
        <w:tc>
          <w:tcPr>
            <w:tcW w:w="1100" w:type="pct"/>
            <w:shd w:val="clear" w:color="auto" w:fill="D9D9D9"/>
          </w:tcPr>
          <w:p w14:paraId="087CCEFD" w14:textId="20AFC7E3"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71D855F" w14:textId="52DFED9E" w:rsidR="00EC3002" w:rsidRPr="008B6E36" w:rsidRDefault="004136D1" w:rsidP="004136D1">
            <w:pPr>
              <w:pStyle w:val="S8Gazettetabletext"/>
            </w:pPr>
            <w:r>
              <w:t>Variation of registration particulars and label approval to update the solvent in the constituent statement and the first aid instructions</w:t>
            </w:r>
          </w:p>
        </w:tc>
      </w:tr>
    </w:tbl>
    <w:p w14:paraId="4204825D" w14:textId="77777777" w:rsidR="00EC3002" w:rsidRPr="00D326B6"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77F7AD7F" w14:textId="77777777" w:rsidTr="004136D1">
        <w:trPr>
          <w:cantSplit/>
          <w:tblHeader/>
        </w:trPr>
        <w:tc>
          <w:tcPr>
            <w:tcW w:w="1100" w:type="pct"/>
            <w:shd w:val="clear" w:color="auto" w:fill="D9D9D9"/>
          </w:tcPr>
          <w:p w14:paraId="420A0533" w14:textId="1DDDEB6A" w:rsidR="00EC3002" w:rsidRPr="007834FB" w:rsidRDefault="004136D1" w:rsidP="004136D1">
            <w:pPr>
              <w:pStyle w:val="S8Gazettetableheading"/>
            </w:pPr>
            <w:r>
              <w:lastRenderedPageBreak/>
              <w:t>Application no.</w:t>
            </w:r>
          </w:p>
        </w:tc>
        <w:tc>
          <w:tcPr>
            <w:tcW w:w="3900" w:type="pct"/>
            <w:shd w:val="clear" w:color="auto" w:fill="FFFFFF"/>
          </w:tcPr>
          <w:p w14:paraId="15765716" w14:textId="55CA870A" w:rsidR="00EC3002" w:rsidRPr="008B6E36" w:rsidRDefault="004136D1" w:rsidP="004136D1">
            <w:pPr>
              <w:pStyle w:val="S8Gazettetabletext"/>
              <w:rPr>
                <w:noProof/>
              </w:rPr>
            </w:pPr>
            <w:r>
              <w:rPr>
                <w:noProof/>
              </w:rPr>
              <w:t>148179</w:t>
            </w:r>
          </w:p>
        </w:tc>
      </w:tr>
      <w:tr w:rsidR="00EC3002" w:rsidRPr="008B6E36" w14:paraId="55509385" w14:textId="77777777" w:rsidTr="004136D1">
        <w:trPr>
          <w:cantSplit/>
          <w:tblHeader/>
        </w:trPr>
        <w:tc>
          <w:tcPr>
            <w:tcW w:w="1100" w:type="pct"/>
            <w:shd w:val="clear" w:color="auto" w:fill="D9D9D9"/>
          </w:tcPr>
          <w:p w14:paraId="73C7DE6A" w14:textId="2D007332" w:rsidR="00EC3002" w:rsidRPr="007834FB" w:rsidRDefault="004136D1" w:rsidP="004136D1">
            <w:pPr>
              <w:pStyle w:val="S8Gazettetableheading"/>
            </w:pPr>
            <w:r>
              <w:t>Product name</w:t>
            </w:r>
          </w:p>
        </w:tc>
        <w:tc>
          <w:tcPr>
            <w:tcW w:w="3900" w:type="pct"/>
            <w:shd w:val="clear" w:color="auto" w:fill="FFFFFF"/>
          </w:tcPr>
          <w:p w14:paraId="55AC7D52" w14:textId="6DD939FF" w:rsidR="00EC3002" w:rsidRPr="008B6E36" w:rsidRDefault="004136D1" w:rsidP="004136D1">
            <w:pPr>
              <w:pStyle w:val="S8Gazettetabletext"/>
            </w:pPr>
            <w:r>
              <w:t>Method 240 SL Herbicide</w:t>
            </w:r>
          </w:p>
        </w:tc>
      </w:tr>
      <w:tr w:rsidR="00EC3002" w:rsidRPr="008B6E36" w14:paraId="12BD9567" w14:textId="77777777" w:rsidTr="004136D1">
        <w:trPr>
          <w:cantSplit/>
          <w:tblHeader/>
        </w:trPr>
        <w:tc>
          <w:tcPr>
            <w:tcW w:w="1100" w:type="pct"/>
            <w:shd w:val="clear" w:color="auto" w:fill="D9D9D9"/>
          </w:tcPr>
          <w:p w14:paraId="0F384244" w14:textId="3D2C2051" w:rsidR="00EC3002" w:rsidRPr="007834FB" w:rsidRDefault="004136D1" w:rsidP="004136D1">
            <w:pPr>
              <w:pStyle w:val="S8Gazettetableheading"/>
            </w:pPr>
            <w:r>
              <w:t>Active constituent</w:t>
            </w:r>
          </w:p>
        </w:tc>
        <w:tc>
          <w:tcPr>
            <w:tcW w:w="3900" w:type="pct"/>
            <w:shd w:val="clear" w:color="auto" w:fill="FFFFFF"/>
          </w:tcPr>
          <w:p w14:paraId="7C52E239" w14:textId="2473E613" w:rsidR="00EC3002" w:rsidRPr="008B6E36" w:rsidRDefault="004136D1" w:rsidP="004136D1">
            <w:pPr>
              <w:pStyle w:val="S8Gazettetabletext"/>
            </w:pPr>
            <w:r>
              <w:t xml:space="preserve">240 g/L </w:t>
            </w:r>
            <w:proofErr w:type="spellStart"/>
            <w:r>
              <w:t>aminocyclopyrachlor</w:t>
            </w:r>
            <w:proofErr w:type="spellEnd"/>
            <w:r>
              <w:t xml:space="preserve"> present as the potassium salt</w:t>
            </w:r>
          </w:p>
        </w:tc>
      </w:tr>
      <w:tr w:rsidR="00EC3002" w:rsidRPr="008B6E36" w14:paraId="0A0DA22F" w14:textId="77777777" w:rsidTr="004136D1">
        <w:trPr>
          <w:cantSplit/>
          <w:tblHeader/>
        </w:trPr>
        <w:tc>
          <w:tcPr>
            <w:tcW w:w="1100" w:type="pct"/>
            <w:shd w:val="clear" w:color="auto" w:fill="D9D9D9"/>
          </w:tcPr>
          <w:p w14:paraId="0E194B17" w14:textId="0BB2463F" w:rsidR="00EC3002" w:rsidRPr="007834FB" w:rsidRDefault="004136D1" w:rsidP="004136D1">
            <w:pPr>
              <w:pStyle w:val="S8Gazettetableheading"/>
            </w:pPr>
            <w:r>
              <w:t>Applicant name</w:t>
            </w:r>
          </w:p>
        </w:tc>
        <w:tc>
          <w:tcPr>
            <w:tcW w:w="3900" w:type="pct"/>
            <w:shd w:val="clear" w:color="auto" w:fill="FFFFFF"/>
          </w:tcPr>
          <w:p w14:paraId="7B626D72" w14:textId="4164341F" w:rsidR="00EC3002" w:rsidRPr="008B6E36" w:rsidRDefault="004136D1" w:rsidP="004136D1">
            <w:pPr>
              <w:pStyle w:val="S8Gazettetabletext"/>
            </w:pPr>
            <w:r>
              <w:t>2022 Environmental Science AU Pty Ltd</w:t>
            </w:r>
          </w:p>
        </w:tc>
      </w:tr>
      <w:tr w:rsidR="00EC3002" w:rsidRPr="008B6E36" w14:paraId="57E17CEB" w14:textId="77777777" w:rsidTr="004136D1">
        <w:trPr>
          <w:cantSplit/>
          <w:tblHeader/>
        </w:trPr>
        <w:tc>
          <w:tcPr>
            <w:tcW w:w="1100" w:type="pct"/>
            <w:shd w:val="clear" w:color="auto" w:fill="D9D9D9"/>
          </w:tcPr>
          <w:p w14:paraId="48138A9D" w14:textId="2867C1D5" w:rsidR="00EC3002" w:rsidRPr="007834FB" w:rsidRDefault="004136D1" w:rsidP="004136D1">
            <w:pPr>
              <w:pStyle w:val="S8Gazettetableheading"/>
            </w:pPr>
            <w:r>
              <w:t>Applicant ACN</w:t>
            </w:r>
          </w:p>
        </w:tc>
        <w:tc>
          <w:tcPr>
            <w:tcW w:w="3900" w:type="pct"/>
            <w:shd w:val="clear" w:color="auto" w:fill="FFFFFF"/>
          </w:tcPr>
          <w:p w14:paraId="30B982F3" w14:textId="704B3E5E" w:rsidR="00EC3002" w:rsidRPr="008B6E36" w:rsidRDefault="004136D1" w:rsidP="004136D1">
            <w:pPr>
              <w:pStyle w:val="S8Gazettetabletext"/>
            </w:pPr>
            <w:r>
              <w:t>656 513 923</w:t>
            </w:r>
          </w:p>
        </w:tc>
      </w:tr>
      <w:tr w:rsidR="00EC3002" w:rsidRPr="008B6E36" w14:paraId="5E111EF1" w14:textId="77777777" w:rsidTr="004136D1">
        <w:trPr>
          <w:cantSplit/>
          <w:tblHeader/>
        </w:trPr>
        <w:tc>
          <w:tcPr>
            <w:tcW w:w="1100" w:type="pct"/>
            <w:shd w:val="clear" w:color="auto" w:fill="D9D9D9"/>
          </w:tcPr>
          <w:p w14:paraId="008218A5" w14:textId="728DA055" w:rsidR="00EC3002" w:rsidRPr="007834FB" w:rsidRDefault="004136D1" w:rsidP="004136D1">
            <w:pPr>
              <w:pStyle w:val="S8Gazettetableheading"/>
            </w:pPr>
            <w:r>
              <w:t>Date of variation</w:t>
            </w:r>
          </w:p>
        </w:tc>
        <w:tc>
          <w:tcPr>
            <w:tcW w:w="3900" w:type="pct"/>
            <w:shd w:val="clear" w:color="auto" w:fill="FFFFFF"/>
          </w:tcPr>
          <w:p w14:paraId="19F81A2E" w14:textId="26DB542B" w:rsidR="00EC3002" w:rsidRPr="008B6E36" w:rsidRDefault="004136D1" w:rsidP="004136D1">
            <w:pPr>
              <w:pStyle w:val="S8Gazettetabletext"/>
            </w:pPr>
            <w:r>
              <w:t>6 August 2025</w:t>
            </w:r>
          </w:p>
        </w:tc>
      </w:tr>
      <w:tr w:rsidR="00EC3002" w:rsidRPr="008B6E36" w14:paraId="52D4A4DB" w14:textId="77777777" w:rsidTr="004136D1">
        <w:trPr>
          <w:cantSplit/>
          <w:tblHeader/>
        </w:trPr>
        <w:tc>
          <w:tcPr>
            <w:tcW w:w="1100" w:type="pct"/>
            <w:shd w:val="clear" w:color="auto" w:fill="D9D9D9"/>
          </w:tcPr>
          <w:p w14:paraId="51DCECC9" w14:textId="64938C0D" w:rsidR="00EC3002" w:rsidRPr="007834FB" w:rsidRDefault="004136D1" w:rsidP="004136D1">
            <w:pPr>
              <w:pStyle w:val="S8Gazettetableheading"/>
            </w:pPr>
            <w:r>
              <w:t>Product registration no.</w:t>
            </w:r>
          </w:p>
        </w:tc>
        <w:tc>
          <w:tcPr>
            <w:tcW w:w="3900" w:type="pct"/>
            <w:shd w:val="clear" w:color="auto" w:fill="FFFFFF"/>
          </w:tcPr>
          <w:p w14:paraId="2374CC77" w14:textId="015A904D" w:rsidR="00EC3002" w:rsidRPr="008B6E36" w:rsidRDefault="004136D1" w:rsidP="004136D1">
            <w:pPr>
              <w:pStyle w:val="S8Gazettetabletext"/>
            </w:pPr>
            <w:r>
              <w:t>90496</w:t>
            </w:r>
          </w:p>
        </w:tc>
      </w:tr>
      <w:tr w:rsidR="00EC3002" w:rsidRPr="008B6E36" w14:paraId="58C97B8A" w14:textId="77777777" w:rsidTr="004136D1">
        <w:trPr>
          <w:cantSplit/>
          <w:tblHeader/>
        </w:trPr>
        <w:tc>
          <w:tcPr>
            <w:tcW w:w="1100" w:type="pct"/>
            <w:shd w:val="clear" w:color="auto" w:fill="D9D9D9"/>
          </w:tcPr>
          <w:p w14:paraId="42C5452B" w14:textId="66F27722" w:rsidR="00EC3002" w:rsidRPr="007834FB" w:rsidRDefault="004136D1" w:rsidP="004136D1">
            <w:pPr>
              <w:pStyle w:val="S8Gazettetableheading"/>
            </w:pPr>
            <w:r>
              <w:t>Label approval no.</w:t>
            </w:r>
          </w:p>
        </w:tc>
        <w:tc>
          <w:tcPr>
            <w:tcW w:w="3900" w:type="pct"/>
            <w:shd w:val="clear" w:color="auto" w:fill="FFFFFF"/>
          </w:tcPr>
          <w:p w14:paraId="24FB53C5" w14:textId="3A95A8CD" w:rsidR="00EC3002" w:rsidRPr="008B6E36" w:rsidRDefault="004136D1" w:rsidP="004136D1">
            <w:pPr>
              <w:pStyle w:val="S8Gazettetabletext"/>
            </w:pPr>
            <w:r>
              <w:t>90496/148179</w:t>
            </w:r>
          </w:p>
        </w:tc>
      </w:tr>
      <w:tr w:rsidR="00EC3002" w:rsidRPr="008B6E36" w14:paraId="4C9CAE3B" w14:textId="77777777" w:rsidTr="004136D1">
        <w:trPr>
          <w:cantSplit/>
          <w:tblHeader/>
        </w:trPr>
        <w:tc>
          <w:tcPr>
            <w:tcW w:w="1100" w:type="pct"/>
            <w:shd w:val="clear" w:color="auto" w:fill="D9D9D9"/>
          </w:tcPr>
          <w:p w14:paraId="44954835" w14:textId="458C4776"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2DFFE263" w14:textId="1F8B749F" w:rsidR="00EC3002" w:rsidRPr="008B6E36" w:rsidRDefault="004136D1" w:rsidP="004136D1">
            <w:pPr>
              <w:pStyle w:val="S8Gazettetabletext"/>
            </w:pPr>
            <w:r>
              <w:t>Variation to particulars of label to make minor variations to the product label</w:t>
            </w:r>
          </w:p>
        </w:tc>
      </w:tr>
    </w:tbl>
    <w:p w14:paraId="31D4E51A"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2B115A17" w14:textId="77777777" w:rsidTr="004136D1">
        <w:trPr>
          <w:cantSplit/>
        </w:trPr>
        <w:tc>
          <w:tcPr>
            <w:tcW w:w="1100" w:type="pct"/>
            <w:shd w:val="clear" w:color="auto" w:fill="D9D9D9"/>
          </w:tcPr>
          <w:p w14:paraId="4F65DDDA" w14:textId="2ADCF9EF" w:rsidR="00EC3002" w:rsidRPr="007834FB" w:rsidRDefault="004136D1" w:rsidP="004136D1">
            <w:pPr>
              <w:pStyle w:val="S8Gazettetableheading"/>
            </w:pPr>
            <w:r>
              <w:t>Application no.</w:t>
            </w:r>
          </w:p>
        </w:tc>
        <w:tc>
          <w:tcPr>
            <w:tcW w:w="3900" w:type="pct"/>
            <w:shd w:val="clear" w:color="auto" w:fill="FFFFFF"/>
          </w:tcPr>
          <w:p w14:paraId="11FCD202" w14:textId="455965F8" w:rsidR="00EC3002" w:rsidRPr="008B6E36" w:rsidRDefault="004136D1" w:rsidP="004136D1">
            <w:pPr>
              <w:pStyle w:val="S8Gazettetabletext"/>
              <w:rPr>
                <w:noProof/>
              </w:rPr>
            </w:pPr>
            <w:r>
              <w:rPr>
                <w:noProof/>
              </w:rPr>
              <w:t>146595</w:t>
            </w:r>
          </w:p>
        </w:tc>
      </w:tr>
      <w:tr w:rsidR="00EC3002" w:rsidRPr="008B6E36" w14:paraId="038AB99B" w14:textId="77777777" w:rsidTr="004136D1">
        <w:trPr>
          <w:cantSplit/>
        </w:trPr>
        <w:tc>
          <w:tcPr>
            <w:tcW w:w="1100" w:type="pct"/>
            <w:shd w:val="clear" w:color="auto" w:fill="D9D9D9"/>
          </w:tcPr>
          <w:p w14:paraId="53B9E325" w14:textId="33E8A505" w:rsidR="00EC3002" w:rsidRPr="007834FB" w:rsidRDefault="004136D1" w:rsidP="004136D1">
            <w:pPr>
              <w:pStyle w:val="S8Gazettetableheading"/>
            </w:pPr>
            <w:r>
              <w:t>Product name</w:t>
            </w:r>
          </w:p>
        </w:tc>
        <w:tc>
          <w:tcPr>
            <w:tcW w:w="3900" w:type="pct"/>
            <w:shd w:val="clear" w:color="auto" w:fill="FFFFFF"/>
          </w:tcPr>
          <w:p w14:paraId="1D4BE486" w14:textId="0E7B8C6B" w:rsidR="00EC3002" w:rsidRPr="008B6E36" w:rsidRDefault="004136D1" w:rsidP="004136D1">
            <w:pPr>
              <w:pStyle w:val="S8Gazettetabletext"/>
            </w:pPr>
            <w:proofErr w:type="spellStart"/>
            <w:r>
              <w:t>Protim</w:t>
            </w:r>
            <w:proofErr w:type="spellEnd"/>
            <w:r>
              <w:t xml:space="preserve"> Optimum PTB Concentrate</w:t>
            </w:r>
          </w:p>
        </w:tc>
      </w:tr>
      <w:tr w:rsidR="00EC3002" w:rsidRPr="008B6E36" w14:paraId="5700A838" w14:textId="77777777" w:rsidTr="004136D1">
        <w:trPr>
          <w:cantSplit/>
        </w:trPr>
        <w:tc>
          <w:tcPr>
            <w:tcW w:w="1100" w:type="pct"/>
            <w:shd w:val="clear" w:color="auto" w:fill="D9D9D9"/>
          </w:tcPr>
          <w:p w14:paraId="7BFF2960" w14:textId="43844C59" w:rsidR="00EC3002" w:rsidRPr="007834FB" w:rsidRDefault="004136D1" w:rsidP="004136D1">
            <w:pPr>
              <w:pStyle w:val="S8Gazettetableheading"/>
            </w:pPr>
            <w:r>
              <w:t>Active constituents</w:t>
            </w:r>
          </w:p>
        </w:tc>
        <w:tc>
          <w:tcPr>
            <w:tcW w:w="3900" w:type="pct"/>
            <w:shd w:val="clear" w:color="auto" w:fill="FFFFFF"/>
          </w:tcPr>
          <w:p w14:paraId="06E33F51" w14:textId="37BE5C29" w:rsidR="00EC3002" w:rsidRPr="008B6E36" w:rsidRDefault="004136D1" w:rsidP="004136D1">
            <w:pPr>
              <w:pStyle w:val="S8Gazettetabletext"/>
            </w:pPr>
            <w:r>
              <w:t>180 g/L propiconazole, 180 g/L tebuconazole, 34 g/L bifenthrin</w:t>
            </w:r>
          </w:p>
        </w:tc>
      </w:tr>
      <w:tr w:rsidR="00EC3002" w:rsidRPr="008B6E36" w14:paraId="1D786543" w14:textId="77777777" w:rsidTr="004136D1">
        <w:trPr>
          <w:cantSplit/>
        </w:trPr>
        <w:tc>
          <w:tcPr>
            <w:tcW w:w="1100" w:type="pct"/>
            <w:shd w:val="clear" w:color="auto" w:fill="D9D9D9"/>
          </w:tcPr>
          <w:p w14:paraId="4F42431C" w14:textId="334E152E" w:rsidR="00EC3002" w:rsidRPr="007834FB" w:rsidRDefault="004136D1" w:rsidP="004136D1">
            <w:pPr>
              <w:pStyle w:val="S8Gazettetableheading"/>
            </w:pPr>
            <w:r>
              <w:t>Applicant name</w:t>
            </w:r>
          </w:p>
        </w:tc>
        <w:tc>
          <w:tcPr>
            <w:tcW w:w="3900" w:type="pct"/>
            <w:shd w:val="clear" w:color="auto" w:fill="FFFFFF"/>
          </w:tcPr>
          <w:p w14:paraId="3C15700D" w14:textId="760CD004" w:rsidR="00EC3002" w:rsidRPr="008B6E36" w:rsidRDefault="004136D1" w:rsidP="004136D1">
            <w:pPr>
              <w:pStyle w:val="S8Gazettetabletext"/>
            </w:pPr>
            <w:r>
              <w:t>Koppers Performance Chemicals Australia Pty Ltd</w:t>
            </w:r>
          </w:p>
        </w:tc>
      </w:tr>
      <w:tr w:rsidR="00EC3002" w:rsidRPr="008B6E36" w14:paraId="73D2BB59" w14:textId="77777777" w:rsidTr="004136D1">
        <w:trPr>
          <w:cantSplit/>
        </w:trPr>
        <w:tc>
          <w:tcPr>
            <w:tcW w:w="1100" w:type="pct"/>
            <w:shd w:val="clear" w:color="auto" w:fill="D9D9D9"/>
          </w:tcPr>
          <w:p w14:paraId="2ED17A35" w14:textId="479FF878" w:rsidR="00EC3002" w:rsidRPr="007834FB" w:rsidRDefault="004136D1" w:rsidP="004136D1">
            <w:pPr>
              <w:pStyle w:val="S8Gazettetableheading"/>
            </w:pPr>
            <w:r>
              <w:t>Applicant ACN</w:t>
            </w:r>
          </w:p>
        </w:tc>
        <w:tc>
          <w:tcPr>
            <w:tcW w:w="3900" w:type="pct"/>
            <w:shd w:val="clear" w:color="auto" w:fill="FFFFFF"/>
          </w:tcPr>
          <w:p w14:paraId="354A05F1" w14:textId="69AE9554" w:rsidR="00EC3002" w:rsidRPr="008B6E36" w:rsidRDefault="004136D1" w:rsidP="004136D1">
            <w:pPr>
              <w:pStyle w:val="S8Gazettetabletext"/>
            </w:pPr>
            <w:r>
              <w:t>088 260 575</w:t>
            </w:r>
          </w:p>
        </w:tc>
      </w:tr>
      <w:tr w:rsidR="00EC3002" w:rsidRPr="008B6E36" w14:paraId="6266C258" w14:textId="77777777" w:rsidTr="004136D1">
        <w:trPr>
          <w:cantSplit/>
        </w:trPr>
        <w:tc>
          <w:tcPr>
            <w:tcW w:w="1100" w:type="pct"/>
            <w:shd w:val="clear" w:color="auto" w:fill="D9D9D9"/>
          </w:tcPr>
          <w:p w14:paraId="766A4C80" w14:textId="44F1EBE0" w:rsidR="00EC3002" w:rsidRPr="007834FB" w:rsidRDefault="004136D1" w:rsidP="004136D1">
            <w:pPr>
              <w:pStyle w:val="S8Gazettetableheading"/>
            </w:pPr>
            <w:r>
              <w:t>Date of variation</w:t>
            </w:r>
          </w:p>
        </w:tc>
        <w:tc>
          <w:tcPr>
            <w:tcW w:w="3900" w:type="pct"/>
            <w:shd w:val="clear" w:color="auto" w:fill="FFFFFF"/>
          </w:tcPr>
          <w:p w14:paraId="6705BE69" w14:textId="6F501CA4" w:rsidR="00EC3002" w:rsidRPr="008B6E36" w:rsidRDefault="004136D1" w:rsidP="004136D1">
            <w:pPr>
              <w:pStyle w:val="S8Gazettetabletext"/>
            </w:pPr>
            <w:r>
              <w:t>6 August 2025</w:t>
            </w:r>
          </w:p>
        </w:tc>
      </w:tr>
      <w:tr w:rsidR="00EC3002" w:rsidRPr="008B6E36" w14:paraId="655F8F56" w14:textId="77777777" w:rsidTr="004136D1">
        <w:trPr>
          <w:cantSplit/>
        </w:trPr>
        <w:tc>
          <w:tcPr>
            <w:tcW w:w="1100" w:type="pct"/>
            <w:shd w:val="clear" w:color="auto" w:fill="D9D9D9"/>
          </w:tcPr>
          <w:p w14:paraId="1B3AA202" w14:textId="7AE48570" w:rsidR="00EC3002" w:rsidRPr="007834FB" w:rsidRDefault="004136D1" w:rsidP="004136D1">
            <w:pPr>
              <w:pStyle w:val="S8Gazettetableheading"/>
            </w:pPr>
            <w:r>
              <w:t>Product registration no.</w:t>
            </w:r>
          </w:p>
        </w:tc>
        <w:tc>
          <w:tcPr>
            <w:tcW w:w="3900" w:type="pct"/>
            <w:shd w:val="clear" w:color="auto" w:fill="FFFFFF"/>
          </w:tcPr>
          <w:p w14:paraId="3365D9C1" w14:textId="4C1236D2" w:rsidR="00EC3002" w:rsidRPr="008B6E36" w:rsidRDefault="004136D1" w:rsidP="004136D1">
            <w:pPr>
              <w:pStyle w:val="S8Gazettetabletext"/>
            </w:pPr>
            <w:r>
              <w:t>88698</w:t>
            </w:r>
          </w:p>
        </w:tc>
      </w:tr>
      <w:tr w:rsidR="00EC3002" w:rsidRPr="008B6E36" w14:paraId="2A0152F0" w14:textId="77777777" w:rsidTr="004136D1">
        <w:trPr>
          <w:cantSplit/>
        </w:trPr>
        <w:tc>
          <w:tcPr>
            <w:tcW w:w="1100" w:type="pct"/>
            <w:shd w:val="clear" w:color="auto" w:fill="D9D9D9"/>
          </w:tcPr>
          <w:p w14:paraId="1E0AC85C" w14:textId="05200C8D" w:rsidR="00EC3002" w:rsidRPr="007834FB" w:rsidRDefault="004136D1" w:rsidP="004136D1">
            <w:pPr>
              <w:pStyle w:val="S8Gazettetableheading"/>
            </w:pPr>
            <w:r>
              <w:t>Label approval no.</w:t>
            </w:r>
          </w:p>
        </w:tc>
        <w:tc>
          <w:tcPr>
            <w:tcW w:w="3900" w:type="pct"/>
            <w:shd w:val="clear" w:color="auto" w:fill="FFFFFF"/>
          </w:tcPr>
          <w:p w14:paraId="1EB53D67" w14:textId="1F67CF45" w:rsidR="00EC3002" w:rsidRPr="008B6E36" w:rsidRDefault="004136D1" w:rsidP="004136D1">
            <w:pPr>
              <w:pStyle w:val="S8Gazettetabletext"/>
            </w:pPr>
            <w:r>
              <w:t>88698/146595</w:t>
            </w:r>
          </w:p>
        </w:tc>
      </w:tr>
      <w:tr w:rsidR="00EC3002" w:rsidRPr="008B6E36" w14:paraId="2B431222" w14:textId="77777777" w:rsidTr="004136D1">
        <w:trPr>
          <w:cantSplit/>
        </w:trPr>
        <w:tc>
          <w:tcPr>
            <w:tcW w:w="1100" w:type="pct"/>
            <w:shd w:val="clear" w:color="auto" w:fill="D9D9D9"/>
          </w:tcPr>
          <w:p w14:paraId="0FD795B6" w14:textId="1E0E2F9D"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C971665" w14:textId="7F393887" w:rsidR="00EC3002" w:rsidRPr="008B6E36" w:rsidRDefault="004136D1" w:rsidP="004136D1">
            <w:pPr>
              <w:pStyle w:val="S8Gazettetabletext"/>
            </w:pPr>
            <w:r>
              <w:t>Variation to registration and label particulars</w:t>
            </w:r>
          </w:p>
        </w:tc>
      </w:tr>
    </w:tbl>
    <w:p w14:paraId="471B7C57"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61B890F6" w14:textId="77777777" w:rsidTr="004136D1">
        <w:trPr>
          <w:cantSplit/>
        </w:trPr>
        <w:tc>
          <w:tcPr>
            <w:tcW w:w="1100" w:type="pct"/>
            <w:shd w:val="clear" w:color="auto" w:fill="D9D9D9"/>
          </w:tcPr>
          <w:p w14:paraId="047DF538" w14:textId="4F4C6857" w:rsidR="00EC3002" w:rsidRPr="007834FB" w:rsidRDefault="004136D1" w:rsidP="004136D1">
            <w:pPr>
              <w:pStyle w:val="S8Gazettetableheading"/>
            </w:pPr>
            <w:r>
              <w:t>Application no.</w:t>
            </w:r>
          </w:p>
        </w:tc>
        <w:tc>
          <w:tcPr>
            <w:tcW w:w="3900" w:type="pct"/>
            <w:shd w:val="clear" w:color="auto" w:fill="FFFFFF"/>
          </w:tcPr>
          <w:p w14:paraId="6F351020" w14:textId="0F89DFC1" w:rsidR="00EC3002" w:rsidRPr="008B6E36" w:rsidRDefault="004136D1" w:rsidP="004136D1">
            <w:pPr>
              <w:pStyle w:val="S8Gazettetabletext"/>
              <w:rPr>
                <w:noProof/>
              </w:rPr>
            </w:pPr>
            <w:r>
              <w:rPr>
                <w:noProof/>
              </w:rPr>
              <w:t>148189</w:t>
            </w:r>
          </w:p>
        </w:tc>
      </w:tr>
      <w:tr w:rsidR="00EC3002" w:rsidRPr="008B6E36" w14:paraId="56954D1F" w14:textId="77777777" w:rsidTr="004136D1">
        <w:trPr>
          <w:cantSplit/>
        </w:trPr>
        <w:tc>
          <w:tcPr>
            <w:tcW w:w="1100" w:type="pct"/>
            <w:shd w:val="clear" w:color="auto" w:fill="D9D9D9"/>
          </w:tcPr>
          <w:p w14:paraId="009E1898" w14:textId="0329FEC4" w:rsidR="00EC3002" w:rsidRPr="007834FB" w:rsidRDefault="004136D1" w:rsidP="004136D1">
            <w:pPr>
              <w:pStyle w:val="S8Gazettetableheading"/>
            </w:pPr>
            <w:r>
              <w:t>Product name</w:t>
            </w:r>
          </w:p>
        </w:tc>
        <w:tc>
          <w:tcPr>
            <w:tcW w:w="3900" w:type="pct"/>
            <w:shd w:val="clear" w:color="auto" w:fill="FFFFFF"/>
          </w:tcPr>
          <w:p w14:paraId="4C222FEC" w14:textId="376033F6" w:rsidR="00EC3002" w:rsidRPr="008B6E36" w:rsidRDefault="004136D1" w:rsidP="004136D1">
            <w:pPr>
              <w:pStyle w:val="S8Gazettetabletext"/>
            </w:pPr>
            <w:r>
              <w:t>Pacific Abamectin 18 EC Insecticide / Miticide</w:t>
            </w:r>
          </w:p>
        </w:tc>
      </w:tr>
      <w:tr w:rsidR="00EC3002" w:rsidRPr="008B6E36" w14:paraId="5CBB78A3" w14:textId="77777777" w:rsidTr="004136D1">
        <w:trPr>
          <w:cantSplit/>
        </w:trPr>
        <w:tc>
          <w:tcPr>
            <w:tcW w:w="1100" w:type="pct"/>
            <w:shd w:val="clear" w:color="auto" w:fill="D9D9D9"/>
          </w:tcPr>
          <w:p w14:paraId="38BC8224" w14:textId="6B7FFD49" w:rsidR="00EC3002" w:rsidRPr="007834FB" w:rsidRDefault="004136D1" w:rsidP="004136D1">
            <w:pPr>
              <w:pStyle w:val="S8Gazettetableheading"/>
            </w:pPr>
            <w:r>
              <w:t>Active constituent</w:t>
            </w:r>
          </w:p>
        </w:tc>
        <w:tc>
          <w:tcPr>
            <w:tcW w:w="3900" w:type="pct"/>
            <w:shd w:val="clear" w:color="auto" w:fill="FFFFFF"/>
          </w:tcPr>
          <w:p w14:paraId="32D97DCA" w14:textId="24D91880" w:rsidR="00EC3002" w:rsidRPr="008B6E36" w:rsidRDefault="004136D1" w:rsidP="004136D1">
            <w:pPr>
              <w:pStyle w:val="S8Gazettetabletext"/>
            </w:pPr>
            <w:r>
              <w:t>18 g/L abamectin</w:t>
            </w:r>
          </w:p>
        </w:tc>
      </w:tr>
      <w:tr w:rsidR="00EC3002" w:rsidRPr="008B6E36" w14:paraId="6D3D4289" w14:textId="77777777" w:rsidTr="004136D1">
        <w:trPr>
          <w:cantSplit/>
        </w:trPr>
        <w:tc>
          <w:tcPr>
            <w:tcW w:w="1100" w:type="pct"/>
            <w:shd w:val="clear" w:color="auto" w:fill="D9D9D9"/>
          </w:tcPr>
          <w:p w14:paraId="1F0FDF48" w14:textId="515E1AB4" w:rsidR="00EC3002" w:rsidRPr="007834FB" w:rsidRDefault="004136D1" w:rsidP="004136D1">
            <w:pPr>
              <w:pStyle w:val="S8Gazettetableheading"/>
            </w:pPr>
            <w:r>
              <w:t>Applicant name</w:t>
            </w:r>
          </w:p>
        </w:tc>
        <w:tc>
          <w:tcPr>
            <w:tcW w:w="3900" w:type="pct"/>
            <w:shd w:val="clear" w:color="auto" w:fill="FFFFFF"/>
          </w:tcPr>
          <w:p w14:paraId="3EF58D5F" w14:textId="247AD407" w:rsidR="00EC3002" w:rsidRPr="008B6E36" w:rsidRDefault="004136D1" w:rsidP="004136D1">
            <w:pPr>
              <w:pStyle w:val="S8Gazettetabletext"/>
            </w:pPr>
            <w:r>
              <w:t>Pacific Agriscience Pty Ltd</w:t>
            </w:r>
          </w:p>
        </w:tc>
      </w:tr>
      <w:tr w:rsidR="00EC3002" w:rsidRPr="008B6E36" w14:paraId="4995658E" w14:textId="77777777" w:rsidTr="004136D1">
        <w:trPr>
          <w:cantSplit/>
        </w:trPr>
        <w:tc>
          <w:tcPr>
            <w:tcW w:w="1100" w:type="pct"/>
            <w:shd w:val="clear" w:color="auto" w:fill="D9D9D9"/>
          </w:tcPr>
          <w:p w14:paraId="622E777B" w14:textId="7DE76747" w:rsidR="00EC3002" w:rsidRPr="007834FB" w:rsidRDefault="004136D1" w:rsidP="004136D1">
            <w:pPr>
              <w:pStyle w:val="S8Gazettetableheading"/>
            </w:pPr>
            <w:r>
              <w:t>Applicant ACN</w:t>
            </w:r>
          </w:p>
        </w:tc>
        <w:tc>
          <w:tcPr>
            <w:tcW w:w="3900" w:type="pct"/>
            <w:shd w:val="clear" w:color="auto" w:fill="FFFFFF"/>
          </w:tcPr>
          <w:p w14:paraId="2BAA9150" w14:textId="018AA962" w:rsidR="00EC3002" w:rsidRPr="008B6E36" w:rsidRDefault="004136D1" w:rsidP="004136D1">
            <w:pPr>
              <w:pStyle w:val="S8Gazettetabletext"/>
            </w:pPr>
            <w:r>
              <w:t>096 082 316</w:t>
            </w:r>
          </w:p>
        </w:tc>
      </w:tr>
      <w:tr w:rsidR="00EC3002" w:rsidRPr="008B6E36" w14:paraId="68CF64FD" w14:textId="77777777" w:rsidTr="004136D1">
        <w:trPr>
          <w:cantSplit/>
        </w:trPr>
        <w:tc>
          <w:tcPr>
            <w:tcW w:w="1100" w:type="pct"/>
            <w:shd w:val="clear" w:color="auto" w:fill="D9D9D9"/>
          </w:tcPr>
          <w:p w14:paraId="0365DAF9" w14:textId="2F6FA36A" w:rsidR="00EC3002" w:rsidRPr="007834FB" w:rsidRDefault="004136D1" w:rsidP="004136D1">
            <w:pPr>
              <w:pStyle w:val="S8Gazettetableheading"/>
            </w:pPr>
            <w:r>
              <w:t>Date of variation</w:t>
            </w:r>
          </w:p>
        </w:tc>
        <w:tc>
          <w:tcPr>
            <w:tcW w:w="3900" w:type="pct"/>
            <w:shd w:val="clear" w:color="auto" w:fill="FFFFFF"/>
          </w:tcPr>
          <w:p w14:paraId="758E2286" w14:textId="7F5F2FC7" w:rsidR="00EC3002" w:rsidRPr="008B6E36" w:rsidRDefault="004136D1" w:rsidP="004136D1">
            <w:pPr>
              <w:pStyle w:val="S8Gazettetabletext"/>
            </w:pPr>
            <w:r>
              <w:t>6 August 2025</w:t>
            </w:r>
          </w:p>
        </w:tc>
      </w:tr>
      <w:tr w:rsidR="00EC3002" w:rsidRPr="008B6E36" w14:paraId="280E054B" w14:textId="77777777" w:rsidTr="004136D1">
        <w:trPr>
          <w:cantSplit/>
        </w:trPr>
        <w:tc>
          <w:tcPr>
            <w:tcW w:w="1100" w:type="pct"/>
            <w:shd w:val="clear" w:color="auto" w:fill="D9D9D9"/>
          </w:tcPr>
          <w:p w14:paraId="776236EB" w14:textId="2B2CA333" w:rsidR="00EC3002" w:rsidRPr="007834FB" w:rsidRDefault="004136D1" w:rsidP="004136D1">
            <w:pPr>
              <w:pStyle w:val="S8Gazettetableheading"/>
            </w:pPr>
            <w:r>
              <w:t>Product registration no.</w:t>
            </w:r>
          </w:p>
        </w:tc>
        <w:tc>
          <w:tcPr>
            <w:tcW w:w="3900" w:type="pct"/>
            <w:shd w:val="clear" w:color="auto" w:fill="FFFFFF"/>
          </w:tcPr>
          <w:p w14:paraId="0DE1BCA0" w14:textId="6FFD89DA" w:rsidR="00EC3002" w:rsidRPr="008B6E36" w:rsidRDefault="004136D1" w:rsidP="004136D1">
            <w:pPr>
              <w:pStyle w:val="S8Gazettetabletext"/>
            </w:pPr>
            <w:r>
              <w:t>66330</w:t>
            </w:r>
          </w:p>
        </w:tc>
      </w:tr>
      <w:tr w:rsidR="00EC3002" w:rsidRPr="008B6E36" w14:paraId="7DE24B3C" w14:textId="77777777" w:rsidTr="004136D1">
        <w:trPr>
          <w:cantSplit/>
        </w:trPr>
        <w:tc>
          <w:tcPr>
            <w:tcW w:w="1100" w:type="pct"/>
            <w:shd w:val="clear" w:color="auto" w:fill="D9D9D9"/>
          </w:tcPr>
          <w:p w14:paraId="3CEDC671" w14:textId="135C610C" w:rsidR="00EC3002" w:rsidRPr="007834FB" w:rsidRDefault="004136D1" w:rsidP="004136D1">
            <w:pPr>
              <w:pStyle w:val="S8Gazettetableheading"/>
            </w:pPr>
            <w:r>
              <w:t>Label approval no.</w:t>
            </w:r>
          </w:p>
        </w:tc>
        <w:tc>
          <w:tcPr>
            <w:tcW w:w="3900" w:type="pct"/>
            <w:shd w:val="clear" w:color="auto" w:fill="FFFFFF"/>
          </w:tcPr>
          <w:p w14:paraId="08E2BFBC" w14:textId="602A847A" w:rsidR="00EC3002" w:rsidRPr="008B6E36" w:rsidRDefault="004136D1" w:rsidP="004136D1">
            <w:pPr>
              <w:pStyle w:val="S8Gazettetabletext"/>
            </w:pPr>
            <w:r>
              <w:t>66330/148189</w:t>
            </w:r>
          </w:p>
        </w:tc>
      </w:tr>
      <w:tr w:rsidR="00EC3002" w:rsidRPr="008B6E36" w14:paraId="55A78053" w14:textId="77777777" w:rsidTr="004136D1">
        <w:trPr>
          <w:cantSplit/>
        </w:trPr>
        <w:tc>
          <w:tcPr>
            <w:tcW w:w="1100" w:type="pct"/>
            <w:shd w:val="clear" w:color="auto" w:fill="D9D9D9"/>
          </w:tcPr>
          <w:p w14:paraId="6D6D48FC" w14:textId="77211F18"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495E60F" w14:textId="0591B424" w:rsidR="00EC3002" w:rsidRPr="008B6E36" w:rsidRDefault="004136D1" w:rsidP="004136D1">
            <w:pPr>
              <w:pStyle w:val="S8Gazettetabletext"/>
            </w:pPr>
            <w:r>
              <w:t xml:space="preserve">Variation of product registration and label approval to correct the erroneous rate on citrus for control of mites, amend the constituent statements to include diethylene glycol </w:t>
            </w:r>
            <w:proofErr w:type="spellStart"/>
            <w:r>
              <w:t>monobutyl</w:t>
            </w:r>
            <w:proofErr w:type="spellEnd"/>
            <w:r>
              <w:t xml:space="preserve"> ether, and update the first aid instructions and safety directions</w:t>
            </w:r>
          </w:p>
        </w:tc>
      </w:tr>
    </w:tbl>
    <w:p w14:paraId="15F2D6CF"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0A0D303D" w14:textId="77777777" w:rsidTr="004136D1">
        <w:trPr>
          <w:cantSplit/>
          <w:tblHeader/>
        </w:trPr>
        <w:tc>
          <w:tcPr>
            <w:tcW w:w="1100" w:type="pct"/>
            <w:shd w:val="clear" w:color="auto" w:fill="D9D9D9"/>
          </w:tcPr>
          <w:p w14:paraId="202770D5" w14:textId="5B1F6152" w:rsidR="00EC3002" w:rsidRPr="007834FB" w:rsidRDefault="004136D1" w:rsidP="004136D1">
            <w:pPr>
              <w:pStyle w:val="S8Gazettetableheading"/>
            </w:pPr>
            <w:r>
              <w:lastRenderedPageBreak/>
              <w:t>Application no.</w:t>
            </w:r>
          </w:p>
        </w:tc>
        <w:tc>
          <w:tcPr>
            <w:tcW w:w="3900" w:type="pct"/>
            <w:shd w:val="clear" w:color="auto" w:fill="FFFFFF"/>
          </w:tcPr>
          <w:p w14:paraId="2420669C" w14:textId="45709E60" w:rsidR="00EC3002" w:rsidRPr="008B6E36" w:rsidRDefault="004136D1" w:rsidP="004136D1">
            <w:pPr>
              <w:pStyle w:val="S8Gazettetabletext"/>
              <w:rPr>
                <w:noProof/>
              </w:rPr>
            </w:pPr>
            <w:r>
              <w:rPr>
                <w:noProof/>
              </w:rPr>
              <w:t>145581</w:t>
            </w:r>
          </w:p>
        </w:tc>
      </w:tr>
      <w:tr w:rsidR="00EC3002" w:rsidRPr="008B6E36" w14:paraId="24797C77" w14:textId="77777777" w:rsidTr="004136D1">
        <w:trPr>
          <w:cantSplit/>
          <w:tblHeader/>
        </w:trPr>
        <w:tc>
          <w:tcPr>
            <w:tcW w:w="1100" w:type="pct"/>
            <w:shd w:val="clear" w:color="auto" w:fill="D9D9D9"/>
          </w:tcPr>
          <w:p w14:paraId="3700452A" w14:textId="0874D5C6" w:rsidR="00EC3002" w:rsidRPr="007834FB" w:rsidRDefault="004136D1" w:rsidP="004136D1">
            <w:pPr>
              <w:pStyle w:val="S8Gazettetableheading"/>
            </w:pPr>
            <w:r>
              <w:t>Product name</w:t>
            </w:r>
          </w:p>
        </w:tc>
        <w:tc>
          <w:tcPr>
            <w:tcW w:w="3900" w:type="pct"/>
            <w:shd w:val="clear" w:color="auto" w:fill="FFFFFF"/>
          </w:tcPr>
          <w:p w14:paraId="206A2E28" w14:textId="1138A2BE" w:rsidR="00EC3002" w:rsidRPr="008B6E36" w:rsidRDefault="004136D1" w:rsidP="004136D1">
            <w:pPr>
              <w:pStyle w:val="S8Gazettetabletext"/>
            </w:pPr>
            <w:proofErr w:type="spellStart"/>
            <w:r>
              <w:t>Mortein</w:t>
            </w:r>
            <w:proofErr w:type="spellEnd"/>
            <w:r>
              <w:t xml:space="preserve"> </w:t>
            </w:r>
            <w:proofErr w:type="spellStart"/>
            <w:r>
              <w:t>Powergard</w:t>
            </w:r>
            <w:proofErr w:type="spellEnd"/>
            <w:r>
              <w:t xml:space="preserve"> Easy Reach Crawling Insect Surface Spray</w:t>
            </w:r>
          </w:p>
        </w:tc>
      </w:tr>
      <w:tr w:rsidR="00EC3002" w:rsidRPr="008B6E36" w14:paraId="3BD55AFF" w14:textId="77777777" w:rsidTr="004136D1">
        <w:trPr>
          <w:cantSplit/>
          <w:tblHeader/>
        </w:trPr>
        <w:tc>
          <w:tcPr>
            <w:tcW w:w="1100" w:type="pct"/>
            <w:shd w:val="clear" w:color="auto" w:fill="D9D9D9"/>
          </w:tcPr>
          <w:p w14:paraId="63A8A317" w14:textId="4C7122D9" w:rsidR="00EC3002" w:rsidRPr="007834FB" w:rsidRDefault="004136D1" w:rsidP="004136D1">
            <w:pPr>
              <w:pStyle w:val="S8Gazettetableheading"/>
            </w:pPr>
            <w:r>
              <w:t>Active constituents</w:t>
            </w:r>
          </w:p>
        </w:tc>
        <w:tc>
          <w:tcPr>
            <w:tcW w:w="3900" w:type="pct"/>
            <w:shd w:val="clear" w:color="auto" w:fill="FFFFFF"/>
          </w:tcPr>
          <w:p w14:paraId="57859C98" w14:textId="1F865007" w:rsidR="00EC3002" w:rsidRPr="008B6E36" w:rsidRDefault="004136D1" w:rsidP="004136D1">
            <w:pPr>
              <w:pStyle w:val="S8Gazettetabletext"/>
            </w:pPr>
            <w:r>
              <w:t>2.0 g/kg cypermethrin, 0.7 g/kg imiprothrin</w:t>
            </w:r>
          </w:p>
        </w:tc>
      </w:tr>
      <w:tr w:rsidR="00EC3002" w:rsidRPr="008B6E36" w14:paraId="425ABA9C" w14:textId="77777777" w:rsidTr="004136D1">
        <w:trPr>
          <w:cantSplit/>
          <w:tblHeader/>
        </w:trPr>
        <w:tc>
          <w:tcPr>
            <w:tcW w:w="1100" w:type="pct"/>
            <w:shd w:val="clear" w:color="auto" w:fill="D9D9D9"/>
          </w:tcPr>
          <w:p w14:paraId="0310B212" w14:textId="1821872A" w:rsidR="00EC3002" w:rsidRPr="007834FB" w:rsidRDefault="004136D1" w:rsidP="004136D1">
            <w:pPr>
              <w:pStyle w:val="S8Gazettetableheading"/>
            </w:pPr>
            <w:r>
              <w:t>Applicant name</w:t>
            </w:r>
          </w:p>
        </w:tc>
        <w:tc>
          <w:tcPr>
            <w:tcW w:w="3900" w:type="pct"/>
            <w:shd w:val="clear" w:color="auto" w:fill="FFFFFF"/>
          </w:tcPr>
          <w:p w14:paraId="328C1051" w14:textId="31E05F04" w:rsidR="00EC3002" w:rsidRPr="008B6E36" w:rsidRDefault="004136D1" w:rsidP="004136D1">
            <w:pPr>
              <w:pStyle w:val="S8Gazettetabletext"/>
            </w:pPr>
            <w:r>
              <w:t>RB (Hygiene Home) Australia Pty Ltd</w:t>
            </w:r>
          </w:p>
        </w:tc>
      </w:tr>
      <w:tr w:rsidR="00EC3002" w:rsidRPr="008B6E36" w14:paraId="7A9357DF" w14:textId="77777777" w:rsidTr="004136D1">
        <w:trPr>
          <w:cantSplit/>
          <w:tblHeader/>
        </w:trPr>
        <w:tc>
          <w:tcPr>
            <w:tcW w:w="1100" w:type="pct"/>
            <w:shd w:val="clear" w:color="auto" w:fill="D9D9D9"/>
          </w:tcPr>
          <w:p w14:paraId="2DB5D295" w14:textId="1F1264A5" w:rsidR="00EC3002" w:rsidRPr="007834FB" w:rsidRDefault="004136D1" w:rsidP="004136D1">
            <w:pPr>
              <w:pStyle w:val="S8Gazettetableheading"/>
            </w:pPr>
            <w:r>
              <w:t>Applicant ACN</w:t>
            </w:r>
          </w:p>
        </w:tc>
        <w:tc>
          <w:tcPr>
            <w:tcW w:w="3900" w:type="pct"/>
            <w:shd w:val="clear" w:color="auto" w:fill="FFFFFF"/>
          </w:tcPr>
          <w:p w14:paraId="335C64CA" w14:textId="1BCEB00B" w:rsidR="00EC3002" w:rsidRPr="008B6E36" w:rsidRDefault="004136D1" w:rsidP="004136D1">
            <w:pPr>
              <w:pStyle w:val="S8Gazettetabletext"/>
            </w:pPr>
            <w:r>
              <w:t>629 549 506</w:t>
            </w:r>
          </w:p>
        </w:tc>
      </w:tr>
      <w:tr w:rsidR="00EC3002" w:rsidRPr="008B6E36" w14:paraId="5D428993" w14:textId="77777777" w:rsidTr="004136D1">
        <w:trPr>
          <w:cantSplit/>
          <w:tblHeader/>
        </w:trPr>
        <w:tc>
          <w:tcPr>
            <w:tcW w:w="1100" w:type="pct"/>
            <w:shd w:val="clear" w:color="auto" w:fill="D9D9D9"/>
          </w:tcPr>
          <w:p w14:paraId="019EF296" w14:textId="521EC673" w:rsidR="00EC3002" w:rsidRPr="007834FB" w:rsidRDefault="004136D1" w:rsidP="004136D1">
            <w:pPr>
              <w:pStyle w:val="S8Gazettetableheading"/>
            </w:pPr>
            <w:r>
              <w:t>Date of variation</w:t>
            </w:r>
          </w:p>
        </w:tc>
        <w:tc>
          <w:tcPr>
            <w:tcW w:w="3900" w:type="pct"/>
            <w:shd w:val="clear" w:color="auto" w:fill="FFFFFF"/>
          </w:tcPr>
          <w:p w14:paraId="49CD1F9C" w14:textId="5A4DC1A3" w:rsidR="00EC3002" w:rsidRPr="008B6E36" w:rsidRDefault="004136D1" w:rsidP="004136D1">
            <w:pPr>
              <w:pStyle w:val="S8Gazettetabletext"/>
            </w:pPr>
            <w:r>
              <w:t>6 August 2025</w:t>
            </w:r>
          </w:p>
        </w:tc>
      </w:tr>
      <w:tr w:rsidR="00EC3002" w:rsidRPr="008B6E36" w14:paraId="2C94C114" w14:textId="77777777" w:rsidTr="004136D1">
        <w:trPr>
          <w:cantSplit/>
          <w:tblHeader/>
        </w:trPr>
        <w:tc>
          <w:tcPr>
            <w:tcW w:w="1100" w:type="pct"/>
            <w:shd w:val="clear" w:color="auto" w:fill="D9D9D9"/>
          </w:tcPr>
          <w:p w14:paraId="5CA4B2E7" w14:textId="4DC454BA" w:rsidR="00EC3002" w:rsidRPr="007834FB" w:rsidRDefault="004136D1" w:rsidP="004136D1">
            <w:pPr>
              <w:pStyle w:val="S8Gazettetableheading"/>
            </w:pPr>
            <w:r>
              <w:t>Product registration no.</w:t>
            </w:r>
          </w:p>
        </w:tc>
        <w:tc>
          <w:tcPr>
            <w:tcW w:w="3900" w:type="pct"/>
            <w:shd w:val="clear" w:color="auto" w:fill="FFFFFF"/>
          </w:tcPr>
          <w:p w14:paraId="35703457" w14:textId="30EC7DCD" w:rsidR="00EC3002" w:rsidRPr="008B6E36" w:rsidRDefault="004136D1" w:rsidP="004136D1">
            <w:pPr>
              <w:pStyle w:val="S8Gazettetabletext"/>
            </w:pPr>
            <w:r>
              <w:t>70109</w:t>
            </w:r>
          </w:p>
        </w:tc>
      </w:tr>
      <w:tr w:rsidR="00EC3002" w:rsidRPr="008B6E36" w14:paraId="13858F98" w14:textId="77777777" w:rsidTr="004136D1">
        <w:trPr>
          <w:cantSplit/>
          <w:tblHeader/>
        </w:trPr>
        <w:tc>
          <w:tcPr>
            <w:tcW w:w="1100" w:type="pct"/>
            <w:shd w:val="clear" w:color="auto" w:fill="D9D9D9"/>
          </w:tcPr>
          <w:p w14:paraId="61BFDD14" w14:textId="35598BB4" w:rsidR="00EC3002" w:rsidRPr="007834FB" w:rsidRDefault="004136D1" w:rsidP="004136D1">
            <w:pPr>
              <w:pStyle w:val="S8Gazettetableheading"/>
            </w:pPr>
            <w:r>
              <w:t>Label approval no.</w:t>
            </w:r>
          </w:p>
        </w:tc>
        <w:tc>
          <w:tcPr>
            <w:tcW w:w="3900" w:type="pct"/>
            <w:shd w:val="clear" w:color="auto" w:fill="FFFFFF"/>
          </w:tcPr>
          <w:p w14:paraId="189126AE" w14:textId="13768E02" w:rsidR="00EC3002" w:rsidRPr="008B6E36" w:rsidRDefault="004136D1" w:rsidP="004136D1">
            <w:pPr>
              <w:pStyle w:val="S8Gazettetabletext"/>
            </w:pPr>
            <w:r>
              <w:t>70109/145581</w:t>
            </w:r>
          </w:p>
        </w:tc>
      </w:tr>
      <w:tr w:rsidR="00EC3002" w:rsidRPr="008B6E36" w14:paraId="00BD5541" w14:textId="77777777" w:rsidTr="004136D1">
        <w:trPr>
          <w:cantSplit/>
          <w:tblHeader/>
        </w:trPr>
        <w:tc>
          <w:tcPr>
            <w:tcW w:w="1100" w:type="pct"/>
            <w:shd w:val="clear" w:color="auto" w:fill="D9D9D9"/>
          </w:tcPr>
          <w:p w14:paraId="05E27E68" w14:textId="1FA1C494"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D181A7F" w14:textId="280C0D16" w:rsidR="00EC3002" w:rsidRPr="008B6E36" w:rsidRDefault="004136D1" w:rsidP="004136D1">
            <w:pPr>
              <w:pStyle w:val="S8Gazettetabletext"/>
            </w:pPr>
            <w:r>
              <w:t>Variation to label approval to extend the claim for control to 12 months</w:t>
            </w:r>
          </w:p>
        </w:tc>
      </w:tr>
    </w:tbl>
    <w:p w14:paraId="7A7C4D4A"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46586D28" w14:textId="77777777" w:rsidTr="004136D1">
        <w:trPr>
          <w:cantSplit/>
        </w:trPr>
        <w:tc>
          <w:tcPr>
            <w:tcW w:w="1100" w:type="pct"/>
            <w:shd w:val="clear" w:color="auto" w:fill="D9D9D9"/>
          </w:tcPr>
          <w:p w14:paraId="0DAE164F" w14:textId="5FBFA13D" w:rsidR="00EC3002" w:rsidRPr="007834FB" w:rsidRDefault="004136D1" w:rsidP="004136D1">
            <w:pPr>
              <w:pStyle w:val="S8Gazettetableheading"/>
            </w:pPr>
            <w:r>
              <w:t>Application no.</w:t>
            </w:r>
          </w:p>
        </w:tc>
        <w:tc>
          <w:tcPr>
            <w:tcW w:w="3900" w:type="pct"/>
            <w:shd w:val="clear" w:color="auto" w:fill="FFFFFF"/>
          </w:tcPr>
          <w:p w14:paraId="6A9A8E77" w14:textId="7ED96098" w:rsidR="00EC3002" w:rsidRPr="008B6E36" w:rsidRDefault="004136D1" w:rsidP="004136D1">
            <w:pPr>
              <w:pStyle w:val="S8Gazettetabletext"/>
              <w:rPr>
                <w:noProof/>
              </w:rPr>
            </w:pPr>
            <w:r>
              <w:rPr>
                <w:noProof/>
              </w:rPr>
              <w:t>146557</w:t>
            </w:r>
          </w:p>
        </w:tc>
      </w:tr>
      <w:tr w:rsidR="00EC3002" w:rsidRPr="008B6E36" w14:paraId="562E416E" w14:textId="77777777" w:rsidTr="004136D1">
        <w:trPr>
          <w:cantSplit/>
        </w:trPr>
        <w:tc>
          <w:tcPr>
            <w:tcW w:w="1100" w:type="pct"/>
            <w:shd w:val="clear" w:color="auto" w:fill="D9D9D9"/>
          </w:tcPr>
          <w:p w14:paraId="49607005" w14:textId="7D3254F5" w:rsidR="00EC3002" w:rsidRPr="007834FB" w:rsidRDefault="004136D1" w:rsidP="004136D1">
            <w:pPr>
              <w:pStyle w:val="S8Gazettetableheading"/>
            </w:pPr>
            <w:r>
              <w:t>Product name</w:t>
            </w:r>
          </w:p>
        </w:tc>
        <w:tc>
          <w:tcPr>
            <w:tcW w:w="3900" w:type="pct"/>
            <w:shd w:val="clear" w:color="auto" w:fill="FFFFFF"/>
          </w:tcPr>
          <w:p w14:paraId="13B65D84" w14:textId="7E20EEA2" w:rsidR="00EC3002" w:rsidRPr="008B6E36" w:rsidRDefault="004136D1" w:rsidP="004136D1">
            <w:pPr>
              <w:pStyle w:val="S8Gazettetabletext"/>
            </w:pPr>
            <w:r>
              <w:t>Kingfisher Systemic Fungicide</w:t>
            </w:r>
          </w:p>
        </w:tc>
      </w:tr>
      <w:tr w:rsidR="00EC3002" w:rsidRPr="008B6E36" w14:paraId="3547F9A4" w14:textId="77777777" w:rsidTr="004136D1">
        <w:trPr>
          <w:cantSplit/>
        </w:trPr>
        <w:tc>
          <w:tcPr>
            <w:tcW w:w="1100" w:type="pct"/>
            <w:shd w:val="clear" w:color="auto" w:fill="D9D9D9"/>
          </w:tcPr>
          <w:p w14:paraId="479106CE" w14:textId="6BDF5ACC" w:rsidR="00EC3002" w:rsidRPr="007834FB" w:rsidRDefault="004136D1" w:rsidP="004136D1">
            <w:pPr>
              <w:pStyle w:val="S8Gazettetableheading"/>
            </w:pPr>
            <w:r>
              <w:t>Active constituent</w:t>
            </w:r>
          </w:p>
        </w:tc>
        <w:tc>
          <w:tcPr>
            <w:tcW w:w="3900" w:type="pct"/>
            <w:shd w:val="clear" w:color="auto" w:fill="FFFFFF"/>
          </w:tcPr>
          <w:p w14:paraId="21BEF19E" w14:textId="2B215429" w:rsidR="00EC3002" w:rsidRPr="008B6E36" w:rsidRDefault="004136D1" w:rsidP="004136D1">
            <w:pPr>
              <w:pStyle w:val="S8Gazettetabletext"/>
            </w:pPr>
            <w:r>
              <w:t>250 g/L difenoconazole</w:t>
            </w:r>
          </w:p>
        </w:tc>
      </w:tr>
      <w:tr w:rsidR="00EC3002" w:rsidRPr="008B6E36" w14:paraId="27D910D0" w14:textId="77777777" w:rsidTr="004136D1">
        <w:trPr>
          <w:cantSplit/>
        </w:trPr>
        <w:tc>
          <w:tcPr>
            <w:tcW w:w="1100" w:type="pct"/>
            <w:shd w:val="clear" w:color="auto" w:fill="D9D9D9"/>
          </w:tcPr>
          <w:p w14:paraId="2540C7BF" w14:textId="62D0678F" w:rsidR="00EC3002" w:rsidRPr="007834FB" w:rsidRDefault="004136D1" w:rsidP="004136D1">
            <w:pPr>
              <w:pStyle w:val="S8Gazettetableheading"/>
            </w:pPr>
            <w:r>
              <w:t>Applicant name</w:t>
            </w:r>
          </w:p>
        </w:tc>
        <w:tc>
          <w:tcPr>
            <w:tcW w:w="3900" w:type="pct"/>
            <w:shd w:val="clear" w:color="auto" w:fill="FFFFFF"/>
          </w:tcPr>
          <w:p w14:paraId="413BA295" w14:textId="5AD15EA7" w:rsidR="00EC3002" w:rsidRPr="008B6E36" w:rsidRDefault="004136D1" w:rsidP="004136D1">
            <w:pPr>
              <w:pStyle w:val="S8Gazettetabletext"/>
            </w:pPr>
            <w:proofErr w:type="spellStart"/>
            <w:r>
              <w:t>Grochem</w:t>
            </w:r>
            <w:proofErr w:type="spellEnd"/>
            <w:r>
              <w:t xml:space="preserve"> Australia Pty Ltd</w:t>
            </w:r>
          </w:p>
        </w:tc>
      </w:tr>
      <w:tr w:rsidR="00EC3002" w:rsidRPr="008B6E36" w14:paraId="62391B5E" w14:textId="77777777" w:rsidTr="004136D1">
        <w:trPr>
          <w:cantSplit/>
        </w:trPr>
        <w:tc>
          <w:tcPr>
            <w:tcW w:w="1100" w:type="pct"/>
            <w:shd w:val="clear" w:color="auto" w:fill="D9D9D9"/>
          </w:tcPr>
          <w:p w14:paraId="4D66B781" w14:textId="1C4CDF7C" w:rsidR="00EC3002" w:rsidRPr="007834FB" w:rsidRDefault="004136D1" w:rsidP="004136D1">
            <w:pPr>
              <w:pStyle w:val="S8Gazettetableheading"/>
            </w:pPr>
            <w:r>
              <w:t>Applicant ACN</w:t>
            </w:r>
          </w:p>
        </w:tc>
        <w:tc>
          <w:tcPr>
            <w:tcW w:w="3900" w:type="pct"/>
            <w:shd w:val="clear" w:color="auto" w:fill="FFFFFF"/>
          </w:tcPr>
          <w:p w14:paraId="789AB5B0" w14:textId="7568571F" w:rsidR="00EC3002" w:rsidRPr="008B6E36" w:rsidRDefault="004136D1" w:rsidP="004136D1">
            <w:pPr>
              <w:pStyle w:val="S8Gazettetabletext"/>
            </w:pPr>
            <w:r>
              <w:t>169 400 033</w:t>
            </w:r>
          </w:p>
        </w:tc>
      </w:tr>
      <w:tr w:rsidR="00EC3002" w:rsidRPr="008B6E36" w14:paraId="4273B579" w14:textId="77777777" w:rsidTr="004136D1">
        <w:trPr>
          <w:cantSplit/>
        </w:trPr>
        <w:tc>
          <w:tcPr>
            <w:tcW w:w="1100" w:type="pct"/>
            <w:shd w:val="clear" w:color="auto" w:fill="D9D9D9"/>
          </w:tcPr>
          <w:p w14:paraId="43DBDDDC" w14:textId="3029DB99" w:rsidR="00EC3002" w:rsidRPr="007834FB" w:rsidRDefault="004136D1" w:rsidP="004136D1">
            <w:pPr>
              <w:pStyle w:val="S8Gazettetableheading"/>
            </w:pPr>
            <w:r>
              <w:t>Date of variation</w:t>
            </w:r>
          </w:p>
        </w:tc>
        <w:tc>
          <w:tcPr>
            <w:tcW w:w="3900" w:type="pct"/>
            <w:shd w:val="clear" w:color="auto" w:fill="FFFFFF"/>
          </w:tcPr>
          <w:p w14:paraId="64DB0C4C" w14:textId="619171A8" w:rsidR="00EC3002" w:rsidRPr="008B6E36" w:rsidRDefault="004136D1" w:rsidP="004136D1">
            <w:pPr>
              <w:pStyle w:val="S8Gazettetabletext"/>
            </w:pPr>
            <w:r>
              <w:t>7 August 2025</w:t>
            </w:r>
          </w:p>
        </w:tc>
      </w:tr>
      <w:tr w:rsidR="00EC3002" w:rsidRPr="008B6E36" w14:paraId="21973EC2" w14:textId="77777777" w:rsidTr="004136D1">
        <w:trPr>
          <w:cantSplit/>
        </w:trPr>
        <w:tc>
          <w:tcPr>
            <w:tcW w:w="1100" w:type="pct"/>
            <w:shd w:val="clear" w:color="auto" w:fill="D9D9D9"/>
          </w:tcPr>
          <w:p w14:paraId="6C05B214" w14:textId="6ABFDE4E" w:rsidR="00EC3002" w:rsidRPr="007834FB" w:rsidRDefault="004136D1" w:rsidP="004136D1">
            <w:pPr>
              <w:pStyle w:val="S8Gazettetableheading"/>
            </w:pPr>
            <w:r>
              <w:t>Product registration no.</w:t>
            </w:r>
          </w:p>
        </w:tc>
        <w:tc>
          <w:tcPr>
            <w:tcW w:w="3900" w:type="pct"/>
            <w:shd w:val="clear" w:color="auto" w:fill="FFFFFF"/>
          </w:tcPr>
          <w:p w14:paraId="318DA247" w14:textId="3671618E" w:rsidR="00EC3002" w:rsidRPr="008B6E36" w:rsidRDefault="004136D1" w:rsidP="004136D1">
            <w:pPr>
              <w:pStyle w:val="S8Gazettetabletext"/>
            </w:pPr>
            <w:r>
              <w:t>84390</w:t>
            </w:r>
          </w:p>
        </w:tc>
      </w:tr>
      <w:tr w:rsidR="00EC3002" w:rsidRPr="008B6E36" w14:paraId="46267E72" w14:textId="77777777" w:rsidTr="004136D1">
        <w:trPr>
          <w:cantSplit/>
        </w:trPr>
        <w:tc>
          <w:tcPr>
            <w:tcW w:w="1100" w:type="pct"/>
            <w:shd w:val="clear" w:color="auto" w:fill="D9D9D9"/>
          </w:tcPr>
          <w:p w14:paraId="424F5E76" w14:textId="5AA3A66A" w:rsidR="00EC3002" w:rsidRPr="007834FB" w:rsidRDefault="004136D1" w:rsidP="004136D1">
            <w:pPr>
              <w:pStyle w:val="S8Gazettetableheading"/>
            </w:pPr>
            <w:r>
              <w:t>Label approval no.</w:t>
            </w:r>
          </w:p>
        </w:tc>
        <w:tc>
          <w:tcPr>
            <w:tcW w:w="3900" w:type="pct"/>
            <w:shd w:val="clear" w:color="auto" w:fill="FFFFFF"/>
          </w:tcPr>
          <w:p w14:paraId="79E7A15E" w14:textId="102FD67B" w:rsidR="00EC3002" w:rsidRPr="008B6E36" w:rsidRDefault="004136D1" w:rsidP="004136D1">
            <w:pPr>
              <w:pStyle w:val="S8Gazettetabletext"/>
            </w:pPr>
            <w:r>
              <w:t>84390/146557</w:t>
            </w:r>
          </w:p>
        </w:tc>
      </w:tr>
      <w:tr w:rsidR="00EC3002" w:rsidRPr="008B6E36" w14:paraId="6B0F03C9" w14:textId="77777777" w:rsidTr="004136D1">
        <w:trPr>
          <w:cantSplit/>
        </w:trPr>
        <w:tc>
          <w:tcPr>
            <w:tcW w:w="1100" w:type="pct"/>
            <w:shd w:val="clear" w:color="auto" w:fill="D9D9D9"/>
          </w:tcPr>
          <w:p w14:paraId="4DCDB973" w14:textId="43A545F5"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850490A" w14:textId="5B137322" w:rsidR="00EC3002" w:rsidRPr="008B6E36" w:rsidRDefault="004136D1" w:rsidP="004136D1">
            <w:pPr>
              <w:pStyle w:val="S8Gazettetabletext"/>
            </w:pPr>
            <w:r>
              <w:t>Variation of product registration and the label approval to add uses to control of powdery mildew in grapes, and pack size variation to 5</w:t>
            </w:r>
            <w:r w:rsidR="00600416">
              <w:t xml:space="preserve"> </w:t>
            </w:r>
            <w:r>
              <w:t>L</w:t>
            </w:r>
            <w:r w:rsidR="00600416">
              <w:t>–</w:t>
            </w:r>
            <w:r>
              <w:t>1000</w:t>
            </w:r>
            <w:r w:rsidR="00600416">
              <w:t xml:space="preserve"> </w:t>
            </w:r>
            <w:r>
              <w:t>L</w:t>
            </w:r>
          </w:p>
        </w:tc>
      </w:tr>
    </w:tbl>
    <w:p w14:paraId="3A11193A"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4B7D943E" w14:textId="77777777" w:rsidTr="004136D1">
        <w:trPr>
          <w:cantSplit/>
        </w:trPr>
        <w:tc>
          <w:tcPr>
            <w:tcW w:w="1100" w:type="pct"/>
            <w:shd w:val="clear" w:color="auto" w:fill="D9D9D9"/>
          </w:tcPr>
          <w:p w14:paraId="3D018C6E" w14:textId="70257D18" w:rsidR="00EC3002" w:rsidRPr="007834FB" w:rsidRDefault="004136D1" w:rsidP="004136D1">
            <w:pPr>
              <w:pStyle w:val="S8Gazettetableheading"/>
            </w:pPr>
            <w:r>
              <w:t>Application no.</w:t>
            </w:r>
          </w:p>
        </w:tc>
        <w:tc>
          <w:tcPr>
            <w:tcW w:w="3900" w:type="pct"/>
            <w:shd w:val="clear" w:color="auto" w:fill="FFFFFF"/>
          </w:tcPr>
          <w:p w14:paraId="7F7520F0" w14:textId="60E7B5DD" w:rsidR="00EC3002" w:rsidRPr="008B6E36" w:rsidRDefault="004136D1" w:rsidP="004136D1">
            <w:pPr>
              <w:pStyle w:val="S8Gazettetabletext"/>
              <w:rPr>
                <w:noProof/>
              </w:rPr>
            </w:pPr>
            <w:r>
              <w:rPr>
                <w:noProof/>
              </w:rPr>
              <w:t>145705</w:t>
            </w:r>
          </w:p>
        </w:tc>
      </w:tr>
      <w:tr w:rsidR="00EC3002" w:rsidRPr="008B6E36" w14:paraId="491491ED" w14:textId="77777777" w:rsidTr="004136D1">
        <w:trPr>
          <w:cantSplit/>
        </w:trPr>
        <w:tc>
          <w:tcPr>
            <w:tcW w:w="1100" w:type="pct"/>
            <w:shd w:val="clear" w:color="auto" w:fill="D9D9D9"/>
          </w:tcPr>
          <w:p w14:paraId="2BACEE82" w14:textId="0244CE38" w:rsidR="00EC3002" w:rsidRPr="007834FB" w:rsidRDefault="004136D1" w:rsidP="004136D1">
            <w:pPr>
              <w:pStyle w:val="S8Gazettetableheading"/>
            </w:pPr>
            <w:r>
              <w:t>Product name</w:t>
            </w:r>
          </w:p>
        </w:tc>
        <w:tc>
          <w:tcPr>
            <w:tcW w:w="3900" w:type="pct"/>
            <w:shd w:val="clear" w:color="auto" w:fill="FFFFFF"/>
          </w:tcPr>
          <w:p w14:paraId="2446BEDB" w14:textId="597541CC" w:rsidR="00EC3002" w:rsidRPr="008B6E36" w:rsidRDefault="004136D1" w:rsidP="004136D1">
            <w:pPr>
              <w:pStyle w:val="S8Gazettetabletext"/>
            </w:pPr>
            <w:r>
              <w:t xml:space="preserve">Titan </w:t>
            </w:r>
            <w:proofErr w:type="spellStart"/>
            <w:r>
              <w:t>Glufosinate</w:t>
            </w:r>
            <w:proofErr w:type="spellEnd"/>
            <w:r>
              <w:t xml:space="preserve"> 200 Herbicide</w:t>
            </w:r>
          </w:p>
        </w:tc>
      </w:tr>
      <w:tr w:rsidR="00EC3002" w:rsidRPr="008B6E36" w14:paraId="040ACD6F" w14:textId="77777777" w:rsidTr="004136D1">
        <w:trPr>
          <w:cantSplit/>
        </w:trPr>
        <w:tc>
          <w:tcPr>
            <w:tcW w:w="1100" w:type="pct"/>
            <w:shd w:val="clear" w:color="auto" w:fill="D9D9D9"/>
          </w:tcPr>
          <w:p w14:paraId="352F1E0B" w14:textId="3C783AD3" w:rsidR="00EC3002" w:rsidRPr="007834FB" w:rsidRDefault="004136D1" w:rsidP="004136D1">
            <w:pPr>
              <w:pStyle w:val="S8Gazettetableheading"/>
            </w:pPr>
            <w:r>
              <w:t>Active constituent</w:t>
            </w:r>
          </w:p>
        </w:tc>
        <w:tc>
          <w:tcPr>
            <w:tcW w:w="3900" w:type="pct"/>
            <w:shd w:val="clear" w:color="auto" w:fill="FFFFFF"/>
          </w:tcPr>
          <w:p w14:paraId="6BA069E1" w14:textId="1651F7D5" w:rsidR="00EC3002" w:rsidRPr="008B6E36" w:rsidRDefault="004136D1" w:rsidP="004136D1">
            <w:pPr>
              <w:pStyle w:val="S8Gazettetabletext"/>
            </w:pPr>
            <w:r>
              <w:t xml:space="preserve">200 g/L </w:t>
            </w:r>
            <w:proofErr w:type="spellStart"/>
            <w:r>
              <w:t>glufosinate</w:t>
            </w:r>
            <w:proofErr w:type="spellEnd"/>
            <w:r>
              <w:t>-ammonium</w:t>
            </w:r>
          </w:p>
        </w:tc>
      </w:tr>
      <w:tr w:rsidR="00EC3002" w:rsidRPr="008B6E36" w14:paraId="22EDFA56" w14:textId="77777777" w:rsidTr="004136D1">
        <w:trPr>
          <w:cantSplit/>
        </w:trPr>
        <w:tc>
          <w:tcPr>
            <w:tcW w:w="1100" w:type="pct"/>
            <w:shd w:val="clear" w:color="auto" w:fill="D9D9D9"/>
          </w:tcPr>
          <w:p w14:paraId="2D77D5FF" w14:textId="6DBDAA85" w:rsidR="00EC3002" w:rsidRPr="007834FB" w:rsidRDefault="004136D1" w:rsidP="004136D1">
            <w:pPr>
              <w:pStyle w:val="S8Gazettetableheading"/>
            </w:pPr>
            <w:r>
              <w:t>Applicant name</w:t>
            </w:r>
          </w:p>
        </w:tc>
        <w:tc>
          <w:tcPr>
            <w:tcW w:w="3900" w:type="pct"/>
            <w:shd w:val="clear" w:color="auto" w:fill="FFFFFF"/>
          </w:tcPr>
          <w:p w14:paraId="695953BA" w14:textId="5D8D4A72" w:rsidR="00EC3002" w:rsidRPr="008B6E36" w:rsidRDefault="004136D1" w:rsidP="004136D1">
            <w:pPr>
              <w:pStyle w:val="S8Gazettetabletext"/>
            </w:pPr>
            <w:r>
              <w:t>Titan Ag Pty Ltd</w:t>
            </w:r>
          </w:p>
        </w:tc>
      </w:tr>
      <w:tr w:rsidR="00EC3002" w:rsidRPr="008B6E36" w14:paraId="33D40BCF" w14:textId="77777777" w:rsidTr="004136D1">
        <w:trPr>
          <w:cantSplit/>
        </w:trPr>
        <w:tc>
          <w:tcPr>
            <w:tcW w:w="1100" w:type="pct"/>
            <w:shd w:val="clear" w:color="auto" w:fill="D9D9D9"/>
          </w:tcPr>
          <w:p w14:paraId="1EA98112" w14:textId="607D16B9" w:rsidR="00EC3002" w:rsidRPr="007834FB" w:rsidRDefault="004136D1" w:rsidP="004136D1">
            <w:pPr>
              <w:pStyle w:val="S8Gazettetableheading"/>
            </w:pPr>
            <w:r>
              <w:t>Applicant ACN</w:t>
            </w:r>
          </w:p>
        </w:tc>
        <w:tc>
          <w:tcPr>
            <w:tcW w:w="3900" w:type="pct"/>
            <w:shd w:val="clear" w:color="auto" w:fill="FFFFFF"/>
          </w:tcPr>
          <w:p w14:paraId="67C9627C" w14:textId="06319298" w:rsidR="00EC3002" w:rsidRPr="008B6E36" w:rsidRDefault="004136D1" w:rsidP="004136D1">
            <w:pPr>
              <w:pStyle w:val="S8Gazettetabletext"/>
            </w:pPr>
            <w:r>
              <w:t>122 081 574</w:t>
            </w:r>
          </w:p>
        </w:tc>
      </w:tr>
      <w:tr w:rsidR="00EC3002" w:rsidRPr="008B6E36" w14:paraId="77FBF7F0" w14:textId="77777777" w:rsidTr="004136D1">
        <w:trPr>
          <w:cantSplit/>
        </w:trPr>
        <w:tc>
          <w:tcPr>
            <w:tcW w:w="1100" w:type="pct"/>
            <w:shd w:val="clear" w:color="auto" w:fill="D9D9D9"/>
          </w:tcPr>
          <w:p w14:paraId="68D5D917" w14:textId="1D0DA729" w:rsidR="00EC3002" w:rsidRPr="007834FB" w:rsidRDefault="004136D1" w:rsidP="004136D1">
            <w:pPr>
              <w:pStyle w:val="S8Gazettetableheading"/>
            </w:pPr>
            <w:r>
              <w:t>Date of variation</w:t>
            </w:r>
          </w:p>
        </w:tc>
        <w:tc>
          <w:tcPr>
            <w:tcW w:w="3900" w:type="pct"/>
            <w:shd w:val="clear" w:color="auto" w:fill="FFFFFF"/>
          </w:tcPr>
          <w:p w14:paraId="6EF63FD6" w14:textId="3BA7726F" w:rsidR="00EC3002" w:rsidRPr="008B6E36" w:rsidRDefault="004136D1" w:rsidP="004136D1">
            <w:pPr>
              <w:pStyle w:val="S8Gazettetabletext"/>
            </w:pPr>
            <w:r>
              <w:t>7 August 2025</w:t>
            </w:r>
          </w:p>
        </w:tc>
      </w:tr>
      <w:tr w:rsidR="00EC3002" w:rsidRPr="008B6E36" w14:paraId="3321E633" w14:textId="77777777" w:rsidTr="004136D1">
        <w:trPr>
          <w:cantSplit/>
        </w:trPr>
        <w:tc>
          <w:tcPr>
            <w:tcW w:w="1100" w:type="pct"/>
            <w:shd w:val="clear" w:color="auto" w:fill="D9D9D9"/>
          </w:tcPr>
          <w:p w14:paraId="1863B47E" w14:textId="557271DB" w:rsidR="00EC3002" w:rsidRPr="007834FB" w:rsidRDefault="004136D1" w:rsidP="004136D1">
            <w:pPr>
              <w:pStyle w:val="S8Gazettetableheading"/>
            </w:pPr>
            <w:r>
              <w:t>Product registration no.</w:t>
            </w:r>
          </w:p>
        </w:tc>
        <w:tc>
          <w:tcPr>
            <w:tcW w:w="3900" w:type="pct"/>
            <w:shd w:val="clear" w:color="auto" w:fill="FFFFFF"/>
          </w:tcPr>
          <w:p w14:paraId="440FF474" w14:textId="27373D64" w:rsidR="00EC3002" w:rsidRPr="008B6E36" w:rsidRDefault="004136D1" w:rsidP="004136D1">
            <w:pPr>
              <w:pStyle w:val="S8Gazettetabletext"/>
            </w:pPr>
            <w:r>
              <w:t>66364</w:t>
            </w:r>
          </w:p>
        </w:tc>
      </w:tr>
      <w:tr w:rsidR="00EC3002" w:rsidRPr="008B6E36" w14:paraId="3E71B455" w14:textId="77777777" w:rsidTr="004136D1">
        <w:trPr>
          <w:cantSplit/>
        </w:trPr>
        <w:tc>
          <w:tcPr>
            <w:tcW w:w="1100" w:type="pct"/>
            <w:shd w:val="clear" w:color="auto" w:fill="D9D9D9"/>
          </w:tcPr>
          <w:p w14:paraId="3689071F" w14:textId="2720370D" w:rsidR="00EC3002" w:rsidRPr="007834FB" w:rsidRDefault="004136D1" w:rsidP="004136D1">
            <w:pPr>
              <w:pStyle w:val="S8Gazettetableheading"/>
            </w:pPr>
            <w:r>
              <w:t>Label approval no.</w:t>
            </w:r>
          </w:p>
        </w:tc>
        <w:tc>
          <w:tcPr>
            <w:tcW w:w="3900" w:type="pct"/>
            <w:shd w:val="clear" w:color="auto" w:fill="FFFFFF"/>
          </w:tcPr>
          <w:p w14:paraId="41E30CE0" w14:textId="28BCB300" w:rsidR="00EC3002" w:rsidRPr="008B6E36" w:rsidRDefault="004136D1" w:rsidP="004136D1">
            <w:pPr>
              <w:pStyle w:val="S8Gazettetabletext"/>
            </w:pPr>
            <w:r>
              <w:t>66364/145705</w:t>
            </w:r>
          </w:p>
        </w:tc>
      </w:tr>
      <w:tr w:rsidR="00EC3002" w:rsidRPr="008B6E36" w14:paraId="793F2493" w14:textId="77777777" w:rsidTr="004136D1">
        <w:trPr>
          <w:cantSplit/>
        </w:trPr>
        <w:tc>
          <w:tcPr>
            <w:tcW w:w="1100" w:type="pct"/>
            <w:shd w:val="clear" w:color="auto" w:fill="D9D9D9"/>
          </w:tcPr>
          <w:p w14:paraId="2B1FFB3E" w14:textId="2BFF3C16"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04F6559D" w14:textId="12EFB8ED" w:rsidR="00EC3002" w:rsidRPr="008B6E36" w:rsidRDefault="004136D1" w:rsidP="004136D1">
            <w:pPr>
              <w:pStyle w:val="S8Gazettetabletext"/>
            </w:pPr>
            <w:r>
              <w:t xml:space="preserve">Variation to registration particulars, particulars of label, to add over the top use in </w:t>
            </w:r>
            <w:proofErr w:type="spellStart"/>
            <w:r>
              <w:t>XtendFlex</w:t>
            </w:r>
            <w:proofErr w:type="spellEnd"/>
            <w:r>
              <w:t xml:space="preserve"> cotton for control of a variety of annual broadleaf and grass weeds</w:t>
            </w:r>
          </w:p>
        </w:tc>
      </w:tr>
    </w:tbl>
    <w:p w14:paraId="066B129E" w14:textId="6B9DEB1E"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0B17AF31" w14:textId="77777777" w:rsidTr="004136D1">
        <w:trPr>
          <w:cantSplit/>
          <w:tblHeader/>
        </w:trPr>
        <w:tc>
          <w:tcPr>
            <w:tcW w:w="1100" w:type="pct"/>
            <w:shd w:val="clear" w:color="auto" w:fill="D9D9D9"/>
          </w:tcPr>
          <w:p w14:paraId="54B5EA93" w14:textId="46DA3550" w:rsidR="00EC3002" w:rsidRPr="007834FB" w:rsidRDefault="004136D1" w:rsidP="004136D1">
            <w:pPr>
              <w:pStyle w:val="S8Gazettetableheading"/>
            </w:pPr>
            <w:r>
              <w:lastRenderedPageBreak/>
              <w:t>Application no.</w:t>
            </w:r>
          </w:p>
        </w:tc>
        <w:tc>
          <w:tcPr>
            <w:tcW w:w="3900" w:type="pct"/>
            <w:shd w:val="clear" w:color="auto" w:fill="FFFFFF"/>
          </w:tcPr>
          <w:p w14:paraId="61F4E590" w14:textId="68E68528" w:rsidR="00EC3002" w:rsidRPr="008B6E36" w:rsidRDefault="004136D1" w:rsidP="004136D1">
            <w:pPr>
              <w:pStyle w:val="S8Gazettetabletext"/>
              <w:rPr>
                <w:noProof/>
              </w:rPr>
            </w:pPr>
            <w:r>
              <w:rPr>
                <w:noProof/>
              </w:rPr>
              <w:t>145064</w:t>
            </w:r>
          </w:p>
        </w:tc>
      </w:tr>
      <w:tr w:rsidR="00EC3002" w:rsidRPr="008B6E36" w14:paraId="44E9DAC1" w14:textId="77777777" w:rsidTr="004136D1">
        <w:trPr>
          <w:cantSplit/>
          <w:tblHeader/>
        </w:trPr>
        <w:tc>
          <w:tcPr>
            <w:tcW w:w="1100" w:type="pct"/>
            <w:shd w:val="clear" w:color="auto" w:fill="D9D9D9"/>
          </w:tcPr>
          <w:p w14:paraId="26A8912A" w14:textId="07F053A2" w:rsidR="00EC3002" w:rsidRPr="007834FB" w:rsidRDefault="004136D1" w:rsidP="004136D1">
            <w:pPr>
              <w:pStyle w:val="S8Gazettetableheading"/>
            </w:pPr>
            <w:r>
              <w:t>Product name</w:t>
            </w:r>
          </w:p>
        </w:tc>
        <w:tc>
          <w:tcPr>
            <w:tcW w:w="3900" w:type="pct"/>
            <w:shd w:val="clear" w:color="auto" w:fill="FFFFFF"/>
          </w:tcPr>
          <w:p w14:paraId="2BD5D219" w14:textId="095A73AD" w:rsidR="00EC3002" w:rsidRPr="008B6E36" w:rsidRDefault="004136D1" w:rsidP="004136D1">
            <w:pPr>
              <w:pStyle w:val="S8Gazettetabletext"/>
            </w:pPr>
            <w:proofErr w:type="spellStart"/>
            <w:r>
              <w:t>Clama</w:t>
            </w:r>
            <w:proofErr w:type="spellEnd"/>
            <w:r>
              <w:t xml:space="preserve"> 50SC Insecticide</w:t>
            </w:r>
          </w:p>
        </w:tc>
      </w:tr>
      <w:tr w:rsidR="00EC3002" w:rsidRPr="008B6E36" w14:paraId="190CE41C" w14:textId="77777777" w:rsidTr="004136D1">
        <w:trPr>
          <w:cantSplit/>
          <w:tblHeader/>
        </w:trPr>
        <w:tc>
          <w:tcPr>
            <w:tcW w:w="1100" w:type="pct"/>
            <w:shd w:val="clear" w:color="auto" w:fill="D9D9D9"/>
          </w:tcPr>
          <w:p w14:paraId="5A79F780" w14:textId="1FE96B89" w:rsidR="00EC3002" w:rsidRPr="007834FB" w:rsidRDefault="004136D1" w:rsidP="004136D1">
            <w:pPr>
              <w:pStyle w:val="S8Gazettetableheading"/>
            </w:pPr>
            <w:r>
              <w:t>Active constituent</w:t>
            </w:r>
          </w:p>
        </w:tc>
        <w:tc>
          <w:tcPr>
            <w:tcW w:w="3900" w:type="pct"/>
            <w:shd w:val="clear" w:color="auto" w:fill="FFFFFF"/>
          </w:tcPr>
          <w:p w14:paraId="1418DE17" w14:textId="1BB03A40" w:rsidR="00EC3002" w:rsidRPr="008B6E36" w:rsidRDefault="004136D1" w:rsidP="004136D1">
            <w:pPr>
              <w:pStyle w:val="S8Gazettetabletext"/>
            </w:pPr>
            <w:r>
              <w:t xml:space="preserve">50 g/L </w:t>
            </w:r>
            <w:proofErr w:type="spellStart"/>
            <w:r>
              <w:t>emamectin</w:t>
            </w:r>
            <w:proofErr w:type="spellEnd"/>
            <w:r>
              <w:t xml:space="preserve"> present as </w:t>
            </w:r>
            <w:proofErr w:type="spellStart"/>
            <w:r>
              <w:t>emamectin</w:t>
            </w:r>
            <w:proofErr w:type="spellEnd"/>
            <w:r>
              <w:t xml:space="preserve"> benzoate</w:t>
            </w:r>
          </w:p>
        </w:tc>
      </w:tr>
      <w:tr w:rsidR="00EC3002" w:rsidRPr="008B6E36" w14:paraId="7BD02074" w14:textId="77777777" w:rsidTr="004136D1">
        <w:trPr>
          <w:cantSplit/>
          <w:tblHeader/>
        </w:trPr>
        <w:tc>
          <w:tcPr>
            <w:tcW w:w="1100" w:type="pct"/>
            <w:shd w:val="clear" w:color="auto" w:fill="D9D9D9"/>
          </w:tcPr>
          <w:p w14:paraId="1E97D227" w14:textId="63892DE8" w:rsidR="00EC3002" w:rsidRPr="007834FB" w:rsidRDefault="004136D1" w:rsidP="004136D1">
            <w:pPr>
              <w:pStyle w:val="S8Gazettetableheading"/>
            </w:pPr>
            <w:r>
              <w:t>Applicant name</w:t>
            </w:r>
          </w:p>
        </w:tc>
        <w:tc>
          <w:tcPr>
            <w:tcW w:w="3900" w:type="pct"/>
            <w:shd w:val="clear" w:color="auto" w:fill="FFFFFF"/>
          </w:tcPr>
          <w:p w14:paraId="4165DCB0" w14:textId="109C0573" w:rsidR="00EC3002" w:rsidRPr="008B6E36" w:rsidRDefault="004136D1" w:rsidP="004136D1">
            <w:pPr>
              <w:pStyle w:val="S8Gazettetabletext"/>
            </w:pPr>
            <w:r>
              <w:t>ADAMA New Zealand Ltd</w:t>
            </w:r>
          </w:p>
        </w:tc>
      </w:tr>
      <w:tr w:rsidR="00EC3002" w:rsidRPr="008B6E36" w14:paraId="6B9F1209" w14:textId="77777777" w:rsidTr="004136D1">
        <w:trPr>
          <w:cantSplit/>
          <w:tblHeader/>
        </w:trPr>
        <w:tc>
          <w:tcPr>
            <w:tcW w:w="1100" w:type="pct"/>
            <w:shd w:val="clear" w:color="auto" w:fill="D9D9D9"/>
          </w:tcPr>
          <w:p w14:paraId="7A79FE25" w14:textId="5BD50CF5" w:rsidR="00EC3002" w:rsidRPr="007834FB" w:rsidRDefault="004136D1" w:rsidP="004136D1">
            <w:pPr>
              <w:pStyle w:val="S8Gazettetableheading"/>
            </w:pPr>
            <w:r>
              <w:t>Applicant ACN</w:t>
            </w:r>
          </w:p>
        </w:tc>
        <w:tc>
          <w:tcPr>
            <w:tcW w:w="3900" w:type="pct"/>
            <w:shd w:val="clear" w:color="auto" w:fill="FFFFFF"/>
          </w:tcPr>
          <w:p w14:paraId="3517C2F5" w14:textId="30016885" w:rsidR="00EC3002" w:rsidRPr="008B6E36" w:rsidRDefault="004136D1" w:rsidP="004136D1">
            <w:pPr>
              <w:pStyle w:val="S8Gazettetabletext"/>
            </w:pPr>
            <w:r>
              <w:t>N/A</w:t>
            </w:r>
          </w:p>
        </w:tc>
      </w:tr>
      <w:tr w:rsidR="00EC3002" w:rsidRPr="008B6E36" w14:paraId="7D6D0506" w14:textId="77777777" w:rsidTr="004136D1">
        <w:trPr>
          <w:cantSplit/>
          <w:tblHeader/>
        </w:trPr>
        <w:tc>
          <w:tcPr>
            <w:tcW w:w="1100" w:type="pct"/>
            <w:shd w:val="clear" w:color="auto" w:fill="D9D9D9"/>
          </w:tcPr>
          <w:p w14:paraId="5083C5BA" w14:textId="26716180" w:rsidR="00EC3002" w:rsidRPr="007834FB" w:rsidRDefault="004136D1" w:rsidP="004136D1">
            <w:pPr>
              <w:pStyle w:val="S8Gazettetableheading"/>
            </w:pPr>
            <w:r>
              <w:t>Date of variation</w:t>
            </w:r>
          </w:p>
        </w:tc>
        <w:tc>
          <w:tcPr>
            <w:tcW w:w="3900" w:type="pct"/>
            <w:shd w:val="clear" w:color="auto" w:fill="FFFFFF"/>
          </w:tcPr>
          <w:p w14:paraId="6A453E1E" w14:textId="742B2A5A" w:rsidR="00EC3002" w:rsidRPr="008B6E36" w:rsidRDefault="004136D1" w:rsidP="004136D1">
            <w:pPr>
              <w:pStyle w:val="S8Gazettetabletext"/>
            </w:pPr>
            <w:r>
              <w:t>7 August 2025</w:t>
            </w:r>
          </w:p>
        </w:tc>
      </w:tr>
      <w:tr w:rsidR="00EC3002" w:rsidRPr="008B6E36" w14:paraId="5E6F34C6" w14:textId="77777777" w:rsidTr="004136D1">
        <w:trPr>
          <w:cantSplit/>
          <w:tblHeader/>
        </w:trPr>
        <w:tc>
          <w:tcPr>
            <w:tcW w:w="1100" w:type="pct"/>
            <w:shd w:val="clear" w:color="auto" w:fill="D9D9D9"/>
          </w:tcPr>
          <w:p w14:paraId="5A66A83F" w14:textId="49872D0C" w:rsidR="00EC3002" w:rsidRPr="007834FB" w:rsidRDefault="004136D1" w:rsidP="004136D1">
            <w:pPr>
              <w:pStyle w:val="S8Gazettetableheading"/>
            </w:pPr>
            <w:r>
              <w:t>Product registration no.</w:t>
            </w:r>
          </w:p>
        </w:tc>
        <w:tc>
          <w:tcPr>
            <w:tcW w:w="3900" w:type="pct"/>
            <w:shd w:val="clear" w:color="auto" w:fill="FFFFFF"/>
          </w:tcPr>
          <w:p w14:paraId="2F515679" w14:textId="35B10159" w:rsidR="00EC3002" w:rsidRPr="008B6E36" w:rsidRDefault="004136D1" w:rsidP="004136D1">
            <w:pPr>
              <w:pStyle w:val="S8Gazettetabletext"/>
            </w:pPr>
            <w:r>
              <w:t>89922</w:t>
            </w:r>
          </w:p>
        </w:tc>
      </w:tr>
      <w:tr w:rsidR="00EC3002" w:rsidRPr="008B6E36" w14:paraId="69ABBF26" w14:textId="77777777" w:rsidTr="004136D1">
        <w:trPr>
          <w:cantSplit/>
          <w:tblHeader/>
        </w:trPr>
        <w:tc>
          <w:tcPr>
            <w:tcW w:w="1100" w:type="pct"/>
            <w:shd w:val="clear" w:color="auto" w:fill="D9D9D9"/>
          </w:tcPr>
          <w:p w14:paraId="6B488172" w14:textId="6A0652D2" w:rsidR="00EC3002" w:rsidRPr="007834FB" w:rsidRDefault="004136D1" w:rsidP="004136D1">
            <w:pPr>
              <w:pStyle w:val="S8Gazettetableheading"/>
            </w:pPr>
            <w:r>
              <w:t>Label approval no.</w:t>
            </w:r>
          </w:p>
        </w:tc>
        <w:tc>
          <w:tcPr>
            <w:tcW w:w="3900" w:type="pct"/>
            <w:shd w:val="clear" w:color="auto" w:fill="FFFFFF"/>
          </w:tcPr>
          <w:p w14:paraId="579AD35F" w14:textId="283C341E" w:rsidR="00EC3002" w:rsidRPr="008B6E36" w:rsidRDefault="004136D1" w:rsidP="004136D1">
            <w:pPr>
              <w:pStyle w:val="S8Gazettetabletext"/>
            </w:pPr>
            <w:r>
              <w:t>89922/145064</w:t>
            </w:r>
          </w:p>
        </w:tc>
      </w:tr>
      <w:tr w:rsidR="00EC3002" w:rsidRPr="008B6E36" w14:paraId="2ACBC34D" w14:textId="77777777" w:rsidTr="004136D1">
        <w:trPr>
          <w:cantSplit/>
          <w:tblHeader/>
        </w:trPr>
        <w:tc>
          <w:tcPr>
            <w:tcW w:w="1100" w:type="pct"/>
            <w:shd w:val="clear" w:color="auto" w:fill="D9D9D9"/>
          </w:tcPr>
          <w:p w14:paraId="7CD0F443" w14:textId="540D4B6F"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773797E9" w14:textId="6C262C93" w:rsidR="00EC3002" w:rsidRPr="008B6E36" w:rsidRDefault="004136D1" w:rsidP="004136D1">
            <w:pPr>
              <w:pStyle w:val="S8Gazettetabletext"/>
            </w:pPr>
            <w:r>
              <w:t xml:space="preserve">Variation to the particulars of registration and label approval to add uses for Heliothis (Helicoverpa spp.), cluster caterpillar (Spodoptera </w:t>
            </w:r>
            <w:proofErr w:type="spellStart"/>
            <w:r>
              <w:t>litura</w:t>
            </w:r>
            <w:proofErr w:type="spellEnd"/>
            <w:r>
              <w:t>), loopers (</w:t>
            </w:r>
            <w:proofErr w:type="spellStart"/>
            <w:r>
              <w:t>Chrysodeixis</w:t>
            </w:r>
            <w:proofErr w:type="spellEnd"/>
            <w:r>
              <w:t xml:space="preserve"> spp.), cabbage centre grub (</w:t>
            </w:r>
            <w:proofErr w:type="spellStart"/>
            <w:r>
              <w:t>Hellula</w:t>
            </w:r>
            <w:proofErr w:type="spellEnd"/>
            <w:r>
              <w:t xml:space="preserve"> </w:t>
            </w:r>
            <w:proofErr w:type="spellStart"/>
            <w:r>
              <w:t>hydralis</w:t>
            </w:r>
            <w:proofErr w:type="spellEnd"/>
            <w:r>
              <w:t xml:space="preserve">) in brassica vegetables, cluster caterpillar (Spodoptera </w:t>
            </w:r>
            <w:proofErr w:type="spellStart"/>
            <w:r>
              <w:t>litura</w:t>
            </w:r>
            <w:proofErr w:type="spellEnd"/>
            <w:r>
              <w:t>) in lettuce, add new use patterns in root and tuber vegetables (except potatoes), leafy vegetables and brassica leafy vegetables (except lettuce), cucurbits, legume vegetables, and strawberries and extend crops groups</w:t>
            </w:r>
          </w:p>
        </w:tc>
      </w:tr>
    </w:tbl>
    <w:p w14:paraId="66102BF9"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8B6E36" w14:paraId="2EDAD984" w14:textId="77777777" w:rsidTr="004136D1">
        <w:trPr>
          <w:cantSplit/>
        </w:trPr>
        <w:tc>
          <w:tcPr>
            <w:tcW w:w="1100" w:type="pct"/>
            <w:shd w:val="clear" w:color="auto" w:fill="D9D9D9"/>
          </w:tcPr>
          <w:p w14:paraId="1573E8D8" w14:textId="47C0801E" w:rsidR="00EC3002" w:rsidRPr="007834FB" w:rsidRDefault="004136D1" w:rsidP="004136D1">
            <w:pPr>
              <w:pStyle w:val="S8Gazettetableheading"/>
            </w:pPr>
            <w:r>
              <w:t>Application no.</w:t>
            </w:r>
          </w:p>
        </w:tc>
        <w:tc>
          <w:tcPr>
            <w:tcW w:w="3900" w:type="pct"/>
            <w:shd w:val="clear" w:color="auto" w:fill="FFFFFF"/>
          </w:tcPr>
          <w:p w14:paraId="1AB863D6" w14:textId="75F735AD" w:rsidR="00EC3002" w:rsidRPr="008B6E36" w:rsidRDefault="004136D1" w:rsidP="004136D1">
            <w:pPr>
              <w:pStyle w:val="S8Gazettetabletext"/>
              <w:rPr>
                <w:noProof/>
              </w:rPr>
            </w:pPr>
            <w:r>
              <w:rPr>
                <w:noProof/>
              </w:rPr>
              <w:t>148177</w:t>
            </w:r>
          </w:p>
        </w:tc>
      </w:tr>
      <w:tr w:rsidR="00EC3002" w:rsidRPr="008B6E36" w14:paraId="6F3527F9" w14:textId="77777777" w:rsidTr="004136D1">
        <w:trPr>
          <w:cantSplit/>
        </w:trPr>
        <w:tc>
          <w:tcPr>
            <w:tcW w:w="1100" w:type="pct"/>
            <w:shd w:val="clear" w:color="auto" w:fill="D9D9D9"/>
          </w:tcPr>
          <w:p w14:paraId="1CD76F74" w14:textId="6BD9B79F" w:rsidR="00EC3002" w:rsidRPr="007834FB" w:rsidRDefault="004136D1" w:rsidP="004136D1">
            <w:pPr>
              <w:pStyle w:val="S8Gazettetableheading"/>
            </w:pPr>
            <w:r>
              <w:t>Product name</w:t>
            </w:r>
          </w:p>
        </w:tc>
        <w:tc>
          <w:tcPr>
            <w:tcW w:w="3900" w:type="pct"/>
            <w:shd w:val="clear" w:color="auto" w:fill="FFFFFF"/>
          </w:tcPr>
          <w:p w14:paraId="0FDB6818" w14:textId="60D39834" w:rsidR="00EC3002" w:rsidRPr="008B6E36" w:rsidRDefault="004136D1" w:rsidP="004136D1">
            <w:pPr>
              <w:pStyle w:val="S8Gazettetabletext"/>
            </w:pPr>
            <w:proofErr w:type="spellStart"/>
            <w:r>
              <w:t>Ensystex</w:t>
            </w:r>
            <w:proofErr w:type="spellEnd"/>
            <w:r>
              <w:t xml:space="preserve"> Requiem Termite Bait</w:t>
            </w:r>
          </w:p>
        </w:tc>
      </w:tr>
      <w:tr w:rsidR="00EC3002" w:rsidRPr="008B6E36" w14:paraId="5DEC25D9" w14:textId="77777777" w:rsidTr="004136D1">
        <w:trPr>
          <w:cantSplit/>
        </w:trPr>
        <w:tc>
          <w:tcPr>
            <w:tcW w:w="1100" w:type="pct"/>
            <w:shd w:val="clear" w:color="auto" w:fill="D9D9D9"/>
          </w:tcPr>
          <w:p w14:paraId="654B71B1" w14:textId="2AEFBA5A" w:rsidR="00EC3002" w:rsidRPr="007834FB" w:rsidRDefault="004136D1" w:rsidP="004136D1">
            <w:pPr>
              <w:pStyle w:val="S8Gazettetableheading"/>
            </w:pPr>
            <w:r>
              <w:t>Active constituent</w:t>
            </w:r>
          </w:p>
        </w:tc>
        <w:tc>
          <w:tcPr>
            <w:tcW w:w="3900" w:type="pct"/>
            <w:shd w:val="clear" w:color="auto" w:fill="FFFFFF"/>
          </w:tcPr>
          <w:p w14:paraId="1A55856B" w14:textId="536693EF" w:rsidR="00EC3002" w:rsidRPr="008B6E36" w:rsidRDefault="004136D1" w:rsidP="004136D1">
            <w:pPr>
              <w:pStyle w:val="S8Gazettetabletext"/>
            </w:pPr>
            <w:r>
              <w:t>1 g/kg chlorfluazuron</w:t>
            </w:r>
          </w:p>
        </w:tc>
      </w:tr>
      <w:tr w:rsidR="00EC3002" w:rsidRPr="008B6E36" w14:paraId="790C78A4" w14:textId="77777777" w:rsidTr="004136D1">
        <w:trPr>
          <w:cantSplit/>
        </w:trPr>
        <w:tc>
          <w:tcPr>
            <w:tcW w:w="1100" w:type="pct"/>
            <w:shd w:val="clear" w:color="auto" w:fill="D9D9D9"/>
          </w:tcPr>
          <w:p w14:paraId="4774D6B7" w14:textId="1A230148" w:rsidR="00EC3002" w:rsidRPr="007834FB" w:rsidRDefault="004136D1" w:rsidP="004136D1">
            <w:pPr>
              <w:pStyle w:val="S8Gazettetableheading"/>
            </w:pPr>
            <w:r>
              <w:t>Applicant name</w:t>
            </w:r>
          </w:p>
        </w:tc>
        <w:tc>
          <w:tcPr>
            <w:tcW w:w="3900" w:type="pct"/>
            <w:shd w:val="clear" w:color="auto" w:fill="FFFFFF"/>
          </w:tcPr>
          <w:p w14:paraId="685DFEFF" w14:textId="0FD27838" w:rsidR="00EC3002" w:rsidRPr="008B6E36" w:rsidRDefault="004136D1" w:rsidP="004136D1">
            <w:pPr>
              <w:pStyle w:val="S8Gazettetabletext"/>
            </w:pPr>
            <w:proofErr w:type="spellStart"/>
            <w:r>
              <w:t>Ensystex</w:t>
            </w:r>
            <w:proofErr w:type="spellEnd"/>
            <w:r>
              <w:t xml:space="preserve"> Australasia Pty Ltd</w:t>
            </w:r>
          </w:p>
        </w:tc>
      </w:tr>
      <w:tr w:rsidR="00EC3002" w:rsidRPr="008B6E36" w14:paraId="357CD843" w14:textId="77777777" w:rsidTr="004136D1">
        <w:trPr>
          <w:cantSplit/>
        </w:trPr>
        <w:tc>
          <w:tcPr>
            <w:tcW w:w="1100" w:type="pct"/>
            <w:shd w:val="clear" w:color="auto" w:fill="D9D9D9"/>
          </w:tcPr>
          <w:p w14:paraId="6E7D1D04" w14:textId="6B3FEFA3" w:rsidR="00EC3002" w:rsidRPr="007834FB" w:rsidRDefault="004136D1" w:rsidP="004136D1">
            <w:pPr>
              <w:pStyle w:val="S8Gazettetableheading"/>
            </w:pPr>
            <w:r>
              <w:t>Applicant ACN</w:t>
            </w:r>
          </w:p>
        </w:tc>
        <w:tc>
          <w:tcPr>
            <w:tcW w:w="3900" w:type="pct"/>
            <w:shd w:val="clear" w:color="auto" w:fill="FFFFFF"/>
          </w:tcPr>
          <w:p w14:paraId="50CF22F4" w14:textId="3F18FF96" w:rsidR="00EC3002" w:rsidRPr="008B6E36" w:rsidRDefault="004136D1" w:rsidP="004136D1">
            <w:pPr>
              <w:pStyle w:val="S8Gazettetabletext"/>
            </w:pPr>
            <w:r>
              <w:t>102 221 965</w:t>
            </w:r>
          </w:p>
        </w:tc>
      </w:tr>
      <w:tr w:rsidR="00EC3002" w:rsidRPr="008B6E36" w14:paraId="7730DF88" w14:textId="77777777" w:rsidTr="004136D1">
        <w:trPr>
          <w:cantSplit/>
        </w:trPr>
        <w:tc>
          <w:tcPr>
            <w:tcW w:w="1100" w:type="pct"/>
            <w:shd w:val="clear" w:color="auto" w:fill="D9D9D9"/>
          </w:tcPr>
          <w:p w14:paraId="11815237" w14:textId="764FDDC7" w:rsidR="00EC3002" w:rsidRPr="007834FB" w:rsidRDefault="004136D1" w:rsidP="004136D1">
            <w:pPr>
              <w:pStyle w:val="S8Gazettetableheading"/>
            </w:pPr>
            <w:r>
              <w:t>Date of variation</w:t>
            </w:r>
          </w:p>
        </w:tc>
        <w:tc>
          <w:tcPr>
            <w:tcW w:w="3900" w:type="pct"/>
            <w:shd w:val="clear" w:color="auto" w:fill="FFFFFF"/>
          </w:tcPr>
          <w:p w14:paraId="293BD396" w14:textId="13F0FAB7" w:rsidR="00EC3002" w:rsidRPr="008B6E36" w:rsidRDefault="004136D1" w:rsidP="004136D1">
            <w:pPr>
              <w:pStyle w:val="S8Gazettetabletext"/>
            </w:pPr>
            <w:r>
              <w:t>7 August 2025</w:t>
            </w:r>
          </w:p>
        </w:tc>
      </w:tr>
      <w:tr w:rsidR="00EC3002" w:rsidRPr="008B6E36" w14:paraId="49F630E8" w14:textId="77777777" w:rsidTr="004136D1">
        <w:trPr>
          <w:cantSplit/>
        </w:trPr>
        <w:tc>
          <w:tcPr>
            <w:tcW w:w="1100" w:type="pct"/>
            <w:shd w:val="clear" w:color="auto" w:fill="D9D9D9"/>
          </w:tcPr>
          <w:p w14:paraId="28FC4D88" w14:textId="05C3030F" w:rsidR="00EC3002" w:rsidRPr="007834FB" w:rsidRDefault="004136D1" w:rsidP="004136D1">
            <w:pPr>
              <w:pStyle w:val="S8Gazettetableheading"/>
            </w:pPr>
            <w:r>
              <w:t>Product registration no.</w:t>
            </w:r>
          </w:p>
        </w:tc>
        <w:tc>
          <w:tcPr>
            <w:tcW w:w="3900" w:type="pct"/>
            <w:shd w:val="clear" w:color="auto" w:fill="FFFFFF"/>
          </w:tcPr>
          <w:p w14:paraId="72372E40" w14:textId="611B7A95" w:rsidR="00EC3002" w:rsidRPr="008B6E36" w:rsidRDefault="004136D1" w:rsidP="004136D1">
            <w:pPr>
              <w:pStyle w:val="S8Gazettetabletext"/>
            </w:pPr>
            <w:r>
              <w:t>56580</w:t>
            </w:r>
          </w:p>
        </w:tc>
      </w:tr>
      <w:tr w:rsidR="00EC3002" w:rsidRPr="008B6E36" w14:paraId="6F14D564" w14:textId="77777777" w:rsidTr="004136D1">
        <w:trPr>
          <w:cantSplit/>
        </w:trPr>
        <w:tc>
          <w:tcPr>
            <w:tcW w:w="1100" w:type="pct"/>
            <w:shd w:val="clear" w:color="auto" w:fill="D9D9D9"/>
          </w:tcPr>
          <w:p w14:paraId="04BEFE3D" w14:textId="3FAD8359" w:rsidR="00EC3002" w:rsidRPr="007834FB" w:rsidRDefault="004136D1" w:rsidP="004136D1">
            <w:pPr>
              <w:pStyle w:val="S8Gazettetableheading"/>
            </w:pPr>
            <w:r>
              <w:t>Label approval no.</w:t>
            </w:r>
          </w:p>
        </w:tc>
        <w:tc>
          <w:tcPr>
            <w:tcW w:w="3900" w:type="pct"/>
            <w:shd w:val="clear" w:color="auto" w:fill="FFFFFF"/>
          </w:tcPr>
          <w:p w14:paraId="2E2C285A" w14:textId="2DEBA62C" w:rsidR="00EC3002" w:rsidRPr="008B6E36" w:rsidRDefault="004136D1" w:rsidP="004136D1">
            <w:pPr>
              <w:pStyle w:val="S8Gazettetabletext"/>
            </w:pPr>
            <w:r>
              <w:t>56580/148177</w:t>
            </w:r>
          </w:p>
        </w:tc>
      </w:tr>
      <w:tr w:rsidR="00EC3002" w:rsidRPr="008B6E36" w14:paraId="13FD638B" w14:textId="77777777" w:rsidTr="004136D1">
        <w:trPr>
          <w:cantSplit/>
        </w:trPr>
        <w:tc>
          <w:tcPr>
            <w:tcW w:w="1100" w:type="pct"/>
            <w:shd w:val="clear" w:color="auto" w:fill="D9D9D9"/>
          </w:tcPr>
          <w:p w14:paraId="0D4B4F39" w14:textId="355C55E9"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D2AF4C8" w14:textId="0E9A8EAB" w:rsidR="00EC3002" w:rsidRPr="008B6E36" w:rsidRDefault="004136D1" w:rsidP="004136D1">
            <w:pPr>
              <w:pStyle w:val="S8Gazettetabletext"/>
            </w:pPr>
            <w:r>
              <w:t>Variation of product registration and label approval to add new pack sizes and update label</w:t>
            </w:r>
          </w:p>
        </w:tc>
      </w:tr>
    </w:tbl>
    <w:p w14:paraId="34A64D51" w14:textId="77777777" w:rsidR="004136D1" w:rsidRDefault="004136D1" w:rsidP="00EC3002">
      <w:pPr>
        <w:pStyle w:val="GazetteHeading1"/>
        <w:sectPr w:rsidR="004136D1" w:rsidSect="00E212D6">
          <w:headerReference w:type="even" r:id="rId22"/>
          <w:headerReference w:type="default" r:id="rId23"/>
          <w:pgSz w:w="11906" w:h="16838"/>
          <w:pgMar w:top="1440" w:right="1134" w:bottom="1440" w:left="1134" w:header="680" w:footer="737" w:gutter="0"/>
          <w:pgNumType w:start="1"/>
          <w:cols w:space="708"/>
          <w:docGrid w:linePitch="360"/>
        </w:sectPr>
      </w:pPr>
    </w:p>
    <w:p w14:paraId="34A0EB2F" w14:textId="77777777" w:rsidR="00EC3002" w:rsidRDefault="00EC3002" w:rsidP="00EC3002">
      <w:pPr>
        <w:pStyle w:val="GazetteHeading1"/>
      </w:pPr>
      <w:bookmarkStart w:id="19" w:name="_Toc206168162"/>
      <w:r>
        <w:lastRenderedPageBreak/>
        <w:t>Veterinary chemical products and approved labels</w:t>
      </w:r>
      <w:bookmarkEnd w:id="19"/>
    </w:p>
    <w:p w14:paraId="1C6B4018" w14:textId="77777777" w:rsidR="00EC3002" w:rsidRPr="002C40E1" w:rsidRDefault="00EC3002" w:rsidP="00EC3002">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986A046" w14:textId="50A8CC94" w:rsidR="00EC3002" w:rsidRDefault="00EC3002" w:rsidP="00EC3002">
      <w:pPr>
        <w:pStyle w:val="Caption"/>
      </w:pPr>
      <w:r>
        <w:t xml:space="preserve">Table </w:t>
      </w:r>
      <w:r w:rsidR="004136D1">
        <w:fldChar w:fldCharType="begin"/>
      </w:r>
      <w:r w:rsidR="004136D1">
        <w:instrText xml:space="preserve"> SEQ Table \* ARABIC </w:instrText>
      </w:r>
      <w:r w:rsidR="004136D1">
        <w:fldChar w:fldCharType="separate"/>
      </w:r>
      <w:r w:rsidR="00365304">
        <w:rPr>
          <w:noProof/>
        </w:rPr>
        <w:t>3</w:t>
      </w:r>
      <w:r w:rsidR="004136D1">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EC3002" w:rsidRPr="007834FB" w14:paraId="0C6EFEEC" w14:textId="77777777" w:rsidTr="004136D1">
        <w:trPr>
          <w:cantSplit/>
        </w:trPr>
        <w:tc>
          <w:tcPr>
            <w:tcW w:w="1100" w:type="pct"/>
            <w:shd w:val="clear" w:color="auto" w:fill="D9D9D9"/>
          </w:tcPr>
          <w:p w14:paraId="1CBF892E" w14:textId="710A5A2F" w:rsidR="00EC3002" w:rsidRPr="007834FB" w:rsidRDefault="004136D1" w:rsidP="004136D1">
            <w:pPr>
              <w:pStyle w:val="S8Gazettetableheading"/>
            </w:pPr>
            <w:r>
              <w:t>Application no.</w:t>
            </w:r>
          </w:p>
        </w:tc>
        <w:tc>
          <w:tcPr>
            <w:tcW w:w="3900" w:type="pct"/>
            <w:shd w:val="clear" w:color="auto" w:fill="FFFFFF"/>
          </w:tcPr>
          <w:p w14:paraId="7AFE64D3" w14:textId="00D28ABF" w:rsidR="00EC3002" w:rsidRPr="007834FB" w:rsidRDefault="004136D1" w:rsidP="004136D1">
            <w:pPr>
              <w:pStyle w:val="S8Gazettetabletext"/>
              <w:rPr>
                <w:noProof/>
              </w:rPr>
            </w:pPr>
            <w:r>
              <w:t>146506</w:t>
            </w:r>
          </w:p>
        </w:tc>
      </w:tr>
      <w:tr w:rsidR="00EC3002" w:rsidRPr="007834FB" w14:paraId="43928286" w14:textId="77777777" w:rsidTr="004136D1">
        <w:trPr>
          <w:cantSplit/>
        </w:trPr>
        <w:tc>
          <w:tcPr>
            <w:tcW w:w="1100" w:type="pct"/>
            <w:shd w:val="clear" w:color="auto" w:fill="D9D9D9"/>
          </w:tcPr>
          <w:p w14:paraId="19365869" w14:textId="23C9F3C6" w:rsidR="00EC3002" w:rsidRPr="007834FB" w:rsidRDefault="004136D1" w:rsidP="004136D1">
            <w:pPr>
              <w:pStyle w:val="S8Gazettetableheading"/>
            </w:pPr>
            <w:r>
              <w:t>Product name</w:t>
            </w:r>
          </w:p>
        </w:tc>
        <w:tc>
          <w:tcPr>
            <w:tcW w:w="3900" w:type="pct"/>
            <w:shd w:val="clear" w:color="auto" w:fill="FFFFFF"/>
          </w:tcPr>
          <w:p w14:paraId="54EA8238" w14:textId="46AC562F" w:rsidR="00EC3002" w:rsidRPr="007834FB" w:rsidRDefault="004136D1" w:rsidP="004136D1">
            <w:pPr>
              <w:pStyle w:val="S8Gazettetabletext"/>
            </w:pPr>
            <w:r>
              <w:t>Farmers</w:t>
            </w:r>
            <w:r>
              <w:t>’</w:t>
            </w:r>
            <w:r>
              <w:t xml:space="preserve"> Own </w:t>
            </w:r>
            <w:proofErr w:type="spellStart"/>
            <w:r>
              <w:t>Dicyclanil</w:t>
            </w:r>
            <w:proofErr w:type="spellEnd"/>
            <w:r>
              <w:t xml:space="preserve"> 12.5 g/L Spray-on Blowfly Treatment for Sheep</w:t>
            </w:r>
          </w:p>
        </w:tc>
      </w:tr>
      <w:tr w:rsidR="00EC3002" w:rsidRPr="007834FB" w14:paraId="1FCE8881" w14:textId="77777777" w:rsidTr="004136D1">
        <w:trPr>
          <w:cantSplit/>
        </w:trPr>
        <w:tc>
          <w:tcPr>
            <w:tcW w:w="1100" w:type="pct"/>
            <w:shd w:val="clear" w:color="auto" w:fill="D9D9D9"/>
          </w:tcPr>
          <w:p w14:paraId="66A622E6" w14:textId="495B3DC8" w:rsidR="00EC3002" w:rsidRPr="007834FB" w:rsidRDefault="004136D1" w:rsidP="004136D1">
            <w:pPr>
              <w:pStyle w:val="S8Gazettetableheading"/>
            </w:pPr>
            <w:r>
              <w:t>Active constituent</w:t>
            </w:r>
          </w:p>
        </w:tc>
        <w:tc>
          <w:tcPr>
            <w:tcW w:w="3900" w:type="pct"/>
            <w:shd w:val="clear" w:color="auto" w:fill="FFFFFF"/>
          </w:tcPr>
          <w:p w14:paraId="0E95B1B1" w14:textId="4AA31E89" w:rsidR="00EC3002" w:rsidRPr="007834FB" w:rsidRDefault="004136D1" w:rsidP="004136D1">
            <w:pPr>
              <w:pStyle w:val="S8Gazettetabletext"/>
            </w:pPr>
            <w:r>
              <w:t xml:space="preserve">12.5 g/L </w:t>
            </w:r>
            <w:proofErr w:type="spellStart"/>
            <w:r>
              <w:t>dicyclanil</w:t>
            </w:r>
            <w:proofErr w:type="spellEnd"/>
          </w:p>
        </w:tc>
      </w:tr>
      <w:tr w:rsidR="00EC3002" w:rsidRPr="007834FB" w14:paraId="04618A28" w14:textId="77777777" w:rsidTr="004136D1">
        <w:trPr>
          <w:cantSplit/>
        </w:trPr>
        <w:tc>
          <w:tcPr>
            <w:tcW w:w="1100" w:type="pct"/>
            <w:shd w:val="clear" w:color="auto" w:fill="D9D9D9"/>
          </w:tcPr>
          <w:p w14:paraId="51576EFD" w14:textId="5416BB04" w:rsidR="00EC3002" w:rsidRPr="007834FB" w:rsidRDefault="004136D1" w:rsidP="004136D1">
            <w:pPr>
              <w:pStyle w:val="S8Gazettetableheading"/>
            </w:pPr>
            <w:r>
              <w:t>Applicant name</w:t>
            </w:r>
          </w:p>
        </w:tc>
        <w:tc>
          <w:tcPr>
            <w:tcW w:w="3900" w:type="pct"/>
            <w:shd w:val="clear" w:color="auto" w:fill="FFFFFF"/>
          </w:tcPr>
          <w:p w14:paraId="2249CD9B" w14:textId="4145254C" w:rsidR="00EC3002" w:rsidRPr="007834FB" w:rsidRDefault="004136D1" w:rsidP="004136D1">
            <w:pPr>
              <w:pStyle w:val="S8Gazettetabletext"/>
            </w:pPr>
            <w:proofErr w:type="spellStart"/>
            <w:r>
              <w:t>Arrovet</w:t>
            </w:r>
            <w:proofErr w:type="spellEnd"/>
            <w:r>
              <w:t xml:space="preserve"> Pty Ltd</w:t>
            </w:r>
          </w:p>
        </w:tc>
      </w:tr>
      <w:tr w:rsidR="00EC3002" w:rsidRPr="007834FB" w14:paraId="3CC0253B" w14:textId="77777777" w:rsidTr="004136D1">
        <w:trPr>
          <w:cantSplit/>
        </w:trPr>
        <w:tc>
          <w:tcPr>
            <w:tcW w:w="1100" w:type="pct"/>
            <w:shd w:val="clear" w:color="auto" w:fill="D9D9D9"/>
          </w:tcPr>
          <w:p w14:paraId="2CFDC1A7" w14:textId="727884BD" w:rsidR="00EC3002" w:rsidRPr="007834FB" w:rsidRDefault="004136D1" w:rsidP="004136D1">
            <w:pPr>
              <w:pStyle w:val="S8Gazettetableheading"/>
            </w:pPr>
            <w:r>
              <w:t>Applicant ACN</w:t>
            </w:r>
          </w:p>
        </w:tc>
        <w:tc>
          <w:tcPr>
            <w:tcW w:w="3900" w:type="pct"/>
            <w:shd w:val="clear" w:color="auto" w:fill="FFFFFF"/>
          </w:tcPr>
          <w:p w14:paraId="1DFAE216" w14:textId="71CC59E4" w:rsidR="00EC3002" w:rsidRPr="007834FB" w:rsidRDefault="004136D1" w:rsidP="004136D1">
            <w:pPr>
              <w:pStyle w:val="S8Gazettetabletext"/>
            </w:pPr>
            <w:r>
              <w:t>674 072 532</w:t>
            </w:r>
          </w:p>
        </w:tc>
      </w:tr>
      <w:tr w:rsidR="00EC3002" w:rsidRPr="007834FB" w14:paraId="3D88AAC7" w14:textId="77777777" w:rsidTr="004136D1">
        <w:trPr>
          <w:cantSplit/>
        </w:trPr>
        <w:tc>
          <w:tcPr>
            <w:tcW w:w="1100" w:type="pct"/>
            <w:shd w:val="clear" w:color="auto" w:fill="D9D9D9"/>
          </w:tcPr>
          <w:p w14:paraId="32612DF6" w14:textId="182FB673" w:rsidR="00EC3002" w:rsidRPr="007834FB" w:rsidRDefault="004136D1" w:rsidP="004136D1">
            <w:pPr>
              <w:pStyle w:val="S8Gazettetableheading"/>
            </w:pPr>
            <w:r>
              <w:t>Date of registration</w:t>
            </w:r>
          </w:p>
        </w:tc>
        <w:tc>
          <w:tcPr>
            <w:tcW w:w="3900" w:type="pct"/>
            <w:shd w:val="clear" w:color="auto" w:fill="FFFFFF"/>
          </w:tcPr>
          <w:p w14:paraId="552D14ED" w14:textId="67A8E3C2" w:rsidR="00EC3002" w:rsidRPr="007834FB" w:rsidRDefault="004136D1" w:rsidP="004136D1">
            <w:pPr>
              <w:pStyle w:val="S8Gazettetabletext"/>
            </w:pPr>
            <w:r>
              <w:t>4 August 2025</w:t>
            </w:r>
          </w:p>
        </w:tc>
      </w:tr>
      <w:tr w:rsidR="00EC3002" w:rsidRPr="007834FB" w14:paraId="0658DD38" w14:textId="77777777" w:rsidTr="004136D1">
        <w:trPr>
          <w:cantSplit/>
        </w:trPr>
        <w:tc>
          <w:tcPr>
            <w:tcW w:w="1100" w:type="pct"/>
            <w:shd w:val="clear" w:color="auto" w:fill="D9D9D9"/>
          </w:tcPr>
          <w:p w14:paraId="3F0C7699" w14:textId="23E01CD7" w:rsidR="00EC3002" w:rsidRPr="007834FB" w:rsidRDefault="004136D1" w:rsidP="004136D1">
            <w:pPr>
              <w:pStyle w:val="S8Gazettetableheading"/>
            </w:pPr>
            <w:r>
              <w:t>Product registration no.</w:t>
            </w:r>
          </w:p>
        </w:tc>
        <w:tc>
          <w:tcPr>
            <w:tcW w:w="3900" w:type="pct"/>
            <w:shd w:val="clear" w:color="auto" w:fill="FFFFFF"/>
          </w:tcPr>
          <w:p w14:paraId="5C2EB168" w14:textId="2AC46C1C" w:rsidR="00EC3002" w:rsidRPr="007834FB" w:rsidRDefault="004136D1" w:rsidP="004136D1">
            <w:pPr>
              <w:pStyle w:val="S8Gazettetabletext"/>
            </w:pPr>
            <w:r>
              <w:t>95609</w:t>
            </w:r>
          </w:p>
        </w:tc>
      </w:tr>
      <w:tr w:rsidR="00EC3002" w:rsidRPr="007834FB" w14:paraId="4EFE6AE9" w14:textId="77777777" w:rsidTr="004136D1">
        <w:trPr>
          <w:cantSplit/>
        </w:trPr>
        <w:tc>
          <w:tcPr>
            <w:tcW w:w="1100" w:type="pct"/>
            <w:shd w:val="clear" w:color="auto" w:fill="D9D9D9"/>
          </w:tcPr>
          <w:p w14:paraId="1A2B592E" w14:textId="22D639F4" w:rsidR="00EC3002" w:rsidRPr="007834FB" w:rsidRDefault="004136D1" w:rsidP="004136D1">
            <w:pPr>
              <w:pStyle w:val="S8Gazettetableheading"/>
            </w:pPr>
            <w:r>
              <w:t>Label approval no.</w:t>
            </w:r>
          </w:p>
        </w:tc>
        <w:tc>
          <w:tcPr>
            <w:tcW w:w="3900" w:type="pct"/>
            <w:shd w:val="clear" w:color="auto" w:fill="FFFFFF"/>
          </w:tcPr>
          <w:p w14:paraId="0C08F728" w14:textId="5AC606FA" w:rsidR="00EC3002" w:rsidRPr="007834FB" w:rsidRDefault="004136D1" w:rsidP="004136D1">
            <w:pPr>
              <w:pStyle w:val="S8Gazettetabletext"/>
            </w:pPr>
            <w:r>
              <w:t>95609/146506</w:t>
            </w:r>
          </w:p>
        </w:tc>
      </w:tr>
      <w:tr w:rsidR="00EC3002" w:rsidRPr="007834FB" w14:paraId="3A9C26F6" w14:textId="77777777" w:rsidTr="004136D1">
        <w:trPr>
          <w:cantSplit/>
        </w:trPr>
        <w:tc>
          <w:tcPr>
            <w:tcW w:w="1100" w:type="pct"/>
            <w:shd w:val="clear" w:color="auto" w:fill="D9D9D9"/>
          </w:tcPr>
          <w:p w14:paraId="11583B06" w14:textId="66302B53"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00DD0882" w14:textId="15F41C80" w:rsidR="00EC3002" w:rsidRPr="007834FB" w:rsidRDefault="004136D1" w:rsidP="004136D1">
            <w:pPr>
              <w:pStyle w:val="S8Gazettetabletext"/>
            </w:pPr>
            <w:r>
              <w:t xml:space="preserve">Registration of a 12.5 g/L </w:t>
            </w:r>
            <w:proofErr w:type="spellStart"/>
            <w:r>
              <w:t>dicyclanil</w:t>
            </w:r>
            <w:proofErr w:type="spellEnd"/>
            <w:r>
              <w:t xml:space="preserve"> blowfly treatment product for the protection of sheep against fly strike for up to 11 weeks and for the protection of marking wounds on lambs against fly strike for up to 11 weeks</w:t>
            </w:r>
          </w:p>
        </w:tc>
      </w:tr>
    </w:tbl>
    <w:p w14:paraId="138F8D01"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EC3002" w:rsidRPr="007834FB" w14:paraId="5DD11BFE" w14:textId="77777777" w:rsidTr="004136D1">
        <w:trPr>
          <w:cantSplit/>
        </w:trPr>
        <w:tc>
          <w:tcPr>
            <w:tcW w:w="1100" w:type="pct"/>
            <w:shd w:val="clear" w:color="auto" w:fill="D9D9D9"/>
          </w:tcPr>
          <w:p w14:paraId="052111F2" w14:textId="51DA0BB2" w:rsidR="00EC3002" w:rsidRPr="007834FB" w:rsidRDefault="004136D1" w:rsidP="004136D1">
            <w:pPr>
              <w:pStyle w:val="S8Gazettetableheading"/>
            </w:pPr>
            <w:r>
              <w:t>Application no.</w:t>
            </w:r>
          </w:p>
        </w:tc>
        <w:tc>
          <w:tcPr>
            <w:tcW w:w="3900" w:type="pct"/>
            <w:shd w:val="clear" w:color="auto" w:fill="FFFFFF"/>
          </w:tcPr>
          <w:p w14:paraId="60BA1554" w14:textId="1250B4C3" w:rsidR="00EC3002" w:rsidRPr="007834FB" w:rsidRDefault="004136D1" w:rsidP="004136D1">
            <w:pPr>
              <w:pStyle w:val="S8Gazettetabletext"/>
              <w:rPr>
                <w:noProof/>
              </w:rPr>
            </w:pPr>
            <w:r>
              <w:t>147867</w:t>
            </w:r>
          </w:p>
        </w:tc>
      </w:tr>
      <w:tr w:rsidR="00EC3002" w:rsidRPr="007834FB" w14:paraId="6727272B" w14:textId="77777777" w:rsidTr="004136D1">
        <w:trPr>
          <w:cantSplit/>
        </w:trPr>
        <w:tc>
          <w:tcPr>
            <w:tcW w:w="1100" w:type="pct"/>
            <w:shd w:val="clear" w:color="auto" w:fill="D9D9D9"/>
          </w:tcPr>
          <w:p w14:paraId="3A2BCF5E" w14:textId="750FFFEC" w:rsidR="00EC3002" w:rsidRPr="007834FB" w:rsidRDefault="004136D1" w:rsidP="004136D1">
            <w:pPr>
              <w:pStyle w:val="S8Gazettetableheading"/>
            </w:pPr>
            <w:r>
              <w:t>Product name</w:t>
            </w:r>
          </w:p>
        </w:tc>
        <w:tc>
          <w:tcPr>
            <w:tcW w:w="3900" w:type="pct"/>
            <w:shd w:val="clear" w:color="auto" w:fill="FFFFFF"/>
          </w:tcPr>
          <w:p w14:paraId="3DBF18CC" w14:textId="219C9D5F" w:rsidR="00EC3002" w:rsidRPr="007834FB" w:rsidRDefault="004136D1" w:rsidP="004136D1">
            <w:pPr>
              <w:pStyle w:val="S8Gazettetabletext"/>
            </w:pPr>
            <w:proofErr w:type="spellStart"/>
            <w:r>
              <w:t>Cyrex</w:t>
            </w:r>
            <w:proofErr w:type="spellEnd"/>
            <w:r>
              <w:t xml:space="preserve"> PS Liquid Sheep Blowfly and Lice Treatment</w:t>
            </w:r>
          </w:p>
        </w:tc>
      </w:tr>
      <w:tr w:rsidR="00EC3002" w:rsidRPr="007834FB" w14:paraId="01214012" w14:textId="77777777" w:rsidTr="004136D1">
        <w:trPr>
          <w:cantSplit/>
        </w:trPr>
        <w:tc>
          <w:tcPr>
            <w:tcW w:w="1100" w:type="pct"/>
            <w:shd w:val="clear" w:color="auto" w:fill="D9D9D9"/>
          </w:tcPr>
          <w:p w14:paraId="64168D63" w14:textId="1B27C126" w:rsidR="00EC3002" w:rsidRPr="007834FB" w:rsidRDefault="004136D1" w:rsidP="004136D1">
            <w:pPr>
              <w:pStyle w:val="S8Gazettetableheading"/>
            </w:pPr>
            <w:r>
              <w:t>Active constituents</w:t>
            </w:r>
          </w:p>
        </w:tc>
        <w:tc>
          <w:tcPr>
            <w:tcW w:w="3900" w:type="pct"/>
            <w:shd w:val="clear" w:color="auto" w:fill="FFFFFF"/>
          </w:tcPr>
          <w:p w14:paraId="503AF6F7" w14:textId="5C261264" w:rsidR="00EC3002" w:rsidRPr="007834FB" w:rsidRDefault="00600416" w:rsidP="004136D1">
            <w:pPr>
              <w:pStyle w:val="S8Gazettetabletext"/>
            </w:pPr>
            <w:r>
              <w:t xml:space="preserve">12.5 g/L </w:t>
            </w:r>
            <w:proofErr w:type="spellStart"/>
            <w:r>
              <w:t>spinosad</w:t>
            </w:r>
            <w:proofErr w:type="spellEnd"/>
            <w:r>
              <w:t xml:space="preserve">, 500 g/L </w:t>
            </w:r>
            <w:proofErr w:type="spellStart"/>
            <w:r>
              <w:t>cyromazine</w:t>
            </w:r>
            <w:proofErr w:type="spellEnd"/>
          </w:p>
        </w:tc>
      </w:tr>
      <w:tr w:rsidR="00EC3002" w:rsidRPr="007834FB" w14:paraId="09964D3C" w14:textId="77777777" w:rsidTr="004136D1">
        <w:trPr>
          <w:cantSplit/>
        </w:trPr>
        <w:tc>
          <w:tcPr>
            <w:tcW w:w="1100" w:type="pct"/>
            <w:shd w:val="clear" w:color="auto" w:fill="D9D9D9"/>
          </w:tcPr>
          <w:p w14:paraId="73A399F3" w14:textId="49669DAE" w:rsidR="00EC3002" w:rsidRPr="007834FB" w:rsidRDefault="004136D1" w:rsidP="004136D1">
            <w:pPr>
              <w:pStyle w:val="S8Gazettetableheading"/>
            </w:pPr>
            <w:r>
              <w:t>Applicant name</w:t>
            </w:r>
          </w:p>
        </w:tc>
        <w:tc>
          <w:tcPr>
            <w:tcW w:w="3900" w:type="pct"/>
            <w:shd w:val="clear" w:color="auto" w:fill="FFFFFF"/>
          </w:tcPr>
          <w:p w14:paraId="6655EDF2" w14:textId="450C2BB5" w:rsidR="00EC3002" w:rsidRPr="007834FB" w:rsidRDefault="004136D1" w:rsidP="004136D1">
            <w:pPr>
              <w:pStyle w:val="S8Gazettetabletext"/>
            </w:pPr>
            <w:r>
              <w:t>Pharm Smart Australia Pty Ltd</w:t>
            </w:r>
          </w:p>
        </w:tc>
      </w:tr>
      <w:tr w:rsidR="00EC3002" w:rsidRPr="007834FB" w14:paraId="6B641233" w14:textId="77777777" w:rsidTr="004136D1">
        <w:trPr>
          <w:cantSplit/>
        </w:trPr>
        <w:tc>
          <w:tcPr>
            <w:tcW w:w="1100" w:type="pct"/>
            <w:shd w:val="clear" w:color="auto" w:fill="D9D9D9"/>
          </w:tcPr>
          <w:p w14:paraId="661DB4FC" w14:textId="2D53AEB8" w:rsidR="00EC3002" w:rsidRPr="007834FB" w:rsidRDefault="004136D1" w:rsidP="004136D1">
            <w:pPr>
              <w:pStyle w:val="S8Gazettetableheading"/>
            </w:pPr>
            <w:r>
              <w:t>Applicant ACN</w:t>
            </w:r>
          </w:p>
        </w:tc>
        <w:tc>
          <w:tcPr>
            <w:tcW w:w="3900" w:type="pct"/>
            <w:shd w:val="clear" w:color="auto" w:fill="FFFFFF"/>
          </w:tcPr>
          <w:p w14:paraId="1CB51E9C" w14:textId="293BA2EB" w:rsidR="00EC3002" w:rsidRPr="007834FB" w:rsidRDefault="004136D1" w:rsidP="004136D1">
            <w:pPr>
              <w:pStyle w:val="S8Gazettetabletext"/>
            </w:pPr>
            <w:r>
              <w:t>635 495 135</w:t>
            </w:r>
          </w:p>
        </w:tc>
      </w:tr>
      <w:tr w:rsidR="00EC3002" w:rsidRPr="007834FB" w14:paraId="22943F61" w14:textId="77777777" w:rsidTr="004136D1">
        <w:trPr>
          <w:cantSplit/>
        </w:trPr>
        <w:tc>
          <w:tcPr>
            <w:tcW w:w="1100" w:type="pct"/>
            <w:shd w:val="clear" w:color="auto" w:fill="D9D9D9"/>
          </w:tcPr>
          <w:p w14:paraId="791B0BF6" w14:textId="62CDC4AB" w:rsidR="00EC3002" w:rsidRPr="007834FB" w:rsidRDefault="004136D1" w:rsidP="004136D1">
            <w:pPr>
              <w:pStyle w:val="S8Gazettetableheading"/>
            </w:pPr>
            <w:r>
              <w:t>Date of registration</w:t>
            </w:r>
          </w:p>
        </w:tc>
        <w:tc>
          <w:tcPr>
            <w:tcW w:w="3900" w:type="pct"/>
            <w:shd w:val="clear" w:color="auto" w:fill="FFFFFF"/>
          </w:tcPr>
          <w:p w14:paraId="1DA6C9B1" w14:textId="674D8912" w:rsidR="00EC3002" w:rsidRPr="007834FB" w:rsidRDefault="004136D1" w:rsidP="004136D1">
            <w:pPr>
              <w:pStyle w:val="S8Gazettetabletext"/>
            </w:pPr>
            <w:r>
              <w:t>7 August 2025</w:t>
            </w:r>
          </w:p>
        </w:tc>
      </w:tr>
      <w:tr w:rsidR="00EC3002" w:rsidRPr="007834FB" w14:paraId="00856F1D" w14:textId="77777777" w:rsidTr="004136D1">
        <w:trPr>
          <w:cantSplit/>
        </w:trPr>
        <w:tc>
          <w:tcPr>
            <w:tcW w:w="1100" w:type="pct"/>
            <w:shd w:val="clear" w:color="auto" w:fill="D9D9D9"/>
          </w:tcPr>
          <w:p w14:paraId="2C5028EF" w14:textId="546E4FC8" w:rsidR="00EC3002" w:rsidRPr="007834FB" w:rsidRDefault="004136D1" w:rsidP="004136D1">
            <w:pPr>
              <w:pStyle w:val="S8Gazettetableheading"/>
            </w:pPr>
            <w:r>
              <w:t>Product registration no.</w:t>
            </w:r>
          </w:p>
        </w:tc>
        <w:tc>
          <w:tcPr>
            <w:tcW w:w="3900" w:type="pct"/>
            <w:shd w:val="clear" w:color="auto" w:fill="FFFFFF"/>
          </w:tcPr>
          <w:p w14:paraId="1A3F113F" w14:textId="02E59280" w:rsidR="00EC3002" w:rsidRPr="007834FB" w:rsidRDefault="004136D1" w:rsidP="004136D1">
            <w:pPr>
              <w:pStyle w:val="S8Gazettetabletext"/>
            </w:pPr>
            <w:r>
              <w:t>96002</w:t>
            </w:r>
          </w:p>
        </w:tc>
      </w:tr>
      <w:tr w:rsidR="00EC3002" w:rsidRPr="007834FB" w14:paraId="0957E66C" w14:textId="77777777" w:rsidTr="004136D1">
        <w:trPr>
          <w:cantSplit/>
        </w:trPr>
        <w:tc>
          <w:tcPr>
            <w:tcW w:w="1100" w:type="pct"/>
            <w:shd w:val="clear" w:color="auto" w:fill="D9D9D9"/>
          </w:tcPr>
          <w:p w14:paraId="1A045B1E" w14:textId="6105F534" w:rsidR="00EC3002" w:rsidRPr="007834FB" w:rsidRDefault="004136D1" w:rsidP="004136D1">
            <w:pPr>
              <w:pStyle w:val="S8Gazettetableheading"/>
            </w:pPr>
            <w:r>
              <w:t>Label approval no.</w:t>
            </w:r>
          </w:p>
        </w:tc>
        <w:tc>
          <w:tcPr>
            <w:tcW w:w="3900" w:type="pct"/>
            <w:shd w:val="clear" w:color="auto" w:fill="FFFFFF"/>
          </w:tcPr>
          <w:p w14:paraId="34284E7D" w14:textId="60696A49" w:rsidR="00EC3002" w:rsidRPr="007834FB" w:rsidRDefault="004136D1" w:rsidP="004136D1">
            <w:pPr>
              <w:pStyle w:val="S8Gazettetabletext"/>
            </w:pPr>
            <w:r>
              <w:t>96002/147867</w:t>
            </w:r>
          </w:p>
        </w:tc>
      </w:tr>
      <w:tr w:rsidR="00EC3002" w:rsidRPr="007834FB" w14:paraId="05B49EC7" w14:textId="77777777" w:rsidTr="004136D1">
        <w:trPr>
          <w:cantSplit/>
        </w:trPr>
        <w:tc>
          <w:tcPr>
            <w:tcW w:w="1100" w:type="pct"/>
            <w:shd w:val="clear" w:color="auto" w:fill="D9D9D9"/>
          </w:tcPr>
          <w:p w14:paraId="0C2F6044" w14:textId="18F77D9F"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08CD42E" w14:textId="3BE06580" w:rsidR="00EC3002" w:rsidRPr="007834FB" w:rsidRDefault="004136D1" w:rsidP="004136D1">
            <w:pPr>
              <w:pStyle w:val="S8Gazettetabletext"/>
            </w:pPr>
            <w:r>
              <w:t xml:space="preserve">Registration of a 12.5 g/L </w:t>
            </w:r>
            <w:proofErr w:type="spellStart"/>
            <w:r>
              <w:t>spinosad</w:t>
            </w:r>
            <w:proofErr w:type="spellEnd"/>
            <w:r>
              <w:t xml:space="preserve">, 500 g/L </w:t>
            </w:r>
            <w:proofErr w:type="spellStart"/>
            <w:r>
              <w:t>cyromazine</w:t>
            </w:r>
            <w:proofErr w:type="spellEnd"/>
            <w:r>
              <w:t xml:space="preserve"> liquid suspension concentrate product for the control of Spinosad-susceptible strains of lice (</w:t>
            </w:r>
            <w:proofErr w:type="spellStart"/>
            <w:r>
              <w:t>Bovicola</w:t>
            </w:r>
            <w:proofErr w:type="spellEnd"/>
            <w:r>
              <w:t xml:space="preserve"> </w:t>
            </w:r>
            <w:proofErr w:type="spellStart"/>
            <w:r>
              <w:t>ovis</w:t>
            </w:r>
            <w:proofErr w:type="spellEnd"/>
            <w:r>
              <w:t>) for 8</w:t>
            </w:r>
            <w:r>
              <w:t>–</w:t>
            </w:r>
            <w:r>
              <w:t xml:space="preserve">11 weeks on sheep with long wool, protection of long wool sheep for up to 14 weeks from strike by </w:t>
            </w:r>
            <w:proofErr w:type="spellStart"/>
            <w:r>
              <w:t>cyromazine</w:t>
            </w:r>
            <w:proofErr w:type="spellEnd"/>
            <w:r>
              <w:t xml:space="preserve">-susceptible strain of blowfly (Lucilia </w:t>
            </w:r>
            <w:proofErr w:type="spellStart"/>
            <w:r>
              <w:t>cuprina</w:t>
            </w:r>
            <w:proofErr w:type="spellEnd"/>
            <w:r>
              <w:t>), including organophosphate resistant strains, when applied by jetting, treatment of blowfly strike in sheep</w:t>
            </w:r>
          </w:p>
        </w:tc>
      </w:tr>
    </w:tbl>
    <w:p w14:paraId="7D3BDAA5"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EC3002" w:rsidRPr="007834FB" w14:paraId="764D981F" w14:textId="77777777" w:rsidTr="004136D1">
        <w:trPr>
          <w:cantSplit/>
          <w:tblHeader/>
        </w:trPr>
        <w:tc>
          <w:tcPr>
            <w:tcW w:w="1100" w:type="pct"/>
            <w:shd w:val="clear" w:color="auto" w:fill="D9D9D9"/>
          </w:tcPr>
          <w:p w14:paraId="7C3FE3C9" w14:textId="076561BC" w:rsidR="00EC3002" w:rsidRPr="007834FB" w:rsidRDefault="004136D1" w:rsidP="004136D1">
            <w:pPr>
              <w:pStyle w:val="S8Gazettetableheading"/>
            </w:pPr>
            <w:r>
              <w:lastRenderedPageBreak/>
              <w:t>Application no.</w:t>
            </w:r>
          </w:p>
        </w:tc>
        <w:tc>
          <w:tcPr>
            <w:tcW w:w="3900" w:type="pct"/>
            <w:shd w:val="clear" w:color="auto" w:fill="FFFFFF"/>
          </w:tcPr>
          <w:p w14:paraId="3A129792" w14:textId="0CCECC07" w:rsidR="00EC3002" w:rsidRPr="007834FB" w:rsidRDefault="004136D1" w:rsidP="004136D1">
            <w:pPr>
              <w:pStyle w:val="S8Gazettetabletext"/>
              <w:rPr>
                <w:noProof/>
              </w:rPr>
            </w:pPr>
            <w:r>
              <w:t>147672</w:t>
            </w:r>
          </w:p>
        </w:tc>
      </w:tr>
      <w:tr w:rsidR="00EC3002" w:rsidRPr="007834FB" w14:paraId="3A2D5714" w14:textId="77777777" w:rsidTr="004136D1">
        <w:trPr>
          <w:cantSplit/>
          <w:tblHeader/>
        </w:trPr>
        <w:tc>
          <w:tcPr>
            <w:tcW w:w="1100" w:type="pct"/>
            <w:shd w:val="clear" w:color="auto" w:fill="D9D9D9"/>
          </w:tcPr>
          <w:p w14:paraId="19D1E688" w14:textId="66DFF07F" w:rsidR="00EC3002" w:rsidRPr="007834FB" w:rsidRDefault="004136D1" w:rsidP="004136D1">
            <w:pPr>
              <w:pStyle w:val="S8Gazettetableheading"/>
            </w:pPr>
            <w:r>
              <w:t>Product name</w:t>
            </w:r>
          </w:p>
        </w:tc>
        <w:tc>
          <w:tcPr>
            <w:tcW w:w="3900" w:type="pct"/>
            <w:shd w:val="clear" w:color="auto" w:fill="FFFFFF"/>
          </w:tcPr>
          <w:p w14:paraId="2485C042" w14:textId="5FAE41C3" w:rsidR="00EC3002" w:rsidRPr="007834FB" w:rsidRDefault="004136D1" w:rsidP="004136D1">
            <w:pPr>
              <w:pStyle w:val="S8Gazettetabletext"/>
            </w:pPr>
            <w:proofErr w:type="spellStart"/>
            <w:r>
              <w:t>Zengard</w:t>
            </w:r>
            <w:proofErr w:type="spellEnd"/>
            <w:r>
              <w:t xml:space="preserve"> Oral Paste for Horses</w:t>
            </w:r>
          </w:p>
        </w:tc>
      </w:tr>
      <w:tr w:rsidR="00EC3002" w:rsidRPr="007834FB" w14:paraId="5980FFDA" w14:textId="77777777" w:rsidTr="004136D1">
        <w:trPr>
          <w:cantSplit/>
          <w:tblHeader/>
        </w:trPr>
        <w:tc>
          <w:tcPr>
            <w:tcW w:w="1100" w:type="pct"/>
            <w:shd w:val="clear" w:color="auto" w:fill="D9D9D9"/>
          </w:tcPr>
          <w:p w14:paraId="78726F75" w14:textId="7D063696" w:rsidR="00EC3002" w:rsidRPr="007834FB" w:rsidRDefault="004136D1" w:rsidP="004136D1">
            <w:pPr>
              <w:pStyle w:val="S8Gazettetableheading"/>
            </w:pPr>
            <w:r>
              <w:t>Active constituent</w:t>
            </w:r>
          </w:p>
        </w:tc>
        <w:tc>
          <w:tcPr>
            <w:tcW w:w="3900" w:type="pct"/>
            <w:shd w:val="clear" w:color="auto" w:fill="FFFFFF"/>
          </w:tcPr>
          <w:p w14:paraId="592AC97F" w14:textId="4466BC1A" w:rsidR="00EC3002" w:rsidRPr="007834FB" w:rsidRDefault="004136D1" w:rsidP="004136D1">
            <w:pPr>
              <w:pStyle w:val="S8Gazettetabletext"/>
            </w:pPr>
            <w:r>
              <w:t>370 mg/g omeprazole</w:t>
            </w:r>
          </w:p>
        </w:tc>
      </w:tr>
      <w:tr w:rsidR="00EC3002" w:rsidRPr="007834FB" w14:paraId="292B11CE" w14:textId="77777777" w:rsidTr="004136D1">
        <w:trPr>
          <w:cantSplit/>
          <w:tblHeader/>
        </w:trPr>
        <w:tc>
          <w:tcPr>
            <w:tcW w:w="1100" w:type="pct"/>
            <w:shd w:val="clear" w:color="auto" w:fill="D9D9D9"/>
          </w:tcPr>
          <w:p w14:paraId="44E42B8E" w14:textId="3D6747EB" w:rsidR="00EC3002" w:rsidRPr="007834FB" w:rsidRDefault="004136D1" w:rsidP="004136D1">
            <w:pPr>
              <w:pStyle w:val="S8Gazettetableheading"/>
            </w:pPr>
            <w:r>
              <w:t>Applicant name</w:t>
            </w:r>
          </w:p>
        </w:tc>
        <w:tc>
          <w:tcPr>
            <w:tcW w:w="3900" w:type="pct"/>
            <w:shd w:val="clear" w:color="auto" w:fill="FFFFFF"/>
          </w:tcPr>
          <w:p w14:paraId="0067CCDE" w14:textId="0A20317C" w:rsidR="00EC3002" w:rsidRPr="007834FB" w:rsidRDefault="004136D1" w:rsidP="004136D1">
            <w:pPr>
              <w:pStyle w:val="S8Gazettetabletext"/>
            </w:pPr>
            <w:r>
              <w:t>Zen Pharma Pty Ltd</w:t>
            </w:r>
          </w:p>
        </w:tc>
      </w:tr>
      <w:tr w:rsidR="00EC3002" w:rsidRPr="007834FB" w14:paraId="7E07D141" w14:textId="77777777" w:rsidTr="004136D1">
        <w:trPr>
          <w:cantSplit/>
          <w:tblHeader/>
        </w:trPr>
        <w:tc>
          <w:tcPr>
            <w:tcW w:w="1100" w:type="pct"/>
            <w:shd w:val="clear" w:color="auto" w:fill="D9D9D9"/>
          </w:tcPr>
          <w:p w14:paraId="7456C54E" w14:textId="62F76C73" w:rsidR="00EC3002" w:rsidRPr="007834FB" w:rsidRDefault="004136D1" w:rsidP="004136D1">
            <w:pPr>
              <w:pStyle w:val="S8Gazettetableheading"/>
            </w:pPr>
            <w:r>
              <w:t>Applicant ACN</w:t>
            </w:r>
          </w:p>
        </w:tc>
        <w:tc>
          <w:tcPr>
            <w:tcW w:w="3900" w:type="pct"/>
            <w:shd w:val="clear" w:color="auto" w:fill="FFFFFF"/>
          </w:tcPr>
          <w:p w14:paraId="3FDC35C6" w14:textId="62E48164" w:rsidR="00EC3002" w:rsidRPr="007834FB" w:rsidRDefault="004136D1" w:rsidP="004136D1">
            <w:pPr>
              <w:pStyle w:val="S8Gazettetabletext"/>
            </w:pPr>
            <w:r>
              <w:t>680 162 421</w:t>
            </w:r>
          </w:p>
        </w:tc>
      </w:tr>
      <w:tr w:rsidR="00EC3002" w:rsidRPr="007834FB" w14:paraId="3DBEA194" w14:textId="77777777" w:rsidTr="004136D1">
        <w:trPr>
          <w:cantSplit/>
          <w:tblHeader/>
        </w:trPr>
        <w:tc>
          <w:tcPr>
            <w:tcW w:w="1100" w:type="pct"/>
            <w:shd w:val="clear" w:color="auto" w:fill="D9D9D9"/>
          </w:tcPr>
          <w:p w14:paraId="0CF3B323" w14:textId="30B3A69A" w:rsidR="00EC3002" w:rsidRPr="007834FB" w:rsidRDefault="004136D1" w:rsidP="004136D1">
            <w:pPr>
              <w:pStyle w:val="S8Gazettetableheading"/>
            </w:pPr>
            <w:r>
              <w:t>Date of registration</w:t>
            </w:r>
          </w:p>
        </w:tc>
        <w:tc>
          <w:tcPr>
            <w:tcW w:w="3900" w:type="pct"/>
            <w:shd w:val="clear" w:color="auto" w:fill="FFFFFF"/>
          </w:tcPr>
          <w:p w14:paraId="7C2BF764" w14:textId="013B8B26" w:rsidR="00EC3002" w:rsidRPr="007834FB" w:rsidRDefault="004136D1" w:rsidP="004136D1">
            <w:pPr>
              <w:pStyle w:val="S8Gazettetabletext"/>
            </w:pPr>
            <w:r>
              <w:t>8 August 2025</w:t>
            </w:r>
          </w:p>
        </w:tc>
      </w:tr>
      <w:tr w:rsidR="00EC3002" w:rsidRPr="007834FB" w14:paraId="459619A1" w14:textId="77777777" w:rsidTr="004136D1">
        <w:trPr>
          <w:cantSplit/>
          <w:tblHeader/>
        </w:trPr>
        <w:tc>
          <w:tcPr>
            <w:tcW w:w="1100" w:type="pct"/>
            <w:shd w:val="clear" w:color="auto" w:fill="D9D9D9"/>
          </w:tcPr>
          <w:p w14:paraId="5549741F" w14:textId="4EA1EA23" w:rsidR="00EC3002" w:rsidRPr="007834FB" w:rsidRDefault="004136D1" w:rsidP="004136D1">
            <w:pPr>
              <w:pStyle w:val="S8Gazettetableheading"/>
            </w:pPr>
            <w:r>
              <w:t>Product registration no.</w:t>
            </w:r>
          </w:p>
        </w:tc>
        <w:tc>
          <w:tcPr>
            <w:tcW w:w="3900" w:type="pct"/>
            <w:shd w:val="clear" w:color="auto" w:fill="FFFFFF"/>
          </w:tcPr>
          <w:p w14:paraId="7DF89C6E" w14:textId="00608625" w:rsidR="00EC3002" w:rsidRPr="007834FB" w:rsidRDefault="004136D1" w:rsidP="004136D1">
            <w:pPr>
              <w:pStyle w:val="S8Gazettetabletext"/>
            </w:pPr>
            <w:r>
              <w:t>95948</w:t>
            </w:r>
          </w:p>
        </w:tc>
      </w:tr>
      <w:tr w:rsidR="00EC3002" w:rsidRPr="007834FB" w14:paraId="028C76FA" w14:textId="77777777" w:rsidTr="004136D1">
        <w:trPr>
          <w:cantSplit/>
          <w:tblHeader/>
        </w:trPr>
        <w:tc>
          <w:tcPr>
            <w:tcW w:w="1100" w:type="pct"/>
            <w:shd w:val="clear" w:color="auto" w:fill="D9D9D9"/>
          </w:tcPr>
          <w:p w14:paraId="2A61FE18" w14:textId="2FA49A92" w:rsidR="00EC3002" w:rsidRPr="007834FB" w:rsidRDefault="004136D1" w:rsidP="004136D1">
            <w:pPr>
              <w:pStyle w:val="S8Gazettetableheading"/>
            </w:pPr>
            <w:r>
              <w:t>Label approval no.</w:t>
            </w:r>
          </w:p>
        </w:tc>
        <w:tc>
          <w:tcPr>
            <w:tcW w:w="3900" w:type="pct"/>
            <w:shd w:val="clear" w:color="auto" w:fill="FFFFFF"/>
          </w:tcPr>
          <w:p w14:paraId="0C5DB8F0" w14:textId="706503D5" w:rsidR="00EC3002" w:rsidRPr="007834FB" w:rsidRDefault="004136D1" w:rsidP="004136D1">
            <w:pPr>
              <w:pStyle w:val="S8Gazettetabletext"/>
            </w:pPr>
            <w:r>
              <w:t>95948/147672</w:t>
            </w:r>
          </w:p>
        </w:tc>
      </w:tr>
      <w:tr w:rsidR="00EC3002" w:rsidRPr="007834FB" w14:paraId="509DD04B" w14:textId="77777777" w:rsidTr="004136D1">
        <w:trPr>
          <w:cantSplit/>
          <w:tblHeader/>
        </w:trPr>
        <w:tc>
          <w:tcPr>
            <w:tcW w:w="1100" w:type="pct"/>
            <w:shd w:val="clear" w:color="auto" w:fill="D9D9D9"/>
          </w:tcPr>
          <w:p w14:paraId="61BD199A" w14:textId="32D1B76A" w:rsidR="00EC3002" w:rsidRPr="007834FB"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2E8C1F69" w14:textId="7A9DF55D" w:rsidR="00EC3002" w:rsidRPr="007834FB" w:rsidRDefault="004136D1" w:rsidP="004136D1">
            <w:pPr>
              <w:pStyle w:val="S8Gazettetabletext"/>
            </w:pPr>
            <w:r>
              <w:t>Registration of a 370 mg/g omeprazole oral paste product for the treatment and prevention of gastric ulcers in horses and foals</w:t>
            </w:r>
          </w:p>
        </w:tc>
      </w:tr>
    </w:tbl>
    <w:p w14:paraId="63E70100" w14:textId="4A6D096D" w:rsidR="00EC3002" w:rsidRDefault="00EC3002" w:rsidP="00EC3002">
      <w:pPr>
        <w:pStyle w:val="Caption"/>
      </w:pPr>
      <w:r>
        <w:t xml:space="preserve">Table </w:t>
      </w:r>
      <w:r w:rsidR="004136D1">
        <w:fldChar w:fldCharType="begin"/>
      </w:r>
      <w:r w:rsidR="004136D1">
        <w:instrText xml:space="preserve"> SEQ Table \* ARABIC </w:instrText>
      </w:r>
      <w:r w:rsidR="004136D1">
        <w:fldChar w:fldCharType="separate"/>
      </w:r>
      <w:r w:rsidR="00365304">
        <w:rPr>
          <w:noProof/>
        </w:rPr>
        <w:t>4</w:t>
      </w:r>
      <w:r w:rsidR="004136D1">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14815F3D" w14:textId="77777777" w:rsidTr="004136D1">
        <w:trPr>
          <w:cantSplit/>
        </w:trPr>
        <w:tc>
          <w:tcPr>
            <w:tcW w:w="1100" w:type="pct"/>
            <w:shd w:val="clear" w:color="auto" w:fill="D9D9D9"/>
          </w:tcPr>
          <w:p w14:paraId="301E41A2" w14:textId="23C05B9F" w:rsidR="00EC3002" w:rsidRPr="00BC4F64" w:rsidRDefault="004136D1" w:rsidP="004136D1">
            <w:pPr>
              <w:pStyle w:val="S8Gazettetableheading"/>
            </w:pPr>
            <w:r>
              <w:t>Application no.</w:t>
            </w:r>
          </w:p>
        </w:tc>
        <w:tc>
          <w:tcPr>
            <w:tcW w:w="3900" w:type="pct"/>
            <w:shd w:val="clear" w:color="auto" w:fill="FFFFFF"/>
          </w:tcPr>
          <w:p w14:paraId="13C8AC29" w14:textId="627DDB93" w:rsidR="00EC3002" w:rsidRPr="00BC4F64" w:rsidRDefault="004136D1" w:rsidP="004136D1">
            <w:pPr>
              <w:pStyle w:val="S8Gazettetabletext"/>
            </w:pPr>
            <w:r>
              <w:t>149215</w:t>
            </w:r>
          </w:p>
        </w:tc>
      </w:tr>
      <w:tr w:rsidR="00EC3002" w:rsidRPr="00BC4F64" w14:paraId="232486DC" w14:textId="77777777" w:rsidTr="004136D1">
        <w:trPr>
          <w:cantSplit/>
        </w:trPr>
        <w:tc>
          <w:tcPr>
            <w:tcW w:w="1100" w:type="pct"/>
            <w:shd w:val="clear" w:color="auto" w:fill="D9D9D9"/>
          </w:tcPr>
          <w:p w14:paraId="422F5F6E" w14:textId="4A261AFF" w:rsidR="00EC3002" w:rsidRPr="00362E71" w:rsidRDefault="004136D1" w:rsidP="004136D1">
            <w:pPr>
              <w:pStyle w:val="S8Gazettetableheading"/>
            </w:pPr>
            <w:r>
              <w:t>Product name</w:t>
            </w:r>
          </w:p>
        </w:tc>
        <w:tc>
          <w:tcPr>
            <w:tcW w:w="3900" w:type="pct"/>
            <w:shd w:val="clear" w:color="auto" w:fill="FFFFFF"/>
          </w:tcPr>
          <w:p w14:paraId="2E6CE89C" w14:textId="4E7087C7" w:rsidR="00EC3002" w:rsidRPr="00BC4F64" w:rsidRDefault="004136D1" w:rsidP="004136D1">
            <w:pPr>
              <w:pStyle w:val="S8Gazettetabletext"/>
            </w:pPr>
            <w:r>
              <w:t>AVET Meloxicam Dog Oral Suspension</w:t>
            </w:r>
          </w:p>
        </w:tc>
      </w:tr>
      <w:tr w:rsidR="00EC3002" w:rsidRPr="00BC4F64" w14:paraId="011D4BEC" w14:textId="77777777" w:rsidTr="004136D1">
        <w:trPr>
          <w:cantSplit/>
        </w:trPr>
        <w:tc>
          <w:tcPr>
            <w:tcW w:w="1100" w:type="pct"/>
            <w:shd w:val="clear" w:color="auto" w:fill="D9D9D9"/>
          </w:tcPr>
          <w:p w14:paraId="4B5665C3" w14:textId="348F28F6" w:rsidR="00EC3002" w:rsidRPr="00362E71" w:rsidRDefault="004136D1" w:rsidP="004136D1">
            <w:pPr>
              <w:pStyle w:val="S8Gazettetableheading"/>
            </w:pPr>
            <w:r>
              <w:t>Active constituent</w:t>
            </w:r>
          </w:p>
        </w:tc>
        <w:tc>
          <w:tcPr>
            <w:tcW w:w="3900" w:type="pct"/>
            <w:shd w:val="clear" w:color="auto" w:fill="FFFFFF"/>
          </w:tcPr>
          <w:p w14:paraId="4C8ABA63" w14:textId="28625B44" w:rsidR="00EC3002" w:rsidRPr="00BC4F64" w:rsidRDefault="004136D1" w:rsidP="004136D1">
            <w:pPr>
              <w:pStyle w:val="S8Gazettetabletext"/>
            </w:pPr>
            <w:r>
              <w:t>1.5 mg/mL meloxicam</w:t>
            </w:r>
          </w:p>
        </w:tc>
      </w:tr>
      <w:tr w:rsidR="00EC3002" w:rsidRPr="00BC4F64" w14:paraId="5930CB76" w14:textId="77777777" w:rsidTr="004136D1">
        <w:trPr>
          <w:cantSplit/>
        </w:trPr>
        <w:tc>
          <w:tcPr>
            <w:tcW w:w="1100" w:type="pct"/>
            <w:shd w:val="clear" w:color="auto" w:fill="D9D9D9"/>
          </w:tcPr>
          <w:p w14:paraId="5BF65C0C" w14:textId="13C10E0D" w:rsidR="00EC3002" w:rsidRPr="00362E71" w:rsidRDefault="004136D1" w:rsidP="004136D1">
            <w:pPr>
              <w:pStyle w:val="S8Gazettetableheading"/>
            </w:pPr>
            <w:r>
              <w:t>Applicant name</w:t>
            </w:r>
          </w:p>
        </w:tc>
        <w:tc>
          <w:tcPr>
            <w:tcW w:w="3900" w:type="pct"/>
            <w:shd w:val="clear" w:color="auto" w:fill="FFFFFF"/>
          </w:tcPr>
          <w:p w14:paraId="153624DC" w14:textId="1BD195B7" w:rsidR="00EC3002" w:rsidRPr="00BC4F64" w:rsidRDefault="004136D1" w:rsidP="004136D1">
            <w:pPr>
              <w:pStyle w:val="S8Gazettetabletext"/>
            </w:pPr>
            <w:r>
              <w:t>Chanelle Pharmaceuticals Manufacturing Limited</w:t>
            </w:r>
          </w:p>
        </w:tc>
      </w:tr>
      <w:tr w:rsidR="00EC3002" w:rsidRPr="00BC4F64" w14:paraId="45B9193D" w14:textId="77777777" w:rsidTr="004136D1">
        <w:trPr>
          <w:cantSplit/>
        </w:trPr>
        <w:tc>
          <w:tcPr>
            <w:tcW w:w="1100" w:type="pct"/>
            <w:shd w:val="clear" w:color="auto" w:fill="D9D9D9"/>
          </w:tcPr>
          <w:p w14:paraId="3FFA48E8" w14:textId="2B274617" w:rsidR="00EC3002" w:rsidRPr="00BC4F64" w:rsidRDefault="004136D1" w:rsidP="004136D1">
            <w:pPr>
              <w:pStyle w:val="S8Gazettetableheading"/>
            </w:pPr>
            <w:r>
              <w:t>Applicant ACN</w:t>
            </w:r>
          </w:p>
        </w:tc>
        <w:tc>
          <w:tcPr>
            <w:tcW w:w="3900" w:type="pct"/>
            <w:shd w:val="clear" w:color="auto" w:fill="FFFFFF"/>
          </w:tcPr>
          <w:p w14:paraId="7FCBBA5A" w14:textId="74E02C70" w:rsidR="00EC3002" w:rsidRPr="00FA2079" w:rsidRDefault="004136D1" w:rsidP="004136D1">
            <w:pPr>
              <w:pStyle w:val="S8Gazettetabletext"/>
            </w:pPr>
            <w:r>
              <w:t>N/A</w:t>
            </w:r>
          </w:p>
        </w:tc>
      </w:tr>
      <w:tr w:rsidR="00EC3002" w:rsidRPr="00BC4F64" w14:paraId="0B69DBF8" w14:textId="77777777" w:rsidTr="004136D1">
        <w:trPr>
          <w:cantSplit/>
        </w:trPr>
        <w:tc>
          <w:tcPr>
            <w:tcW w:w="1100" w:type="pct"/>
            <w:shd w:val="clear" w:color="auto" w:fill="D9D9D9"/>
          </w:tcPr>
          <w:p w14:paraId="690A0D74" w14:textId="78043E06" w:rsidR="00EC3002" w:rsidRPr="00362E71" w:rsidRDefault="004136D1" w:rsidP="004136D1">
            <w:pPr>
              <w:pStyle w:val="S8Gazettetableheading"/>
            </w:pPr>
            <w:r>
              <w:t>Date of variation</w:t>
            </w:r>
          </w:p>
        </w:tc>
        <w:tc>
          <w:tcPr>
            <w:tcW w:w="3900" w:type="pct"/>
            <w:shd w:val="clear" w:color="auto" w:fill="FFFFFF"/>
          </w:tcPr>
          <w:p w14:paraId="41B3023E" w14:textId="1A9E0902" w:rsidR="00EC3002" w:rsidRPr="00BC4F64" w:rsidRDefault="004136D1" w:rsidP="004136D1">
            <w:pPr>
              <w:pStyle w:val="S8Gazettetabletext"/>
            </w:pPr>
            <w:r>
              <w:t>21 July 2025</w:t>
            </w:r>
          </w:p>
        </w:tc>
      </w:tr>
      <w:tr w:rsidR="00EC3002" w:rsidRPr="00BC4F64" w14:paraId="7E143500" w14:textId="77777777" w:rsidTr="004136D1">
        <w:trPr>
          <w:cantSplit/>
        </w:trPr>
        <w:tc>
          <w:tcPr>
            <w:tcW w:w="1100" w:type="pct"/>
            <w:shd w:val="clear" w:color="auto" w:fill="D9D9D9"/>
          </w:tcPr>
          <w:p w14:paraId="77286B98" w14:textId="29B528F7" w:rsidR="00EC3002" w:rsidRPr="00362E71" w:rsidRDefault="004136D1" w:rsidP="004136D1">
            <w:pPr>
              <w:pStyle w:val="S8Gazettetableheading"/>
            </w:pPr>
            <w:r>
              <w:t>Product registration no.</w:t>
            </w:r>
          </w:p>
        </w:tc>
        <w:tc>
          <w:tcPr>
            <w:tcW w:w="3900" w:type="pct"/>
            <w:shd w:val="clear" w:color="auto" w:fill="FFFFFF"/>
          </w:tcPr>
          <w:p w14:paraId="64B49064" w14:textId="3673DF00" w:rsidR="00EC3002" w:rsidRPr="00BC4F64" w:rsidRDefault="004136D1" w:rsidP="004136D1">
            <w:pPr>
              <w:pStyle w:val="S8Gazettetabletext"/>
            </w:pPr>
            <w:r>
              <w:t>63653</w:t>
            </w:r>
          </w:p>
        </w:tc>
      </w:tr>
      <w:tr w:rsidR="00EC3002" w:rsidRPr="00BC4F64" w14:paraId="10DA9A97" w14:textId="77777777" w:rsidTr="004136D1">
        <w:trPr>
          <w:cantSplit/>
        </w:trPr>
        <w:tc>
          <w:tcPr>
            <w:tcW w:w="1100" w:type="pct"/>
            <w:shd w:val="clear" w:color="auto" w:fill="D9D9D9"/>
          </w:tcPr>
          <w:p w14:paraId="684237AF" w14:textId="02AE2CAC" w:rsidR="00EC3002" w:rsidRPr="00362E71" w:rsidRDefault="004136D1" w:rsidP="004136D1">
            <w:pPr>
              <w:pStyle w:val="S8Gazettetableheading"/>
            </w:pPr>
            <w:r>
              <w:t>Label approval no.</w:t>
            </w:r>
          </w:p>
        </w:tc>
        <w:tc>
          <w:tcPr>
            <w:tcW w:w="3900" w:type="pct"/>
            <w:shd w:val="clear" w:color="auto" w:fill="FFFFFF"/>
          </w:tcPr>
          <w:p w14:paraId="4F5F29FC" w14:textId="33610FEA" w:rsidR="00EC3002" w:rsidRPr="00BC4F64" w:rsidRDefault="004136D1" w:rsidP="004136D1">
            <w:pPr>
              <w:pStyle w:val="S8Gazettetabletext"/>
            </w:pPr>
            <w:r>
              <w:t>63653/149215</w:t>
            </w:r>
          </w:p>
        </w:tc>
      </w:tr>
      <w:tr w:rsidR="00EC3002" w:rsidRPr="00BC4F64" w14:paraId="25315107" w14:textId="77777777" w:rsidTr="004136D1">
        <w:trPr>
          <w:cantSplit/>
        </w:trPr>
        <w:tc>
          <w:tcPr>
            <w:tcW w:w="1100" w:type="pct"/>
            <w:shd w:val="clear" w:color="auto" w:fill="D9D9D9"/>
          </w:tcPr>
          <w:p w14:paraId="2D6957DE" w14:textId="459C81E8"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D5C9E4A" w14:textId="7C6C42E6"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[Wagg &amp; Purr] Meloxicam Dog Oral Suspension</w:t>
            </w:r>
            <w:r>
              <w:t>’</w:t>
            </w:r>
            <w:r>
              <w:t xml:space="preserve"> to </w:t>
            </w:r>
            <w:r>
              <w:t>‘</w:t>
            </w:r>
            <w:r>
              <w:t>AVET Meloxicam Dog Oral Suspension</w:t>
            </w:r>
            <w:r>
              <w:t>’</w:t>
            </w:r>
          </w:p>
        </w:tc>
      </w:tr>
    </w:tbl>
    <w:p w14:paraId="6FFE52B4"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6B637A8F" w14:textId="77777777" w:rsidTr="004136D1">
        <w:trPr>
          <w:cantSplit/>
        </w:trPr>
        <w:tc>
          <w:tcPr>
            <w:tcW w:w="1100" w:type="pct"/>
            <w:shd w:val="clear" w:color="auto" w:fill="D9D9D9"/>
          </w:tcPr>
          <w:p w14:paraId="0AB7C971" w14:textId="6316ADDC" w:rsidR="00EC3002" w:rsidRPr="00BC4F64" w:rsidRDefault="004136D1" w:rsidP="004136D1">
            <w:pPr>
              <w:pStyle w:val="S8Gazettetableheading"/>
            </w:pPr>
            <w:r>
              <w:t>Application no.</w:t>
            </w:r>
          </w:p>
        </w:tc>
        <w:tc>
          <w:tcPr>
            <w:tcW w:w="3900" w:type="pct"/>
            <w:shd w:val="clear" w:color="auto" w:fill="FFFFFF"/>
          </w:tcPr>
          <w:p w14:paraId="47B7A5E1" w14:textId="6786938D" w:rsidR="00EC3002" w:rsidRPr="00BC4F64" w:rsidRDefault="004136D1" w:rsidP="004136D1">
            <w:pPr>
              <w:pStyle w:val="S8Gazettetabletext"/>
            </w:pPr>
            <w:r>
              <w:t>149230</w:t>
            </w:r>
          </w:p>
        </w:tc>
      </w:tr>
      <w:tr w:rsidR="00EC3002" w:rsidRPr="00BC4F64" w14:paraId="5C3BC2AA" w14:textId="77777777" w:rsidTr="004136D1">
        <w:trPr>
          <w:cantSplit/>
        </w:trPr>
        <w:tc>
          <w:tcPr>
            <w:tcW w:w="1100" w:type="pct"/>
            <w:shd w:val="clear" w:color="auto" w:fill="D9D9D9"/>
          </w:tcPr>
          <w:p w14:paraId="6261A746" w14:textId="5355406A" w:rsidR="00EC3002" w:rsidRPr="00362E71" w:rsidRDefault="004136D1" w:rsidP="004136D1">
            <w:pPr>
              <w:pStyle w:val="S8Gazettetableheading"/>
            </w:pPr>
            <w:r>
              <w:t>Product name</w:t>
            </w:r>
          </w:p>
        </w:tc>
        <w:tc>
          <w:tcPr>
            <w:tcW w:w="3900" w:type="pct"/>
            <w:shd w:val="clear" w:color="auto" w:fill="FFFFFF"/>
          </w:tcPr>
          <w:p w14:paraId="575B14DA" w14:textId="558800AD" w:rsidR="00EC3002" w:rsidRPr="00BC4F64" w:rsidRDefault="004136D1" w:rsidP="004136D1">
            <w:pPr>
              <w:pStyle w:val="S8Gazettetabletext"/>
            </w:pPr>
            <w:proofErr w:type="spellStart"/>
            <w:r>
              <w:t>Recocam</w:t>
            </w:r>
            <w:proofErr w:type="spellEnd"/>
            <w:r>
              <w:t xml:space="preserve"> 20 mg/mL Solution for Injection for Cattle, Sheep, Pigs and Horses</w:t>
            </w:r>
          </w:p>
        </w:tc>
      </w:tr>
      <w:tr w:rsidR="00EC3002" w:rsidRPr="00BC4F64" w14:paraId="5E7B8F8A" w14:textId="77777777" w:rsidTr="004136D1">
        <w:trPr>
          <w:cantSplit/>
        </w:trPr>
        <w:tc>
          <w:tcPr>
            <w:tcW w:w="1100" w:type="pct"/>
            <w:shd w:val="clear" w:color="auto" w:fill="D9D9D9"/>
          </w:tcPr>
          <w:p w14:paraId="7BA7DAEE" w14:textId="4C5FFD78" w:rsidR="00EC3002" w:rsidRPr="00362E71" w:rsidRDefault="004136D1" w:rsidP="004136D1">
            <w:pPr>
              <w:pStyle w:val="S8Gazettetableheading"/>
            </w:pPr>
            <w:r>
              <w:t>Active constituent</w:t>
            </w:r>
          </w:p>
        </w:tc>
        <w:tc>
          <w:tcPr>
            <w:tcW w:w="3900" w:type="pct"/>
            <w:shd w:val="clear" w:color="auto" w:fill="FFFFFF"/>
          </w:tcPr>
          <w:p w14:paraId="7186E13B" w14:textId="1EF35292" w:rsidR="00EC3002" w:rsidRPr="00BC4F64" w:rsidRDefault="004136D1" w:rsidP="004136D1">
            <w:pPr>
              <w:pStyle w:val="S8Gazettetabletext"/>
            </w:pPr>
            <w:r>
              <w:t>20 mg/mL meloxicam</w:t>
            </w:r>
          </w:p>
        </w:tc>
      </w:tr>
      <w:tr w:rsidR="00EC3002" w:rsidRPr="00BC4F64" w14:paraId="6F1096E2" w14:textId="77777777" w:rsidTr="004136D1">
        <w:trPr>
          <w:cantSplit/>
        </w:trPr>
        <w:tc>
          <w:tcPr>
            <w:tcW w:w="1100" w:type="pct"/>
            <w:shd w:val="clear" w:color="auto" w:fill="D9D9D9"/>
          </w:tcPr>
          <w:p w14:paraId="453E8BC1" w14:textId="3988253E" w:rsidR="00EC3002" w:rsidRPr="00362E71" w:rsidRDefault="004136D1" w:rsidP="004136D1">
            <w:pPr>
              <w:pStyle w:val="S8Gazettetableheading"/>
            </w:pPr>
            <w:r>
              <w:t>Applicant name</w:t>
            </w:r>
          </w:p>
        </w:tc>
        <w:tc>
          <w:tcPr>
            <w:tcW w:w="3900" w:type="pct"/>
            <w:shd w:val="clear" w:color="auto" w:fill="FFFFFF"/>
          </w:tcPr>
          <w:p w14:paraId="0B84572A" w14:textId="0626DD4A" w:rsidR="00EC3002" w:rsidRPr="00BC4F64" w:rsidRDefault="004136D1" w:rsidP="004136D1">
            <w:pPr>
              <w:pStyle w:val="S8Gazettetabletext"/>
            </w:pPr>
            <w:proofErr w:type="spellStart"/>
            <w:r>
              <w:t>Bimeda</w:t>
            </w:r>
            <w:proofErr w:type="spellEnd"/>
            <w:r>
              <w:t xml:space="preserve"> (Australia) Pty Limited</w:t>
            </w:r>
          </w:p>
        </w:tc>
      </w:tr>
      <w:tr w:rsidR="00EC3002" w:rsidRPr="00BC4F64" w14:paraId="023B3492" w14:textId="77777777" w:rsidTr="004136D1">
        <w:trPr>
          <w:cantSplit/>
        </w:trPr>
        <w:tc>
          <w:tcPr>
            <w:tcW w:w="1100" w:type="pct"/>
            <w:shd w:val="clear" w:color="auto" w:fill="D9D9D9"/>
          </w:tcPr>
          <w:p w14:paraId="6A7957E1" w14:textId="61A15687" w:rsidR="00EC3002" w:rsidRPr="00BC4F64" w:rsidRDefault="004136D1" w:rsidP="004136D1">
            <w:pPr>
              <w:pStyle w:val="S8Gazettetableheading"/>
            </w:pPr>
            <w:r>
              <w:t>Applicant ACN</w:t>
            </w:r>
          </w:p>
        </w:tc>
        <w:tc>
          <w:tcPr>
            <w:tcW w:w="3900" w:type="pct"/>
            <w:shd w:val="clear" w:color="auto" w:fill="FFFFFF"/>
          </w:tcPr>
          <w:p w14:paraId="4C2D55A3" w14:textId="4D1BFC5C" w:rsidR="00EC3002" w:rsidRPr="00FA2079" w:rsidRDefault="004136D1" w:rsidP="004136D1">
            <w:pPr>
              <w:pStyle w:val="S8Gazettetabletext"/>
            </w:pPr>
            <w:r>
              <w:t>058 196 508</w:t>
            </w:r>
          </w:p>
        </w:tc>
      </w:tr>
      <w:tr w:rsidR="00EC3002" w:rsidRPr="00BC4F64" w14:paraId="6AF25CBC" w14:textId="77777777" w:rsidTr="004136D1">
        <w:trPr>
          <w:cantSplit/>
        </w:trPr>
        <w:tc>
          <w:tcPr>
            <w:tcW w:w="1100" w:type="pct"/>
            <w:shd w:val="clear" w:color="auto" w:fill="D9D9D9"/>
          </w:tcPr>
          <w:p w14:paraId="345C7D29" w14:textId="20C425F6" w:rsidR="00EC3002" w:rsidRPr="00362E71" w:rsidRDefault="004136D1" w:rsidP="004136D1">
            <w:pPr>
              <w:pStyle w:val="S8Gazettetableheading"/>
            </w:pPr>
            <w:r>
              <w:t>Date of variation</w:t>
            </w:r>
          </w:p>
        </w:tc>
        <w:tc>
          <w:tcPr>
            <w:tcW w:w="3900" w:type="pct"/>
            <w:shd w:val="clear" w:color="auto" w:fill="FFFFFF"/>
          </w:tcPr>
          <w:p w14:paraId="5B3A699C" w14:textId="7E926E19" w:rsidR="00EC3002" w:rsidRPr="00BC4F64" w:rsidRDefault="004136D1" w:rsidP="004136D1">
            <w:pPr>
              <w:pStyle w:val="S8Gazettetabletext"/>
            </w:pPr>
            <w:r>
              <w:t>22 July 2025</w:t>
            </w:r>
          </w:p>
        </w:tc>
      </w:tr>
      <w:tr w:rsidR="00EC3002" w:rsidRPr="00BC4F64" w14:paraId="2A7BB99B" w14:textId="77777777" w:rsidTr="004136D1">
        <w:trPr>
          <w:cantSplit/>
        </w:trPr>
        <w:tc>
          <w:tcPr>
            <w:tcW w:w="1100" w:type="pct"/>
            <w:shd w:val="clear" w:color="auto" w:fill="D9D9D9"/>
          </w:tcPr>
          <w:p w14:paraId="6EDC9B0B" w14:textId="7BE6358E" w:rsidR="00EC3002" w:rsidRPr="00362E71" w:rsidRDefault="004136D1" w:rsidP="004136D1">
            <w:pPr>
              <w:pStyle w:val="S8Gazettetableheading"/>
            </w:pPr>
            <w:r>
              <w:t>Product registration no.</w:t>
            </w:r>
          </w:p>
        </w:tc>
        <w:tc>
          <w:tcPr>
            <w:tcW w:w="3900" w:type="pct"/>
            <w:shd w:val="clear" w:color="auto" w:fill="FFFFFF"/>
          </w:tcPr>
          <w:p w14:paraId="2034F3DA" w14:textId="53CA6D69" w:rsidR="00EC3002" w:rsidRPr="00BC4F64" w:rsidRDefault="004136D1" w:rsidP="004136D1">
            <w:pPr>
              <w:pStyle w:val="S8Gazettetabletext"/>
            </w:pPr>
            <w:r>
              <w:t>70328</w:t>
            </w:r>
          </w:p>
        </w:tc>
      </w:tr>
      <w:tr w:rsidR="00EC3002" w:rsidRPr="00BC4F64" w14:paraId="4E152DE5" w14:textId="77777777" w:rsidTr="004136D1">
        <w:trPr>
          <w:cantSplit/>
        </w:trPr>
        <w:tc>
          <w:tcPr>
            <w:tcW w:w="1100" w:type="pct"/>
            <w:shd w:val="clear" w:color="auto" w:fill="D9D9D9"/>
          </w:tcPr>
          <w:p w14:paraId="678C26C1" w14:textId="4199F10A" w:rsidR="00EC3002" w:rsidRPr="00362E71" w:rsidRDefault="004136D1" w:rsidP="004136D1">
            <w:pPr>
              <w:pStyle w:val="S8Gazettetableheading"/>
            </w:pPr>
            <w:r>
              <w:t>Label approval no.</w:t>
            </w:r>
          </w:p>
        </w:tc>
        <w:tc>
          <w:tcPr>
            <w:tcW w:w="3900" w:type="pct"/>
            <w:shd w:val="clear" w:color="auto" w:fill="FFFFFF"/>
          </w:tcPr>
          <w:p w14:paraId="06B7A3D7" w14:textId="0750ED67" w:rsidR="00EC3002" w:rsidRPr="00BC4F64" w:rsidRDefault="004136D1" w:rsidP="004136D1">
            <w:pPr>
              <w:pStyle w:val="S8Gazettetabletext"/>
            </w:pPr>
            <w:r>
              <w:t>70328/149230</w:t>
            </w:r>
          </w:p>
        </w:tc>
      </w:tr>
      <w:tr w:rsidR="00EC3002" w:rsidRPr="00BC4F64" w14:paraId="4E6D9F21" w14:textId="77777777" w:rsidTr="004136D1">
        <w:trPr>
          <w:cantSplit/>
        </w:trPr>
        <w:tc>
          <w:tcPr>
            <w:tcW w:w="1100" w:type="pct"/>
            <w:shd w:val="clear" w:color="auto" w:fill="D9D9D9"/>
          </w:tcPr>
          <w:p w14:paraId="1D8E8C46" w14:textId="709AC182"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00A82A5B" w14:textId="10B2C31C"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proofErr w:type="spellStart"/>
            <w:r>
              <w:t>Recocam</w:t>
            </w:r>
            <w:proofErr w:type="spellEnd"/>
            <w:r>
              <w:t xml:space="preserve"> 20</w:t>
            </w:r>
            <w:r w:rsidR="00600416">
              <w:t xml:space="preserve"> </w:t>
            </w:r>
            <w:r>
              <w:t>mg/mL Solution for Injection for Cattle, Pigs and Horses</w:t>
            </w:r>
            <w:r>
              <w:t>’</w:t>
            </w:r>
            <w:r>
              <w:t xml:space="preserve"> to </w:t>
            </w:r>
            <w:r>
              <w:t>‘</w:t>
            </w:r>
            <w:proofErr w:type="spellStart"/>
            <w:r>
              <w:t>Recocam</w:t>
            </w:r>
            <w:proofErr w:type="spellEnd"/>
            <w:r>
              <w:t xml:space="preserve"> 20 mg/mL Solution for Injection for Cattle, Sheep, Pigs and Horses</w:t>
            </w:r>
            <w:r>
              <w:t>’</w:t>
            </w:r>
          </w:p>
        </w:tc>
      </w:tr>
    </w:tbl>
    <w:p w14:paraId="5E7E860F"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6654F3" w14:paraId="1D2C474A" w14:textId="77777777" w:rsidTr="004136D1">
        <w:trPr>
          <w:cantSplit/>
          <w:tblHeader/>
        </w:trPr>
        <w:tc>
          <w:tcPr>
            <w:tcW w:w="1100" w:type="pct"/>
            <w:shd w:val="clear" w:color="auto" w:fill="D9D9D9"/>
            <w:hideMark/>
          </w:tcPr>
          <w:p w14:paraId="36E9E749" w14:textId="1F2668AF" w:rsidR="00EC3002" w:rsidRPr="006654F3" w:rsidRDefault="004136D1" w:rsidP="004136D1">
            <w:pPr>
              <w:pStyle w:val="S8Gazettetableheading"/>
              <w:rPr>
                <w:rFonts w:eastAsia="Times New Roman"/>
              </w:rPr>
            </w:pPr>
            <w:r>
              <w:lastRenderedPageBreak/>
              <w:t>Application no.</w:t>
            </w:r>
          </w:p>
        </w:tc>
        <w:tc>
          <w:tcPr>
            <w:tcW w:w="3900" w:type="pct"/>
            <w:shd w:val="clear" w:color="auto" w:fill="FFFFFF"/>
            <w:hideMark/>
          </w:tcPr>
          <w:p w14:paraId="465A9C55" w14:textId="290B317B" w:rsidR="00EC3002" w:rsidRPr="006654F3" w:rsidRDefault="004136D1" w:rsidP="004136D1">
            <w:pPr>
              <w:pStyle w:val="S8Gazettetabletext"/>
              <w:rPr>
                <w:rFonts w:eastAsia="Times New Roman" w:hAnsi="Arial" w:cs="Times New Roman"/>
                <w:szCs w:val="24"/>
              </w:rPr>
            </w:pPr>
            <w:r>
              <w:t>149241</w:t>
            </w:r>
          </w:p>
        </w:tc>
      </w:tr>
      <w:tr w:rsidR="00EC3002" w:rsidRPr="006654F3" w14:paraId="63016590" w14:textId="77777777" w:rsidTr="004136D1">
        <w:trPr>
          <w:cantSplit/>
          <w:tblHeader/>
        </w:trPr>
        <w:tc>
          <w:tcPr>
            <w:tcW w:w="1100" w:type="pct"/>
            <w:shd w:val="clear" w:color="auto" w:fill="D9D9D9"/>
            <w:hideMark/>
          </w:tcPr>
          <w:p w14:paraId="46B7B6A0" w14:textId="22F42C15" w:rsidR="00EC3002" w:rsidRPr="006654F3" w:rsidRDefault="004136D1" w:rsidP="004136D1">
            <w:pPr>
              <w:pStyle w:val="S8Gazettetableheading"/>
              <w:rPr>
                <w:rFonts w:eastAsia="Times New Roman"/>
              </w:rPr>
            </w:pPr>
            <w:r>
              <w:t>Product name</w:t>
            </w:r>
          </w:p>
        </w:tc>
        <w:tc>
          <w:tcPr>
            <w:tcW w:w="3900" w:type="pct"/>
            <w:shd w:val="clear" w:color="auto" w:fill="FFFFFF"/>
            <w:hideMark/>
          </w:tcPr>
          <w:p w14:paraId="10E602AD" w14:textId="57155DA1" w:rsidR="00EC3002" w:rsidRPr="006654F3" w:rsidRDefault="004136D1" w:rsidP="004136D1">
            <w:pPr>
              <w:pStyle w:val="S8Gazettetabletext"/>
              <w:rPr>
                <w:rFonts w:eastAsia="Times New Roman" w:hAnsi="Arial" w:cs="Times New Roman"/>
                <w:szCs w:val="24"/>
              </w:rPr>
            </w:pPr>
            <w:r>
              <w:t>Avet Meloxicam 1 mg Tablets</w:t>
            </w:r>
          </w:p>
        </w:tc>
      </w:tr>
      <w:tr w:rsidR="00EC3002" w:rsidRPr="006654F3" w14:paraId="18E4D5A4" w14:textId="77777777" w:rsidTr="004136D1">
        <w:trPr>
          <w:cantSplit/>
          <w:tblHeader/>
        </w:trPr>
        <w:tc>
          <w:tcPr>
            <w:tcW w:w="1100" w:type="pct"/>
            <w:shd w:val="clear" w:color="auto" w:fill="D9D9D9"/>
            <w:hideMark/>
          </w:tcPr>
          <w:p w14:paraId="47A2206D" w14:textId="011E10A2" w:rsidR="00EC3002" w:rsidRPr="006654F3" w:rsidRDefault="004136D1" w:rsidP="004136D1">
            <w:pPr>
              <w:pStyle w:val="S8Gazettetableheading"/>
              <w:rPr>
                <w:rFonts w:eastAsia="Times New Roman"/>
              </w:rPr>
            </w:pPr>
            <w:r>
              <w:t>Active constituent</w:t>
            </w:r>
          </w:p>
        </w:tc>
        <w:tc>
          <w:tcPr>
            <w:tcW w:w="3900" w:type="pct"/>
            <w:shd w:val="clear" w:color="auto" w:fill="FFFFFF"/>
            <w:hideMark/>
          </w:tcPr>
          <w:p w14:paraId="31C2CAA4" w14:textId="78E0753C" w:rsidR="00EC3002" w:rsidRPr="006654F3" w:rsidRDefault="004136D1" w:rsidP="004136D1">
            <w:pPr>
              <w:pStyle w:val="S8Gazettetabletext"/>
              <w:rPr>
                <w:rFonts w:eastAsia="Times New Roman" w:hAnsi="Arial" w:cs="Times New Roman"/>
                <w:szCs w:val="24"/>
              </w:rPr>
            </w:pPr>
            <w:r>
              <w:t>Each tablet contains 1 mg meloxicam</w:t>
            </w:r>
          </w:p>
        </w:tc>
      </w:tr>
      <w:tr w:rsidR="00EC3002" w:rsidRPr="006654F3" w14:paraId="1F9FE186" w14:textId="77777777" w:rsidTr="004136D1">
        <w:trPr>
          <w:cantSplit/>
          <w:tblHeader/>
        </w:trPr>
        <w:tc>
          <w:tcPr>
            <w:tcW w:w="1100" w:type="pct"/>
            <w:shd w:val="clear" w:color="auto" w:fill="D9D9D9"/>
            <w:hideMark/>
          </w:tcPr>
          <w:p w14:paraId="1DE4A2D0" w14:textId="1EB43C40" w:rsidR="00EC3002" w:rsidRPr="006654F3" w:rsidRDefault="004136D1" w:rsidP="004136D1">
            <w:pPr>
              <w:pStyle w:val="S8Gazettetableheading"/>
              <w:rPr>
                <w:rFonts w:eastAsia="Times New Roman"/>
              </w:rPr>
            </w:pPr>
            <w:r>
              <w:t>Applicant name</w:t>
            </w:r>
          </w:p>
        </w:tc>
        <w:tc>
          <w:tcPr>
            <w:tcW w:w="3900" w:type="pct"/>
            <w:shd w:val="clear" w:color="auto" w:fill="FFFFFF"/>
            <w:hideMark/>
          </w:tcPr>
          <w:p w14:paraId="6746BBCF" w14:textId="3359F4BB" w:rsidR="00EC3002" w:rsidRPr="006654F3" w:rsidRDefault="004136D1" w:rsidP="004136D1">
            <w:pPr>
              <w:pStyle w:val="S8Gazettetabletext"/>
              <w:rPr>
                <w:rFonts w:eastAsia="Times New Roman" w:hAnsi="Arial" w:cs="Times New Roman"/>
                <w:szCs w:val="24"/>
              </w:rPr>
            </w:pPr>
            <w:r>
              <w:t>Chanelle Pharmaceuticals Manufacturing Limited</w:t>
            </w:r>
          </w:p>
        </w:tc>
      </w:tr>
      <w:tr w:rsidR="00EC3002" w:rsidRPr="006654F3" w14:paraId="71038683" w14:textId="77777777" w:rsidTr="004136D1">
        <w:trPr>
          <w:cantSplit/>
          <w:tblHeader/>
        </w:trPr>
        <w:tc>
          <w:tcPr>
            <w:tcW w:w="1100" w:type="pct"/>
            <w:shd w:val="clear" w:color="auto" w:fill="D9D9D9"/>
            <w:hideMark/>
          </w:tcPr>
          <w:p w14:paraId="539B85AE" w14:textId="50B136CD" w:rsidR="00EC3002" w:rsidRPr="006654F3" w:rsidRDefault="004136D1" w:rsidP="004136D1">
            <w:pPr>
              <w:pStyle w:val="S8Gazettetableheading"/>
              <w:rPr>
                <w:rFonts w:eastAsia="Times New Roman"/>
              </w:rPr>
            </w:pPr>
            <w:r>
              <w:t>Applicant ACN</w:t>
            </w:r>
          </w:p>
        </w:tc>
        <w:tc>
          <w:tcPr>
            <w:tcW w:w="3900" w:type="pct"/>
            <w:shd w:val="clear" w:color="auto" w:fill="FFFFFF"/>
            <w:hideMark/>
          </w:tcPr>
          <w:p w14:paraId="1064404D" w14:textId="6A892B05" w:rsidR="00EC3002" w:rsidRPr="006654F3" w:rsidRDefault="004136D1" w:rsidP="004136D1">
            <w:pPr>
              <w:pStyle w:val="S8Gazettetabletext"/>
              <w:rPr>
                <w:rFonts w:eastAsia="Times New Roman" w:hAnsi="Arial" w:cs="Times New Roman"/>
              </w:rPr>
            </w:pPr>
            <w:r>
              <w:t>N/A</w:t>
            </w:r>
          </w:p>
        </w:tc>
      </w:tr>
      <w:tr w:rsidR="00EC3002" w:rsidRPr="006654F3" w14:paraId="1E1E4F41" w14:textId="77777777" w:rsidTr="004136D1">
        <w:trPr>
          <w:cantSplit/>
          <w:tblHeader/>
        </w:trPr>
        <w:tc>
          <w:tcPr>
            <w:tcW w:w="1100" w:type="pct"/>
            <w:shd w:val="clear" w:color="auto" w:fill="D9D9D9"/>
            <w:hideMark/>
          </w:tcPr>
          <w:p w14:paraId="2F4C46CD" w14:textId="745AE9E6" w:rsidR="00EC3002" w:rsidRPr="006654F3" w:rsidRDefault="004136D1" w:rsidP="004136D1">
            <w:pPr>
              <w:pStyle w:val="S8Gazettetableheading"/>
              <w:rPr>
                <w:rFonts w:eastAsia="Times New Roman"/>
              </w:rPr>
            </w:pPr>
            <w:r>
              <w:t>Date of variation</w:t>
            </w:r>
          </w:p>
        </w:tc>
        <w:tc>
          <w:tcPr>
            <w:tcW w:w="3900" w:type="pct"/>
            <w:shd w:val="clear" w:color="auto" w:fill="FFFFFF"/>
            <w:hideMark/>
          </w:tcPr>
          <w:p w14:paraId="1C450004" w14:textId="53C09AF4" w:rsidR="00EC3002" w:rsidRPr="006654F3" w:rsidRDefault="004136D1" w:rsidP="004136D1">
            <w:pPr>
              <w:pStyle w:val="S8Gazettetabletext"/>
              <w:rPr>
                <w:rFonts w:eastAsia="Times New Roman" w:hAnsi="Arial" w:cs="Times New Roman"/>
                <w:szCs w:val="24"/>
              </w:rPr>
            </w:pPr>
            <w:r>
              <w:t>23 July 2025</w:t>
            </w:r>
          </w:p>
        </w:tc>
      </w:tr>
      <w:tr w:rsidR="00EC3002" w:rsidRPr="006654F3" w14:paraId="0F46628A" w14:textId="77777777" w:rsidTr="004136D1">
        <w:trPr>
          <w:cantSplit/>
          <w:tblHeader/>
        </w:trPr>
        <w:tc>
          <w:tcPr>
            <w:tcW w:w="1100" w:type="pct"/>
            <w:shd w:val="clear" w:color="auto" w:fill="D9D9D9"/>
            <w:hideMark/>
          </w:tcPr>
          <w:p w14:paraId="0BD33421" w14:textId="2EDBA846" w:rsidR="00EC3002" w:rsidRPr="006654F3" w:rsidRDefault="004136D1" w:rsidP="004136D1">
            <w:pPr>
              <w:pStyle w:val="S8Gazettetableheading"/>
              <w:rPr>
                <w:rFonts w:eastAsia="Times New Roman"/>
              </w:rPr>
            </w:pPr>
            <w:r>
              <w:t>Product registration no.</w:t>
            </w:r>
          </w:p>
        </w:tc>
        <w:tc>
          <w:tcPr>
            <w:tcW w:w="3900" w:type="pct"/>
            <w:shd w:val="clear" w:color="auto" w:fill="FFFFFF"/>
            <w:hideMark/>
          </w:tcPr>
          <w:p w14:paraId="40837C5A" w14:textId="37148A93" w:rsidR="00EC3002" w:rsidRPr="006654F3" w:rsidRDefault="004136D1" w:rsidP="004136D1">
            <w:pPr>
              <w:pStyle w:val="S8Gazettetabletext"/>
              <w:rPr>
                <w:rFonts w:eastAsia="Times New Roman" w:hAnsi="Arial" w:cs="Times New Roman"/>
                <w:szCs w:val="24"/>
              </w:rPr>
            </w:pPr>
            <w:r>
              <w:t>92224</w:t>
            </w:r>
          </w:p>
        </w:tc>
      </w:tr>
      <w:tr w:rsidR="00EC3002" w:rsidRPr="006654F3" w14:paraId="42733047" w14:textId="77777777" w:rsidTr="004136D1">
        <w:trPr>
          <w:cantSplit/>
          <w:tblHeader/>
        </w:trPr>
        <w:tc>
          <w:tcPr>
            <w:tcW w:w="1100" w:type="pct"/>
            <w:shd w:val="clear" w:color="auto" w:fill="D9D9D9"/>
            <w:hideMark/>
          </w:tcPr>
          <w:p w14:paraId="1A3EF372" w14:textId="0349D1C7" w:rsidR="00EC3002" w:rsidRPr="006654F3" w:rsidRDefault="004136D1" w:rsidP="004136D1">
            <w:pPr>
              <w:pStyle w:val="S8Gazettetableheading"/>
              <w:rPr>
                <w:rFonts w:eastAsia="Times New Roman"/>
              </w:rPr>
            </w:pPr>
            <w:r>
              <w:t>Label approval no.</w:t>
            </w:r>
          </w:p>
        </w:tc>
        <w:tc>
          <w:tcPr>
            <w:tcW w:w="3900" w:type="pct"/>
            <w:shd w:val="clear" w:color="auto" w:fill="FFFFFF"/>
            <w:hideMark/>
          </w:tcPr>
          <w:p w14:paraId="7C0E0F70" w14:textId="4B802E0B" w:rsidR="00EC3002" w:rsidRPr="006654F3" w:rsidRDefault="004136D1" w:rsidP="004136D1">
            <w:pPr>
              <w:pStyle w:val="S8Gazettetabletext"/>
              <w:rPr>
                <w:rFonts w:eastAsia="Times New Roman" w:hAnsi="Arial" w:cs="Times New Roman"/>
                <w:szCs w:val="24"/>
              </w:rPr>
            </w:pPr>
            <w:r>
              <w:t>92224/149241</w:t>
            </w:r>
          </w:p>
        </w:tc>
      </w:tr>
      <w:tr w:rsidR="00EC3002" w:rsidRPr="006654F3" w14:paraId="36EEF7A0" w14:textId="77777777" w:rsidTr="004136D1">
        <w:trPr>
          <w:cantSplit/>
          <w:tblHeader/>
        </w:trPr>
        <w:tc>
          <w:tcPr>
            <w:tcW w:w="1100" w:type="pct"/>
            <w:shd w:val="clear" w:color="auto" w:fill="D9D9D9"/>
            <w:hideMark/>
          </w:tcPr>
          <w:p w14:paraId="580FDF8B" w14:textId="532CD5AC" w:rsidR="00EC3002" w:rsidRPr="006654F3" w:rsidRDefault="004136D1" w:rsidP="004136D1">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73FFC9D5" w14:textId="04DA2FE6" w:rsidR="00EC3002" w:rsidRPr="006654F3" w:rsidRDefault="004136D1" w:rsidP="004136D1">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r>
              <w:t>[Wagg &amp; Purr] Meloxicam 1 mg Tablets</w:t>
            </w:r>
            <w:r>
              <w:t>’</w:t>
            </w:r>
            <w:r>
              <w:t xml:space="preserve"> to </w:t>
            </w:r>
            <w:r>
              <w:t>‘</w:t>
            </w:r>
            <w:r>
              <w:t>Avet Meloxicam 1 mg Tablets</w:t>
            </w:r>
            <w:r>
              <w:t>’</w:t>
            </w:r>
          </w:p>
        </w:tc>
      </w:tr>
    </w:tbl>
    <w:p w14:paraId="7FE73375"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22452C" w14:paraId="601527F6" w14:textId="77777777" w:rsidTr="004136D1">
        <w:trPr>
          <w:cantSplit/>
        </w:trPr>
        <w:tc>
          <w:tcPr>
            <w:tcW w:w="1100" w:type="pct"/>
            <w:shd w:val="clear" w:color="auto" w:fill="D9D9D9"/>
            <w:hideMark/>
          </w:tcPr>
          <w:p w14:paraId="63AE103B" w14:textId="71917F32" w:rsidR="00EC3002" w:rsidRPr="0022452C" w:rsidRDefault="004136D1" w:rsidP="004136D1">
            <w:pPr>
              <w:pStyle w:val="S8Gazettetableheading"/>
              <w:rPr>
                <w:rFonts w:eastAsia="Times New Roman"/>
              </w:rPr>
            </w:pPr>
            <w:r>
              <w:t>Application no.</w:t>
            </w:r>
          </w:p>
        </w:tc>
        <w:tc>
          <w:tcPr>
            <w:tcW w:w="3900" w:type="pct"/>
            <w:shd w:val="clear" w:color="auto" w:fill="FFFFFF"/>
            <w:hideMark/>
          </w:tcPr>
          <w:p w14:paraId="27B183AC" w14:textId="509443AD" w:rsidR="00EC3002" w:rsidRPr="0022452C" w:rsidRDefault="004136D1" w:rsidP="004136D1">
            <w:pPr>
              <w:pStyle w:val="S8Gazettetabletext"/>
              <w:rPr>
                <w:rFonts w:eastAsia="Times New Roman" w:hAnsi="Arial" w:cs="Times New Roman"/>
                <w:szCs w:val="24"/>
              </w:rPr>
            </w:pPr>
            <w:r>
              <w:t>149242</w:t>
            </w:r>
          </w:p>
        </w:tc>
      </w:tr>
      <w:tr w:rsidR="00EC3002" w:rsidRPr="0022452C" w14:paraId="231CEEA8" w14:textId="77777777" w:rsidTr="004136D1">
        <w:trPr>
          <w:cantSplit/>
        </w:trPr>
        <w:tc>
          <w:tcPr>
            <w:tcW w:w="1100" w:type="pct"/>
            <w:shd w:val="clear" w:color="auto" w:fill="D9D9D9"/>
            <w:hideMark/>
          </w:tcPr>
          <w:p w14:paraId="26AAF756" w14:textId="6EFF8BF0" w:rsidR="00EC3002" w:rsidRPr="0022452C" w:rsidRDefault="004136D1" w:rsidP="004136D1">
            <w:pPr>
              <w:pStyle w:val="S8Gazettetableheading"/>
              <w:rPr>
                <w:rFonts w:eastAsia="Times New Roman"/>
              </w:rPr>
            </w:pPr>
            <w:r>
              <w:t>Product name</w:t>
            </w:r>
          </w:p>
        </w:tc>
        <w:tc>
          <w:tcPr>
            <w:tcW w:w="3900" w:type="pct"/>
            <w:shd w:val="clear" w:color="auto" w:fill="FFFFFF"/>
            <w:hideMark/>
          </w:tcPr>
          <w:p w14:paraId="07DF7876" w14:textId="424654F1" w:rsidR="00EC3002" w:rsidRPr="0022452C" w:rsidRDefault="004136D1" w:rsidP="004136D1">
            <w:pPr>
              <w:pStyle w:val="S8Gazettetabletext"/>
              <w:rPr>
                <w:rFonts w:eastAsia="Times New Roman" w:hAnsi="Arial" w:cs="Times New Roman"/>
                <w:szCs w:val="24"/>
              </w:rPr>
            </w:pPr>
            <w:r>
              <w:t>Avet Meloxicam 2.5 mg Tablets</w:t>
            </w:r>
          </w:p>
        </w:tc>
      </w:tr>
      <w:tr w:rsidR="00EC3002" w:rsidRPr="0022452C" w14:paraId="1D59FFB1" w14:textId="77777777" w:rsidTr="004136D1">
        <w:trPr>
          <w:cantSplit/>
        </w:trPr>
        <w:tc>
          <w:tcPr>
            <w:tcW w:w="1100" w:type="pct"/>
            <w:shd w:val="clear" w:color="auto" w:fill="D9D9D9"/>
            <w:hideMark/>
          </w:tcPr>
          <w:p w14:paraId="27FC67D1" w14:textId="6275155E" w:rsidR="00EC3002" w:rsidRPr="0022452C" w:rsidRDefault="004136D1" w:rsidP="004136D1">
            <w:pPr>
              <w:pStyle w:val="S8Gazettetableheading"/>
              <w:rPr>
                <w:rFonts w:eastAsia="Times New Roman"/>
              </w:rPr>
            </w:pPr>
            <w:r>
              <w:t>Active constituent</w:t>
            </w:r>
          </w:p>
        </w:tc>
        <w:tc>
          <w:tcPr>
            <w:tcW w:w="3900" w:type="pct"/>
            <w:shd w:val="clear" w:color="auto" w:fill="FFFFFF"/>
            <w:hideMark/>
          </w:tcPr>
          <w:p w14:paraId="19278D07" w14:textId="60A14084" w:rsidR="00EC3002" w:rsidRPr="0022452C" w:rsidRDefault="004136D1" w:rsidP="004136D1">
            <w:pPr>
              <w:pStyle w:val="S8Gazettetabletext"/>
              <w:rPr>
                <w:rFonts w:eastAsia="Times New Roman" w:hAnsi="Arial" w:cs="Times New Roman"/>
                <w:szCs w:val="24"/>
              </w:rPr>
            </w:pPr>
            <w:r>
              <w:t>Each tablet contains 2.5 mg meloxicam</w:t>
            </w:r>
          </w:p>
        </w:tc>
      </w:tr>
      <w:tr w:rsidR="00EC3002" w:rsidRPr="0022452C" w14:paraId="5421E2BE" w14:textId="77777777" w:rsidTr="004136D1">
        <w:trPr>
          <w:cantSplit/>
        </w:trPr>
        <w:tc>
          <w:tcPr>
            <w:tcW w:w="1100" w:type="pct"/>
            <w:shd w:val="clear" w:color="auto" w:fill="D9D9D9"/>
            <w:hideMark/>
          </w:tcPr>
          <w:p w14:paraId="20B2DAFB" w14:textId="7A060C0F" w:rsidR="00EC3002" w:rsidRPr="0022452C" w:rsidRDefault="004136D1" w:rsidP="004136D1">
            <w:pPr>
              <w:pStyle w:val="S8Gazettetableheading"/>
              <w:rPr>
                <w:rFonts w:eastAsia="Times New Roman"/>
              </w:rPr>
            </w:pPr>
            <w:r>
              <w:t>Applicant name</w:t>
            </w:r>
          </w:p>
        </w:tc>
        <w:tc>
          <w:tcPr>
            <w:tcW w:w="3900" w:type="pct"/>
            <w:shd w:val="clear" w:color="auto" w:fill="FFFFFF"/>
            <w:hideMark/>
          </w:tcPr>
          <w:p w14:paraId="08879313" w14:textId="6D040312" w:rsidR="00EC3002" w:rsidRPr="0022452C" w:rsidRDefault="004136D1" w:rsidP="004136D1">
            <w:pPr>
              <w:pStyle w:val="S8Gazettetabletext"/>
              <w:rPr>
                <w:rFonts w:eastAsia="Times New Roman" w:hAnsi="Arial" w:cs="Times New Roman"/>
                <w:szCs w:val="24"/>
              </w:rPr>
            </w:pPr>
            <w:r>
              <w:t>Chanelle Pharmaceuticals Manufacturing Limited</w:t>
            </w:r>
          </w:p>
        </w:tc>
      </w:tr>
      <w:tr w:rsidR="00EC3002" w:rsidRPr="0022452C" w14:paraId="49C0377B" w14:textId="77777777" w:rsidTr="004136D1">
        <w:trPr>
          <w:cantSplit/>
        </w:trPr>
        <w:tc>
          <w:tcPr>
            <w:tcW w:w="1100" w:type="pct"/>
            <w:shd w:val="clear" w:color="auto" w:fill="D9D9D9"/>
            <w:hideMark/>
          </w:tcPr>
          <w:p w14:paraId="33047E9F" w14:textId="0C7314B5" w:rsidR="00EC3002" w:rsidRPr="0022452C" w:rsidRDefault="004136D1" w:rsidP="004136D1">
            <w:pPr>
              <w:pStyle w:val="S8Gazettetableheading"/>
              <w:rPr>
                <w:rFonts w:eastAsia="Times New Roman"/>
              </w:rPr>
            </w:pPr>
            <w:r>
              <w:t>Applicant ACN</w:t>
            </w:r>
          </w:p>
        </w:tc>
        <w:tc>
          <w:tcPr>
            <w:tcW w:w="3900" w:type="pct"/>
            <w:shd w:val="clear" w:color="auto" w:fill="FFFFFF"/>
            <w:hideMark/>
          </w:tcPr>
          <w:p w14:paraId="4E7A6D4E" w14:textId="09CD264F" w:rsidR="00EC3002" w:rsidRPr="0022452C" w:rsidRDefault="004136D1" w:rsidP="004136D1">
            <w:pPr>
              <w:pStyle w:val="S8Gazettetabletext"/>
              <w:rPr>
                <w:rFonts w:eastAsia="Times New Roman" w:hAnsi="Arial" w:cs="Times New Roman"/>
              </w:rPr>
            </w:pPr>
            <w:r>
              <w:t>N/A</w:t>
            </w:r>
          </w:p>
        </w:tc>
      </w:tr>
      <w:tr w:rsidR="00EC3002" w:rsidRPr="0022452C" w14:paraId="7A48FA6D" w14:textId="77777777" w:rsidTr="004136D1">
        <w:trPr>
          <w:cantSplit/>
        </w:trPr>
        <w:tc>
          <w:tcPr>
            <w:tcW w:w="1100" w:type="pct"/>
            <w:shd w:val="clear" w:color="auto" w:fill="D9D9D9"/>
            <w:hideMark/>
          </w:tcPr>
          <w:p w14:paraId="6E1D43F8" w14:textId="1789744F" w:rsidR="00EC3002" w:rsidRPr="0022452C" w:rsidRDefault="004136D1" w:rsidP="004136D1">
            <w:pPr>
              <w:pStyle w:val="S8Gazettetableheading"/>
              <w:rPr>
                <w:rFonts w:eastAsia="Times New Roman"/>
              </w:rPr>
            </w:pPr>
            <w:r>
              <w:t>Date of variation</w:t>
            </w:r>
          </w:p>
        </w:tc>
        <w:tc>
          <w:tcPr>
            <w:tcW w:w="3900" w:type="pct"/>
            <w:shd w:val="clear" w:color="auto" w:fill="FFFFFF"/>
            <w:hideMark/>
          </w:tcPr>
          <w:p w14:paraId="73C57C93" w14:textId="1A265938" w:rsidR="00EC3002" w:rsidRPr="0022452C" w:rsidRDefault="004136D1" w:rsidP="004136D1">
            <w:pPr>
              <w:pStyle w:val="S8Gazettetabletext"/>
              <w:rPr>
                <w:rFonts w:eastAsia="Times New Roman" w:hAnsi="Arial" w:cs="Times New Roman"/>
                <w:szCs w:val="24"/>
              </w:rPr>
            </w:pPr>
            <w:r>
              <w:t>23 July 2025</w:t>
            </w:r>
          </w:p>
        </w:tc>
      </w:tr>
      <w:tr w:rsidR="00EC3002" w:rsidRPr="0022452C" w14:paraId="57CCBB42" w14:textId="77777777" w:rsidTr="004136D1">
        <w:trPr>
          <w:cantSplit/>
        </w:trPr>
        <w:tc>
          <w:tcPr>
            <w:tcW w:w="1100" w:type="pct"/>
            <w:shd w:val="clear" w:color="auto" w:fill="D9D9D9"/>
            <w:hideMark/>
          </w:tcPr>
          <w:p w14:paraId="5CBC1E82" w14:textId="5418CE8D" w:rsidR="00EC3002" w:rsidRPr="0022452C" w:rsidRDefault="004136D1" w:rsidP="004136D1">
            <w:pPr>
              <w:pStyle w:val="S8Gazettetableheading"/>
              <w:rPr>
                <w:rFonts w:eastAsia="Times New Roman"/>
              </w:rPr>
            </w:pPr>
            <w:r>
              <w:t>Product registration no.</w:t>
            </w:r>
          </w:p>
        </w:tc>
        <w:tc>
          <w:tcPr>
            <w:tcW w:w="3900" w:type="pct"/>
            <w:shd w:val="clear" w:color="auto" w:fill="FFFFFF"/>
            <w:hideMark/>
          </w:tcPr>
          <w:p w14:paraId="37EB4542" w14:textId="0E5B2068" w:rsidR="00EC3002" w:rsidRPr="0022452C" w:rsidRDefault="004136D1" w:rsidP="004136D1">
            <w:pPr>
              <w:pStyle w:val="S8Gazettetabletext"/>
              <w:rPr>
                <w:rFonts w:eastAsia="Times New Roman" w:hAnsi="Arial" w:cs="Times New Roman"/>
                <w:szCs w:val="24"/>
              </w:rPr>
            </w:pPr>
            <w:r>
              <w:t>92225</w:t>
            </w:r>
          </w:p>
        </w:tc>
      </w:tr>
      <w:tr w:rsidR="00EC3002" w:rsidRPr="0022452C" w14:paraId="7435C8C2" w14:textId="77777777" w:rsidTr="004136D1">
        <w:trPr>
          <w:cantSplit/>
        </w:trPr>
        <w:tc>
          <w:tcPr>
            <w:tcW w:w="1100" w:type="pct"/>
            <w:shd w:val="clear" w:color="auto" w:fill="D9D9D9"/>
            <w:hideMark/>
          </w:tcPr>
          <w:p w14:paraId="6438BB5A" w14:textId="1379397D" w:rsidR="00EC3002" w:rsidRPr="0022452C" w:rsidRDefault="004136D1" w:rsidP="004136D1">
            <w:pPr>
              <w:pStyle w:val="S8Gazettetableheading"/>
              <w:rPr>
                <w:rFonts w:eastAsia="Times New Roman"/>
              </w:rPr>
            </w:pPr>
            <w:r>
              <w:t>Label approval no.</w:t>
            </w:r>
          </w:p>
        </w:tc>
        <w:tc>
          <w:tcPr>
            <w:tcW w:w="3900" w:type="pct"/>
            <w:shd w:val="clear" w:color="auto" w:fill="FFFFFF"/>
            <w:hideMark/>
          </w:tcPr>
          <w:p w14:paraId="6F784681" w14:textId="70502BB6" w:rsidR="00EC3002" w:rsidRPr="0022452C" w:rsidRDefault="004136D1" w:rsidP="004136D1">
            <w:pPr>
              <w:pStyle w:val="S8Gazettetabletext"/>
              <w:rPr>
                <w:rFonts w:eastAsia="Times New Roman" w:hAnsi="Arial" w:cs="Times New Roman"/>
                <w:szCs w:val="24"/>
              </w:rPr>
            </w:pPr>
            <w:r>
              <w:t>92225/149242</w:t>
            </w:r>
          </w:p>
        </w:tc>
      </w:tr>
      <w:tr w:rsidR="00EC3002" w:rsidRPr="0022452C" w14:paraId="17936C1B" w14:textId="77777777" w:rsidTr="004136D1">
        <w:trPr>
          <w:cantSplit/>
        </w:trPr>
        <w:tc>
          <w:tcPr>
            <w:tcW w:w="1100" w:type="pct"/>
            <w:shd w:val="clear" w:color="auto" w:fill="D9D9D9"/>
            <w:hideMark/>
          </w:tcPr>
          <w:p w14:paraId="4E63AB18" w14:textId="65B2B943" w:rsidR="00EC3002" w:rsidRPr="0022452C" w:rsidRDefault="004136D1" w:rsidP="004136D1">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60A791DB" w14:textId="2EB9C221" w:rsidR="00EC3002" w:rsidRPr="0022452C" w:rsidRDefault="004136D1" w:rsidP="004136D1">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r>
              <w:t>[Wagg &amp; Purr] Meloxicam 2.5 mg Tablets</w:t>
            </w:r>
            <w:r>
              <w:t>’</w:t>
            </w:r>
            <w:r>
              <w:t xml:space="preserve"> to </w:t>
            </w:r>
            <w:r>
              <w:t>‘</w:t>
            </w:r>
            <w:r>
              <w:t>Avet Meloxicam 2.5 mg Tablets</w:t>
            </w:r>
            <w:r>
              <w:t>’</w:t>
            </w:r>
          </w:p>
        </w:tc>
      </w:tr>
    </w:tbl>
    <w:p w14:paraId="0DA710B8"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472DC604" w14:textId="77777777" w:rsidTr="004136D1">
        <w:trPr>
          <w:cantSplit/>
        </w:trPr>
        <w:tc>
          <w:tcPr>
            <w:tcW w:w="1100" w:type="pct"/>
            <w:shd w:val="clear" w:color="auto" w:fill="D9D9D9"/>
          </w:tcPr>
          <w:p w14:paraId="5D390C34" w14:textId="253D9A2F" w:rsidR="00EC3002" w:rsidRPr="00BC4F64" w:rsidRDefault="004136D1" w:rsidP="004136D1">
            <w:pPr>
              <w:pStyle w:val="S8Gazettetableheading"/>
            </w:pPr>
            <w:r>
              <w:t>Application no.</w:t>
            </w:r>
          </w:p>
        </w:tc>
        <w:tc>
          <w:tcPr>
            <w:tcW w:w="3900" w:type="pct"/>
            <w:shd w:val="clear" w:color="auto" w:fill="FFFFFF"/>
          </w:tcPr>
          <w:p w14:paraId="70960AEB" w14:textId="7F946BBE" w:rsidR="00EC3002" w:rsidRPr="00BC4F64" w:rsidRDefault="004136D1" w:rsidP="004136D1">
            <w:pPr>
              <w:pStyle w:val="S8Gazettetabletext"/>
            </w:pPr>
            <w:r>
              <w:t>149262</w:t>
            </w:r>
          </w:p>
        </w:tc>
      </w:tr>
      <w:tr w:rsidR="00EC3002" w:rsidRPr="00BC4F64" w14:paraId="43F56255" w14:textId="77777777" w:rsidTr="004136D1">
        <w:trPr>
          <w:cantSplit/>
        </w:trPr>
        <w:tc>
          <w:tcPr>
            <w:tcW w:w="1100" w:type="pct"/>
            <w:shd w:val="clear" w:color="auto" w:fill="D9D9D9"/>
          </w:tcPr>
          <w:p w14:paraId="42126FFA" w14:textId="3341EAA6" w:rsidR="00EC3002" w:rsidRPr="00362E71" w:rsidRDefault="004136D1" w:rsidP="004136D1">
            <w:pPr>
              <w:pStyle w:val="S8Gazettetableheading"/>
            </w:pPr>
            <w:r>
              <w:t>Product name</w:t>
            </w:r>
          </w:p>
        </w:tc>
        <w:tc>
          <w:tcPr>
            <w:tcW w:w="3900" w:type="pct"/>
            <w:shd w:val="clear" w:color="auto" w:fill="FFFFFF"/>
          </w:tcPr>
          <w:p w14:paraId="585EB292" w14:textId="11109BAB" w:rsidR="00EC3002" w:rsidRPr="00BC4F64" w:rsidRDefault="004136D1" w:rsidP="004136D1">
            <w:pPr>
              <w:pStyle w:val="S8Gazettetabletext"/>
            </w:pPr>
            <w:r>
              <w:t xml:space="preserve">Paw Pure Animal Wellbeing </w:t>
            </w:r>
            <w:proofErr w:type="spellStart"/>
            <w:r>
              <w:t>Mediderm</w:t>
            </w:r>
            <w:proofErr w:type="spellEnd"/>
            <w:r>
              <w:t xml:space="preserve"> Gentle Medicated Shampoo</w:t>
            </w:r>
          </w:p>
        </w:tc>
      </w:tr>
      <w:tr w:rsidR="00EC3002" w:rsidRPr="00BC4F64" w14:paraId="2218551A" w14:textId="77777777" w:rsidTr="004136D1">
        <w:trPr>
          <w:cantSplit/>
        </w:trPr>
        <w:tc>
          <w:tcPr>
            <w:tcW w:w="1100" w:type="pct"/>
            <w:shd w:val="clear" w:color="auto" w:fill="D9D9D9"/>
          </w:tcPr>
          <w:p w14:paraId="37CA21CF" w14:textId="74CC7C69" w:rsidR="00EC3002" w:rsidRPr="00362E71" w:rsidRDefault="004136D1" w:rsidP="004136D1">
            <w:pPr>
              <w:pStyle w:val="S8Gazettetableheading"/>
            </w:pPr>
            <w:r>
              <w:t>Active constituent</w:t>
            </w:r>
          </w:p>
        </w:tc>
        <w:tc>
          <w:tcPr>
            <w:tcW w:w="3900" w:type="pct"/>
            <w:shd w:val="clear" w:color="auto" w:fill="FFFFFF"/>
          </w:tcPr>
          <w:p w14:paraId="607FCE40" w14:textId="67AE7A1C" w:rsidR="00EC3002" w:rsidRPr="00BC4F64" w:rsidRDefault="004136D1" w:rsidP="004136D1">
            <w:pPr>
              <w:pStyle w:val="S8Gazettetabletext"/>
            </w:pPr>
            <w:r>
              <w:t>7.21 g/L piroctone olamine</w:t>
            </w:r>
          </w:p>
        </w:tc>
      </w:tr>
      <w:tr w:rsidR="00EC3002" w:rsidRPr="00BC4F64" w14:paraId="0CE42CF8" w14:textId="77777777" w:rsidTr="004136D1">
        <w:trPr>
          <w:cantSplit/>
        </w:trPr>
        <w:tc>
          <w:tcPr>
            <w:tcW w:w="1100" w:type="pct"/>
            <w:shd w:val="clear" w:color="auto" w:fill="D9D9D9"/>
          </w:tcPr>
          <w:p w14:paraId="1A8596D9" w14:textId="39AB6182" w:rsidR="00EC3002" w:rsidRPr="00362E71" w:rsidRDefault="004136D1" w:rsidP="004136D1">
            <w:pPr>
              <w:pStyle w:val="S8Gazettetableheading"/>
            </w:pPr>
            <w:r>
              <w:t>Applicant name</w:t>
            </w:r>
          </w:p>
        </w:tc>
        <w:tc>
          <w:tcPr>
            <w:tcW w:w="3900" w:type="pct"/>
            <w:shd w:val="clear" w:color="auto" w:fill="FFFFFF"/>
          </w:tcPr>
          <w:p w14:paraId="11F8B27D" w14:textId="6DFD5A57" w:rsidR="00EC3002" w:rsidRPr="00BC4F64" w:rsidRDefault="004136D1" w:rsidP="004136D1">
            <w:pPr>
              <w:pStyle w:val="S8Gazettetabletext"/>
            </w:pPr>
            <w:r>
              <w:t>Blackmores Limited</w:t>
            </w:r>
          </w:p>
        </w:tc>
      </w:tr>
      <w:tr w:rsidR="00EC3002" w:rsidRPr="00BC4F64" w14:paraId="65100660" w14:textId="77777777" w:rsidTr="004136D1">
        <w:trPr>
          <w:cantSplit/>
        </w:trPr>
        <w:tc>
          <w:tcPr>
            <w:tcW w:w="1100" w:type="pct"/>
            <w:shd w:val="clear" w:color="auto" w:fill="D9D9D9"/>
          </w:tcPr>
          <w:p w14:paraId="289DEB7B" w14:textId="5A9A70E2" w:rsidR="00EC3002" w:rsidRPr="00BC4F64" w:rsidRDefault="004136D1" w:rsidP="004136D1">
            <w:pPr>
              <w:pStyle w:val="S8Gazettetableheading"/>
            </w:pPr>
            <w:r>
              <w:t>Applicant ACN</w:t>
            </w:r>
          </w:p>
        </w:tc>
        <w:tc>
          <w:tcPr>
            <w:tcW w:w="3900" w:type="pct"/>
            <w:shd w:val="clear" w:color="auto" w:fill="FFFFFF"/>
          </w:tcPr>
          <w:p w14:paraId="4D5F88CD" w14:textId="21510538" w:rsidR="00EC3002" w:rsidRPr="00FA2079" w:rsidRDefault="004136D1" w:rsidP="004136D1">
            <w:pPr>
              <w:pStyle w:val="S8Gazettetabletext"/>
            </w:pPr>
            <w:r>
              <w:t>009 713 437</w:t>
            </w:r>
          </w:p>
        </w:tc>
      </w:tr>
      <w:tr w:rsidR="00EC3002" w:rsidRPr="00BC4F64" w14:paraId="6DFA0FCE" w14:textId="77777777" w:rsidTr="004136D1">
        <w:trPr>
          <w:cantSplit/>
        </w:trPr>
        <w:tc>
          <w:tcPr>
            <w:tcW w:w="1100" w:type="pct"/>
            <w:shd w:val="clear" w:color="auto" w:fill="D9D9D9"/>
          </w:tcPr>
          <w:p w14:paraId="32D16BEA" w14:textId="483FC9F1" w:rsidR="00EC3002" w:rsidRPr="00362E71" w:rsidRDefault="004136D1" w:rsidP="004136D1">
            <w:pPr>
              <w:pStyle w:val="S8Gazettetableheading"/>
            </w:pPr>
            <w:r>
              <w:t>Date of variation</w:t>
            </w:r>
          </w:p>
        </w:tc>
        <w:tc>
          <w:tcPr>
            <w:tcW w:w="3900" w:type="pct"/>
            <w:shd w:val="clear" w:color="auto" w:fill="FFFFFF"/>
          </w:tcPr>
          <w:p w14:paraId="2725BE16" w14:textId="0AEC4447" w:rsidR="00EC3002" w:rsidRPr="009741CB" w:rsidRDefault="004136D1" w:rsidP="004136D1">
            <w:pPr>
              <w:pStyle w:val="S8Gazettetabletext"/>
            </w:pPr>
            <w:r>
              <w:t>24 July 2025</w:t>
            </w:r>
          </w:p>
        </w:tc>
      </w:tr>
      <w:tr w:rsidR="00EC3002" w:rsidRPr="00BC4F64" w14:paraId="396052ED" w14:textId="77777777" w:rsidTr="004136D1">
        <w:trPr>
          <w:cantSplit/>
        </w:trPr>
        <w:tc>
          <w:tcPr>
            <w:tcW w:w="1100" w:type="pct"/>
            <w:shd w:val="clear" w:color="auto" w:fill="D9D9D9"/>
          </w:tcPr>
          <w:p w14:paraId="2D3D4C6C" w14:textId="26DAEB9F" w:rsidR="00EC3002" w:rsidRPr="00362E71" w:rsidRDefault="004136D1" w:rsidP="004136D1">
            <w:pPr>
              <w:pStyle w:val="S8Gazettetableheading"/>
            </w:pPr>
            <w:r>
              <w:t>Product registration no.</w:t>
            </w:r>
          </w:p>
        </w:tc>
        <w:tc>
          <w:tcPr>
            <w:tcW w:w="3900" w:type="pct"/>
            <w:shd w:val="clear" w:color="auto" w:fill="FFFFFF"/>
          </w:tcPr>
          <w:p w14:paraId="23A98502" w14:textId="5AFCF5DD" w:rsidR="00EC3002" w:rsidRPr="00BC4F64" w:rsidRDefault="004136D1" w:rsidP="004136D1">
            <w:pPr>
              <w:pStyle w:val="S8Gazettetabletext"/>
            </w:pPr>
            <w:r>
              <w:t>63479</w:t>
            </w:r>
          </w:p>
        </w:tc>
      </w:tr>
      <w:tr w:rsidR="00EC3002" w:rsidRPr="00BC4F64" w14:paraId="5E36A647" w14:textId="77777777" w:rsidTr="004136D1">
        <w:trPr>
          <w:cantSplit/>
        </w:trPr>
        <w:tc>
          <w:tcPr>
            <w:tcW w:w="1100" w:type="pct"/>
            <w:shd w:val="clear" w:color="auto" w:fill="D9D9D9"/>
          </w:tcPr>
          <w:p w14:paraId="3F5A2697" w14:textId="4C4B38B1" w:rsidR="00EC3002" w:rsidRPr="00362E71" w:rsidRDefault="004136D1" w:rsidP="004136D1">
            <w:pPr>
              <w:pStyle w:val="S8Gazettetableheading"/>
            </w:pPr>
            <w:r>
              <w:t>Label approval no.</w:t>
            </w:r>
          </w:p>
        </w:tc>
        <w:tc>
          <w:tcPr>
            <w:tcW w:w="3900" w:type="pct"/>
            <w:shd w:val="clear" w:color="auto" w:fill="FFFFFF"/>
          </w:tcPr>
          <w:p w14:paraId="00873631" w14:textId="06692160" w:rsidR="00EC3002" w:rsidRPr="00BC4F64" w:rsidRDefault="004136D1" w:rsidP="004136D1">
            <w:pPr>
              <w:pStyle w:val="S8Gazettetabletext"/>
            </w:pPr>
            <w:r>
              <w:t>63479/149262</w:t>
            </w:r>
          </w:p>
        </w:tc>
      </w:tr>
      <w:tr w:rsidR="00EC3002" w:rsidRPr="00BC4F64" w14:paraId="38CE463D" w14:textId="77777777" w:rsidTr="004136D1">
        <w:trPr>
          <w:cantSplit/>
        </w:trPr>
        <w:tc>
          <w:tcPr>
            <w:tcW w:w="1100" w:type="pct"/>
            <w:shd w:val="clear" w:color="auto" w:fill="D9D9D9"/>
          </w:tcPr>
          <w:p w14:paraId="7195DFA3" w14:textId="40C396D9"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DB16076" w14:textId="3D85DC42"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 xml:space="preserve">Paw Pure Animal Wellbeing by Blackmores </w:t>
            </w:r>
            <w:proofErr w:type="spellStart"/>
            <w:r>
              <w:t>Mediderm</w:t>
            </w:r>
            <w:proofErr w:type="spellEnd"/>
            <w:r>
              <w:t xml:space="preserve"> Gentle Medicated Shampoo</w:t>
            </w:r>
            <w:r>
              <w:t>’</w:t>
            </w:r>
            <w:r>
              <w:t xml:space="preserve"> to </w:t>
            </w:r>
            <w:r>
              <w:t>‘</w:t>
            </w:r>
            <w:r>
              <w:t xml:space="preserve">Paw Pure Animal Wellbeing </w:t>
            </w:r>
            <w:proofErr w:type="spellStart"/>
            <w:r>
              <w:t>Mediderm</w:t>
            </w:r>
            <w:proofErr w:type="spellEnd"/>
            <w:r>
              <w:t xml:space="preserve"> Gentle Medicated Shampoo</w:t>
            </w:r>
            <w:r>
              <w:t>’</w:t>
            </w:r>
          </w:p>
        </w:tc>
      </w:tr>
    </w:tbl>
    <w:p w14:paraId="5C6974EA"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0D159FBC" w14:textId="77777777" w:rsidTr="004136D1">
        <w:trPr>
          <w:cantSplit/>
          <w:tblHeader/>
        </w:trPr>
        <w:tc>
          <w:tcPr>
            <w:tcW w:w="1100" w:type="pct"/>
            <w:shd w:val="clear" w:color="auto" w:fill="D9D9D9"/>
          </w:tcPr>
          <w:p w14:paraId="54B71E48" w14:textId="1753307D" w:rsidR="00EC3002" w:rsidRPr="00BC4F64" w:rsidRDefault="004136D1" w:rsidP="004136D1">
            <w:pPr>
              <w:pStyle w:val="S8Gazettetableheading"/>
            </w:pPr>
            <w:r>
              <w:lastRenderedPageBreak/>
              <w:t>Application no.</w:t>
            </w:r>
          </w:p>
        </w:tc>
        <w:tc>
          <w:tcPr>
            <w:tcW w:w="3900" w:type="pct"/>
            <w:shd w:val="clear" w:color="auto" w:fill="FFFFFF"/>
          </w:tcPr>
          <w:p w14:paraId="101191DE" w14:textId="2DCAB851" w:rsidR="00EC3002" w:rsidRPr="00BC4F64" w:rsidRDefault="004136D1" w:rsidP="004136D1">
            <w:pPr>
              <w:pStyle w:val="S8Gazettetabletext"/>
            </w:pPr>
            <w:r>
              <w:t>149263</w:t>
            </w:r>
          </w:p>
        </w:tc>
      </w:tr>
      <w:tr w:rsidR="00EC3002" w:rsidRPr="00BC4F64" w14:paraId="2C83E6A1" w14:textId="77777777" w:rsidTr="004136D1">
        <w:trPr>
          <w:cantSplit/>
          <w:tblHeader/>
        </w:trPr>
        <w:tc>
          <w:tcPr>
            <w:tcW w:w="1100" w:type="pct"/>
            <w:shd w:val="clear" w:color="auto" w:fill="D9D9D9"/>
          </w:tcPr>
          <w:p w14:paraId="119D979D" w14:textId="0A549613" w:rsidR="00EC3002" w:rsidRPr="00362E71" w:rsidRDefault="004136D1" w:rsidP="004136D1">
            <w:pPr>
              <w:pStyle w:val="S8Gazettetableheading"/>
            </w:pPr>
            <w:r>
              <w:t>Product name</w:t>
            </w:r>
          </w:p>
        </w:tc>
        <w:tc>
          <w:tcPr>
            <w:tcW w:w="3900" w:type="pct"/>
            <w:shd w:val="clear" w:color="auto" w:fill="FFFFFF"/>
          </w:tcPr>
          <w:p w14:paraId="65CE0ADE" w14:textId="3840B672" w:rsidR="00EC3002" w:rsidRPr="00BC4F64" w:rsidRDefault="004136D1" w:rsidP="004136D1">
            <w:pPr>
              <w:pStyle w:val="S8Gazettetabletext"/>
            </w:pPr>
            <w:r>
              <w:t xml:space="preserve">Paw Pure Animal Wellbeing </w:t>
            </w:r>
            <w:proofErr w:type="spellStart"/>
            <w:r>
              <w:t>Nutriderm</w:t>
            </w:r>
            <w:proofErr w:type="spellEnd"/>
            <w:r>
              <w:t xml:space="preserve"> Replenishing Conditioner</w:t>
            </w:r>
          </w:p>
        </w:tc>
      </w:tr>
      <w:tr w:rsidR="00EC3002" w:rsidRPr="00BC4F64" w14:paraId="34E41D40" w14:textId="77777777" w:rsidTr="004136D1">
        <w:trPr>
          <w:cantSplit/>
          <w:tblHeader/>
        </w:trPr>
        <w:tc>
          <w:tcPr>
            <w:tcW w:w="1100" w:type="pct"/>
            <w:shd w:val="clear" w:color="auto" w:fill="D9D9D9"/>
          </w:tcPr>
          <w:p w14:paraId="5B336B41" w14:textId="1F69E1A3" w:rsidR="00EC3002" w:rsidRPr="00362E71" w:rsidRDefault="004136D1" w:rsidP="004136D1">
            <w:pPr>
              <w:pStyle w:val="S8Gazettetableheading"/>
            </w:pPr>
            <w:r>
              <w:t>Active constituent</w:t>
            </w:r>
          </w:p>
        </w:tc>
        <w:tc>
          <w:tcPr>
            <w:tcW w:w="3900" w:type="pct"/>
            <w:shd w:val="clear" w:color="auto" w:fill="FFFFFF"/>
          </w:tcPr>
          <w:p w14:paraId="5EA6825D" w14:textId="2EE1DE21" w:rsidR="00EC3002" w:rsidRPr="00BC4F64" w:rsidRDefault="004136D1" w:rsidP="004136D1">
            <w:pPr>
              <w:pStyle w:val="S8Gazettetabletext"/>
            </w:pPr>
            <w:r>
              <w:t>21 g/L colloidal oatmeal</w:t>
            </w:r>
          </w:p>
        </w:tc>
      </w:tr>
      <w:tr w:rsidR="00EC3002" w:rsidRPr="00BC4F64" w14:paraId="66497312" w14:textId="77777777" w:rsidTr="004136D1">
        <w:trPr>
          <w:cantSplit/>
          <w:tblHeader/>
        </w:trPr>
        <w:tc>
          <w:tcPr>
            <w:tcW w:w="1100" w:type="pct"/>
            <w:shd w:val="clear" w:color="auto" w:fill="D9D9D9"/>
          </w:tcPr>
          <w:p w14:paraId="2E42F692" w14:textId="44DABC85" w:rsidR="00EC3002" w:rsidRPr="00362E71" w:rsidRDefault="004136D1" w:rsidP="004136D1">
            <w:pPr>
              <w:pStyle w:val="S8Gazettetableheading"/>
            </w:pPr>
            <w:r>
              <w:t>Applicant name</w:t>
            </w:r>
          </w:p>
        </w:tc>
        <w:tc>
          <w:tcPr>
            <w:tcW w:w="3900" w:type="pct"/>
            <w:shd w:val="clear" w:color="auto" w:fill="FFFFFF"/>
          </w:tcPr>
          <w:p w14:paraId="59F9FC1B" w14:textId="21FBEDD0" w:rsidR="00EC3002" w:rsidRPr="00BC4F64" w:rsidRDefault="004136D1" w:rsidP="004136D1">
            <w:pPr>
              <w:pStyle w:val="S8Gazettetabletext"/>
            </w:pPr>
            <w:r>
              <w:t>Blackmores Limited</w:t>
            </w:r>
          </w:p>
        </w:tc>
      </w:tr>
      <w:tr w:rsidR="00EC3002" w:rsidRPr="00FA2079" w14:paraId="68E217B1" w14:textId="77777777" w:rsidTr="004136D1">
        <w:trPr>
          <w:cantSplit/>
          <w:tblHeader/>
        </w:trPr>
        <w:tc>
          <w:tcPr>
            <w:tcW w:w="1100" w:type="pct"/>
            <w:shd w:val="clear" w:color="auto" w:fill="D9D9D9"/>
          </w:tcPr>
          <w:p w14:paraId="2AD05C85" w14:textId="7E59D83B" w:rsidR="00EC3002" w:rsidRPr="00BC4F64" w:rsidRDefault="004136D1" w:rsidP="004136D1">
            <w:pPr>
              <w:pStyle w:val="S8Gazettetableheading"/>
            </w:pPr>
            <w:r>
              <w:t>Applicant ACN</w:t>
            </w:r>
          </w:p>
        </w:tc>
        <w:tc>
          <w:tcPr>
            <w:tcW w:w="3900" w:type="pct"/>
            <w:shd w:val="clear" w:color="auto" w:fill="FFFFFF"/>
          </w:tcPr>
          <w:p w14:paraId="167A3223" w14:textId="5FE73EA2" w:rsidR="00EC3002" w:rsidRPr="00FA2079" w:rsidRDefault="004136D1" w:rsidP="004136D1">
            <w:pPr>
              <w:pStyle w:val="S8Gazettetabletext"/>
            </w:pPr>
            <w:r>
              <w:t>009 713 437</w:t>
            </w:r>
          </w:p>
        </w:tc>
      </w:tr>
      <w:tr w:rsidR="00EC3002" w:rsidRPr="00BC4F64" w14:paraId="4B1E4464" w14:textId="77777777" w:rsidTr="004136D1">
        <w:trPr>
          <w:cantSplit/>
          <w:tblHeader/>
        </w:trPr>
        <w:tc>
          <w:tcPr>
            <w:tcW w:w="1100" w:type="pct"/>
            <w:shd w:val="clear" w:color="auto" w:fill="D9D9D9"/>
          </w:tcPr>
          <w:p w14:paraId="44B3DD3B" w14:textId="45BBD7CE" w:rsidR="00EC3002" w:rsidRPr="00362E71" w:rsidRDefault="004136D1" w:rsidP="004136D1">
            <w:pPr>
              <w:pStyle w:val="S8Gazettetableheading"/>
            </w:pPr>
            <w:r>
              <w:t>Date of variation</w:t>
            </w:r>
          </w:p>
        </w:tc>
        <w:tc>
          <w:tcPr>
            <w:tcW w:w="3900" w:type="pct"/>
            <w:shd w:val="clear" w:color="auto" w:fill="FFFFFF"/>
          </w:tcPr>
          <w:p w14:paraId="433B0AE8" w14:textId="4C7B9D72" w:rsidR="00EC3002" w:rsidRPr="00BC4F64" w:rsidRDefault="004136D1" w:rsidP="004136D1">
            <w:pPr>
              <w:pStyle w:val="S8Gazettetabletext"/>
            </w:pPr>
            <w:r>
              <w:t>24 July 2025</w:t>
            </w:r>
          </w:p>
        </w:tc>
      </w:tr>
      <w:tr w:rsidR="00EC3002" w:rsidRPr="00BC4F64" w14:paraId="79678FC3" w14:textId="77777777" w:rsidTr="004136D1">
        <w:trPr>
          <w:cantSplit/>
          <w:tblHeader/>
        </w:trPr>
        <w:tc>
          <w:tcPr>
            <w:tcW w:w="1100" w:type="pct"/>
            <w:shd w:val="clear" w:color="auto" w:fill="D9D9D9"/>
          </w:tcPr>
          <w:p w14:paraId="63328F8F" w14:textId="589B9077" w:rsidR="00EC3002" w:rsidRPr="00362E71" w:rsidRDefault="004136D1" w:rsidP="004136D1">
            <w:pPr>
              <w:pStyle w:val="S8Gazettetableheading"/>
            </w:pPr>
            <w:r>
              <w:t>Product registration no.</w:t>
            </w:r>
          </w:p>
        </w:tc>
        <w:tc>
          <w:tcPr>
            <w:tcW w:w="3900" w:type="pct"/>
            <w:shd w:val="clear" w:color="auto" w:fill="FFFFFF"/>
          </w:tcPr>
          <w:p w14:paraId="25BA5BFC" w14:textId="622C9E79" w:rsidR="00EC3002" w:rsidRPr="00BC4F64" w:rsidRDefault="004136D1" w:rsidP="004136D1">
            <w:pPr>
              <w:pStyle w:val="S8Gazettetabletext"/>
            </w:pPr>
            <w:r>
              <w:t>91972</w:t>
            </w:r>
          </w:p>
        </w:tc>
      </w:tr>
      <w:tr w:rsidR="00EC3002" w:rsidRPr="00BC4F64" w14:paraId="019A4415" w14:textId="77777777" w:rsidTr="004136D1">
        <w:trPr>
          <w:cantSplit/>
          <w:tblHeader/>
        </w:trPr>
        <w:tc>
          <w:tcPr>
            <w:tcW w:w="1100" w:type="pct"/>
            <w:shd w:val="clear" w:color="auto" w:fill="D9D9D9"/>
          </w:tcPr>
          <w:p w14:paraId="1503150B" w14:textId="7739F6D2" w:rsidR="00EC3002" w:rsidRPr="00362E71" w:rsidRDefault="004136D1" w:rsidP="004136D1">
            <w:pPr>
              <w:pStyle w:val="S8Gazettetableheading"/>
            </w:pPr>
            <w:r>
              <w:t>Label approval no.</w:t>
            </w:r>
          </w:p>
        </w:tc>
        <w:tc>
          <w:tcPr>
            <w:tcW w:w="3900" w:type="pct"/>
            <w:shd w:val="clear" w:color="auto" w:fill="FFFFFF"/>
          </w:tcPr>
          <w:p w14:paraId="324AFB5F" w14:textId="0396A45A" w:rsidR="00EC3002" w:rsidRPr="00BC4F64" w:rsidRDefault="004136D1" w:rsidP="004136D1">
            <w:pPr>
              <w:pStyle w:val="S8Gazettetabletext"/>
            </w:pPr>
            <w:r>
              <w:t>91972/149263</w:t>
            </w:r>
          </w:p>
        </w:tc>
      </w:tr>
      <w:tr w:rsidR="00EC3002" w:rsidRPr="000A58B5" w14:paraId="0D7B9E6A" w14:textId="77777777" w:rsidTr="004136D1">
        <w:trPr>
          <w:cantSplit/>
          <w:tblHeader/>
        </w:trPr>
        <w:tc>
          <w:tcPr>
            <w:tcW w:w="1100" w:type="pct"/>
            <w:shd w:val="clear" w:color="auto" w:fill="D9D9D9"/>
          </w:tcPr>
          <w:p w14:paraId="16328192" w14:textId="3AA74271"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2AA16A66" w14:textId="7B3E09F7" w:rsidR="00EC3002" w:rsidRPr="000A58B5" w:rsidRDefault="004136D1" w:rsidP="004136D1">
            <w:pPr>
              <w:pStyle w:val="S8Gazettetabletext"/>
            </w:pPr>
            <w:r>
              <w:t xml:space="preserve">Variation to the particulars of registration and label approval to change the distinguishing product name and the name that appears on the label from </w:t>
            </w:r>
            <w:r>
              <w:t>‘</w:t>
            </w:r>
            <w:r>
              <w:t xml:space="preserve">Paw Pure Animal Wellbeing by Blackmores </w:t>
            </w:r>
            <w:proofErr w:type="spellStart"/>
            <w:r>
              <w:t>Nutriderm</w:t>
            </w:r>
            <w:proofErr w:type="spellEnd"/>
            <w:r>
              <w:t xml:space="preserve"> Replenishing Conditioner</w:t>
            </w:r>
            <w:r>
              <w:t>’</w:t>
            </w:r>
            <w:r>
              <w:t xml:space="preserve"> to </w:t>
            </w:r>
            <w:r>
              <w:t>‘</w:t>
            </w:r>
            <w:r>
              <w:t xml:space="preserve">Paw Pure Animal Wellbeing </w:t>
            </w:r>
            <w:proofErr w:type="spellStart"/>
            <w:r>
              <w:t>Nutriderm</w:t>
            </w:r>
            <w:proofErr w:type="spellEnd"/>
            <w:r>
              <w:t xml:space="preserve"> Replenishing Conditioner</w:t>
            </w:r>
            <w:r>
              <w:t>’</w:t>
            </w:r>
          </w:p>
        </w:tc>
      </w:tr>
    </w:tbl>
    <w:p w14:paraId="5A79120C"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2B66BB2C" w14:textId="77777777" w:rsidTr="004136D1">
        <w:trPr>
          <w:cantSplit/>
        </w:trPr>
        <w:tc>
          <w:tcPr>
            <w:tcW w:w="1100" w:type="pct"/>
            <w:shd w:val="clear" w:color="auto" w:fill="D9D9D9"/>
          </w:tcPr>
          <w:p w14:paraId="71B64E21" w14:textId="2D592AE7" w:rsidR="00EC3002" w:rsidRPr="00BC4F64" w:rsidRDefault="004136D1" w:rsidP="004136D1">
            <w:pPr>
              <w:pStyle w:val="S8Gazettetableheading"/>
            </w:pPr>
            <w:r>
              <w:t>Application no.</w:t>
            </w:r>
          </w:p>
        </w:tc>
        <w:tc>
          <w:tcPr>
            <w:tcW w:w="3900" w:type="pct"/>
            <w:shd w:val="clear" w:color="auto" w:fill="FFFFFF"/>
          </w:tcPr>
          <w:p w14:paraId="79E04291" w14:textId="4C3B7777" w:rsidR="00EC3002" w:rsidRPr="00BC4F64" w:rsidRDefault="004136D1" w:rsidP="004136D1">
            <w:pPr>
              <w:pStyle w:val="S8Gazettetabletext"/>
            </w:pPr>
            <w:r>
              <w:t>149264</w:t>
            </w:r>
          </w:p>
        </w:tc>
      </w:tr>
      <w:tr w:rsidR="00EC3002" w:rsidRPr="00BC4F64" w14:paraId="114246EC" w14:textId="77777777" w:rsidTr="004136D1">
        <w:trPr>
          <w:cantSplit/>
        </w:trPr>
        <w:tc>
          <w:tcPr>
            <w:tcW w:w="1100" w:type="pct"/>
            <w:shd w:val="clear" w:color="auto" w:fill="D9D9D9"/>
          </w:tcPr>
          <w:p w14:paraId="1F2762A0" w14:textId="11217F07" w:rsidR="00EC3002" w:rsidRPr="00362E71" w:rsidRDefault="004136D1" w:rsidP="004136D1">
            <w:pPr>
              <w:pStyle w:val="S8Gazettetableheading"/>
            </w:pPr>
            <w:r>
              <w:t>Product name</w:t>
            </w:r>
          </w:p>
        </w:tc>
        <w:tc>
          <w:tcPr>
            <w:tcW w:w="3900" w:type="pct"/>
            <w:shd w:val="clear" w:color="auto" w:fill="FFFFFF"/>
          </w:tcPr>
          <w:p w14:paraId="44FF4D38" w14:textId="6B22CB63" w:rsidR="00EC3002" w:rsidRPr="00BC4F64" w:rsidRDefault="004136D1" w:rsidP="004136D1">
            <w:pPr>
              <w:pStyle w:val="S8Gazettetabletext"/>
            </w:pPr>
            <w:r>
              <w:t xml:space="preserve">Paw Pure Animal Wellbeing </w:t>
            </w:r>
            <w:proofErr w:type="spellStart"/>
            <w:r>
              <w:t>Osteosupport</w:t>
            </w:r>
            <w:proofErr w:type="spellEnd"/>
            <w:r>
              <w:t xml:space="preserve"> Joint Relief for Dogs</w:t>
            </w:r>
          </w:p>
        </w:tc>
      </w:tr>
      <w:tr w:rsidR="00EC3002" w:rsidRPr="00BC4F64" w14:paraId="4BEBD219" w14:textId="77777777" w:rsidTr="004136D1">
        <w:trPr>
          <w:cantSplit/>
        </w:trPr>
        <w:tc>
          <w:tcPr>
            <w:tcW w:w="1100" w:type="pct"/>
            <w:shd w:val="clear" w:color="auto" w:fill="D9D9D9"/>
          </w:tcPr>
          <w:p w14:paraId="36A77C97" w14:textId="58191078" w:rsidR="00EC3002" w:rsidRPr="00362E71" w:rsidRDefault="004136D1" w:rsidP="004136D1">
            <w:pPr>
              <w:pStyle w:val="S8Gazettetableheading"/>
            </w:pPr>
            <w:r>
              <w:t>Active constituent</w:t>
            </w:r>
          </w:p>
        </w:tc>
        <w:tc>
          <w:tcPr>
            <w:tcW w:w="3900" w:type="pct"/>
            <w:shd w:val="clear" w:color="auto" w:fill="FFFFFF"/>
          </w:tcPr>
          <w:p w14:paraId="526370D1" w14:textId="27636E5E" w:rsidR="00EC3002" w:rsidRPr="00BC4F64" w:rsidRDefault="004136D1" w:rsidP="004136D1">
            <w:pPr>
              <w:pStyle w:val="S8Gazettetabletext"/>
            </w:pPr>
            <w:r>
              <w:t>Each capsule contains 500 mg green lipped mussel powder (Perna canaliculus)</w:t>
            </w:r>
          </w:p>
        </w:tc>
      </w:tr>
      <w:tr w:rsidR="00EC3002" w:rsidRPr="00BC4F64" w14:paraId="3E913C46" w14:textId="77777777" w:rsidTr="004136D1">
        <w:trPr>
          <w:cantSplit/>
        </w:trPr>
        <w:tc>
          <w:tcPr>
            <w:tcW w:w="1100" w:type="pct"/>
            <w:shd w:val="clear" w:color="auto" w:fill="D9D9D9"/>
          </w:tcPr>
          <w:p w14:paraId="30E7F08F" w14:textId="56140240" w:rsidR="00EC3002" w:rsidRPr="00362E71" w:rsidRDefault="004136D1" w:rsidP="004136D1">
            <w:pPr>
              <w:pStyle w:val="S8Gazettetableheading"/>
            </w:pPr>
            <w:r>
              <w:t>Applicant name</w:t>
            </w:r>
          </w:p>
        </w:tc>
        <w:tc>
          <w:tcPr>
            <w:tcW w:w="3900" w:type="pct"/>
            <w:shd w:val="clear" w:color="auto" w:fill="FFFFFF"/>
          </w:tcPr>
          <w:p w14:paraId="4D0471DE" w14:textId="23715D65" w:rsidR="00EC3002" w:rsidRPr="00BC4F64" w:rsidRDefault="004136D1" w:rsidP="004136D1">
            <w:pPr>
              <w:pStyle w:val="S8Gazettetabletext"/>
            </w:pPr>
            <w:r>
              <w:t>Blackmores Limited</w:t>
            </w:r>
          </w:p>
        </w:tc>
      </w:tr>
      <w:tr w:rsidR="00EC3002" w:rsidRPr="00BC4F64" w14:paraId="0FC9EA77" w14:textId="77777777" w:rsidTr="004136D1">
        <w:trPr>
          <w:cantSplit/>
        </w:trPr>
        <w:tc>
          <w:tcPr>
            <w:tcW w:w="1100" w:type="pct"/>
            <w:shd w:val="clear" w:color="auto" w:fill="D9D9D9"/>
          </w:tcPr>
          <w:p w14:paraId="64C20F1C" w14:textId="02CF360F" w:rsidR="00EC3002" w:rsidRPr="00BC4F64" w:rsidRDefault="004136D1" w:rsidP="004136D1">
            <w:pPr>
              <w:pStyle w:val="S8Gazettetableheading"/>
            </w:pPr>
            <w:r>
              <w:t>Applicant ACN</w:t>
            </w:r>
          </w:p>
        </w:tc>
        <w:tc>
          <w:tcPr>
            <w:tcW w:w="3900" w:type="pct"/>
            <w:shd w:val="clear" w:color="auto" w:fill="FFFFFF"/>
          </w:tcPr>
          <w:p w14:paraId="03CAA288" w14:textId="20A3CB14" w:rsidR="00EC3002" w:rsidRPr="00FA2079" w:rsidRDefault="004136D1" w:rsidP="004136D1">
            <w:pPr>
              <w:pStyle w:val="S8Gazettetabletext"/>
            </w:pPr>
            <w:r>
              <w:t>009 713 437</w:t>
            </w:r>
          </w:p>
        </w:tc>
      </w:tr>
      <w:tr w:rsidR="00EC3002" w:rsidRPr="00BC4F64" w14:paraId="216EFA0E" w14:textId="77777777" w:rsidTr="004136D1">
        <w:trPr>
          <w:cantSplit/>
        </w:trPr>
        <w:tc>
          <w:tcPr>
            <w:tcW w:w="1100" w:type="pct"/>
            <w:shd w:val="clear" w:color="auto" w:fill="D9D9D9"/>
          </w:tcPr>
          <w:p w14:paraId="50348D67" w14:textId="46B6D836" w:rsidR="00EC3002" w:rsidRPr="00362E71" w:rsidRDefault="004136D1" w:rsidP="004136D1">
            <w:pPr>
              <w:pStyle w:val="S8Gazettetableheading"/>
            </w:pPr>
            <w:r>
              <w:t>Date of variation</w:t>
            </w:r>
          </w:p>
        </w:tc>
        <w:tc>
          <w:tcPr>
            <w:tcW w:w="3900" w:type="pct"/>
            <w:shd w:val="clear" w:color="auto" w:fill="FFFFFF"/>
          </w:tcPr>
          <w:p w14:paraId="0B218EC6" w14:textId="3AEEA380" w:rsidR="00EC3002" w:rsidRPr="00BC4F64" w:rsidRDefault="004136D1" w:rsidP="004136D1">
            <w:pPr>
              <w:pStyle w:val="S8Gazettetabletext"/>
            </w:pPr>
            <w:r>
              <w:t>24 July 2025</w:t>
            </w:r>
          </w:p>
        </w:tc>
      </w:tr>
      <w:tr w:rsidR="00EC3002" w:rsidRPr="00BC4F64" w14:paraId="1E44B335" w14:textId="77777777" w:rsidTr="004136D1">
        <w:trPr>
          <w:cantSplit/>
        </w:trPr>
        <w:tc>
          <w:tcPr>
            <w:tcW w:w="1100" w:type="pct"/>
            <w:shd w:val="clear" w:color="auto" w:fill="D9D9D9"/>
          </w:tcPr>
          <w:p w14:paraId="397BA070" w14:textId="47A1BE47" w:rsidR="00EC3002" w:rsidRPr="00362E71" w:rsidRDefault="004136D1" w:rsidP="004136D1">
            <w:pPr>
              <w:pStyle w:val="S8Gazettetableheading"/>
            </w:pPr>
            <w:r>
              <w:t>Product registration no.</w:t>
            </w:r>
          </w:p>
        </w:tc>
        <w:tc>
          <w:tcPr>
            <w:tcW w:w="3900" w:type="pct"/>
            <w:shd w:val="clear" w:color="auto" w:fill="FFFFFF"/>
          </w:tcPr>
          <w:p w14:paraId="56C6A8C0" w14:textId="5874300A" w:rsidR="00EC3002" w:rsidRPr="00BC4F64" w:rsidRDefault="004136D1" w:rsidP="004136D1">
            <w:pPr>
              <w:pStyle w:val="S8Gazettetabletext"/>
            </w:pPr>
            <w:r>
              <w:t>61081</w:t>
            </w:r>
          </w:p>
        </w:tc>
      </w:tr>
      <w:tr w:rsidR="00EC3002" w:rsidRPr="00BC4F64" w14:paraId="451C08FA" w14:textId="77777777" w:rsidTr="004136D1">
        <w:trPr>
          <w:cantSplit/>
        </w:trPr>
        <w:tc>
          <w:tcPr>
            <w:tcW w:w="1100" w:type="pct"/>
            <w:shd w:val="clear" w:color="auto" w:fill="D9D9D9"/>
          </w:tcPr>
          <w:p w14:paraId="4C9BA97B" w14:textId="1D9C1CF5" w:rsidR="00EC3002" w:rsidRPr="00362E71" w:rsidRDefault="004136D1" w:rsidP="004136D1">
            <w:pPr>
              <w:pStyle w:val="S8Gazettetableheading"/>
            </w:pPr>
            <w:r>
              <w:t>Label approval no.</w:t>
            </w:r>
          </w:p>
        </w:tc>
        <w:tc>
          <w:tcPr>
            <w:tcW w:w="3900" w:type="pct"/>
            <w:shd w:val="clear" w:color="auto" w:fill="FFFFFF"/>
          </w:tcPr>
          <w:p w14:paraId="0AC1BA7D" w14:textId="360CBE5B" w:rsidR="00EC3002" w:rsidRPr="00BC4F64" w:rsidRDefault="004136D1" w:rsidP="004136D1">
            <w:pPr>
              <w:pStyle w:val="S8Gazettetabletext"/>
            </w:pPr>
            <w:r>
              <w:t>61081/149264</w:t>
            </w:r>
          </w:p>
        </w:tc>
      </w:tr>
      <w:tr w:rsidR="00EC3002" w:rsidRPr="00BC4F64" w14:paraId="53B56DEE" w14:textId="77777777" w:rsidTr="004136D1">
        <w:trPr>
          <w:cantSplit/>
        </w:trPr>
        <w:tc>
          <w:tcPr>
            <w:tcW w:w="1100" w:type="pct"/>
            <w:shd w:val="clear" w:color="auto" w:fill="D9D9D9"/>
          </w:tcPr>
          <w:p w14:paraId="5F91482B" w14:textId="7C6C4400"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38A824B" w14:textId="6A868A20"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 xml:space="preserve">Paw Pure Animal Wellbeing by Blackmores </w:t>
            </w:r>
            <w:proofErr w:type="spellStart"/>
            <w:r>
              <w:t>Osteosupport</w:t>
            </w:r>
            <w:proofErr w:type="spellEnd"/>
            <w:r>
              <w:t xml:space="preserve"> Joint Relief for Dogs</w:t>
            </w:r>
            <w:r>
              <w:t>’</w:t>
            </w:r>
            <w:r>
              <w:t xml:space="preserve"> to </w:t>
            </w:r>
            <w:r>
              <w:t>‘</w:t>
            </w:r>
            <w:r>
              <w:t xml:space="preserve">Paw Pure Animal Wellbeing </w:t>
            </w:r>
            <w:proofErr w:type="spellStart"/>
            <w:r>
              <w:t>Osteosupport</w:t>
            </w:r>
            <w:proofErr w:type="spellEnd"/>
            <w:r>
              <w:t xml:space="preserve"> Joint Relief for Dogs</w:t>
            </w:r>
            <w:r>
              <w:t>’</w:t>
            </w:r>
          </w:p>
        </w:tc>
      </w:tr>
    </w:tbl>
    <w:p w14:paraId="724738DF"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20A50077" w14:textId="77777777" w:rsidTr="004136D1">
        <w:trPr>
          <w:cantSplit/>
        </w:trPr>
        <w:tc>
          <w:tcPr>
            <w:tcW w:w="1100" w:type="pct"/>
            <w:shd w:val="clear" w:color="auto" w:fill="D9D9D9"/>
          </w:tcPr>
          <w:p w14:paraId="315DB50E" w14:textId="00DF7FFD" w:rsidR="00EC3002" w:rsidRPr="00BC4F64" w:rsidRDefault="004136D1" w:rsidP="004136D1">
            <w:pPr>
              <w:pStyle w:val="S8Gazettetableheading"/>
            </w:pPr>
            <w:r>
              <w:t>Application no.</w:t>
            </w:r>
          </w:p>
        </w:tc>
        <w:tc>
          <w:tcPr>
            <w:tcW w:w="3900" w:type="pct"/>
            <w:shd w:val="clear" w:color="auto" w:fill="FFFFFF"/>
          </w:tcPr>
          <w:p w14:paraId="72F79F3E" w14:textId="6E4D0731" w:rsidR="00EC3002" w:rsidRPr="00BC4F64" w:rsidRDefault="004136D1" w:rsidP="004136D1">
            <w:pPr>
              <w:pStyle w:val="S8Gazettetabletext"/>
            </w:pPr>
            <w:r>
              <w:t>149265</w:t>
            </w:r>
          </w:p>
        </w:tc>
      </w:tr>
      <w:tr w:rsidR="00EC3002" w:rsidRPr="00BC4F64" w14:paraId="09373047" w14:textId="77777777" w:rsidTr="004136D1">
        <w:trPr>
          <w:cantSplit/>
        </w:trPr>
        <w:tc>
          <w:tcPr>
            <w:tcW w:w="1100" w:type="pct"/>
            <w:shd w:val="clear" w:color="auto" w:fill="D9D9D9"/>
          </w:tcPr>
          <w:p w14:paraId="750FA148" w14:textId="25452052" w:rsidR="00EC3002" w:rsidRPr="00362E71" w:rsidRDefault="004136D1" w:rsidP="004136D1">
            <w:pPr>
              <w:pStyle w:val="S8Gazettetableheading"/>
            </w:pPr>
            <w:r>
              <w:t>Product name</w:t>
            </w:r>
          </w:p>
        </w:tc>
        <w:tc>
          <w:tcPr>
            <w:tcW w:w="3900" w:type="pct"/>
            <w:shd w:val="clear" w:color="auto" w:fill="FFFFFF"/>
          </w:tcPr>
          <w:p w14:paraId="73AB2F01" w14:textId="594DB572" w:rsidR="00EC3002" w:rsidRPr="00BC4F64" w:rsidRDefault="004136D1" w:rsidP="004136D1">
            <w:pPr>
              <w:pStyle w:val="S8Gazettetabletext"/>
            </w:pPr>
            <w:r>
              <w:t xml:space="preserve">Paw Pure Animal Wellbeing </w:t>
            </w:r>
            <w:proofErr w:type="spellStart"/>
            <w:r>
              <w:t>Osteosupport</w:t>
            </w:r>
            <w:proofErr w:type="spellEnd"/>
            <w:r>
              <w:t xml:space="preserve"> Joint Relief for Cats</w:t>
            </w:r>
          </w:p>
        </w:tc>
      </w:tr>
      <w:tr w:rsidR="00EC3002" w:rsidRPr="00BC4F64" w14:paraId="3D0D342E" w14:textId="77777777" w:rsidTr="004136D1">
        <w:trPr>
          <w:cantSplit/>
        </w:trPr>
        <w:tc>
          <w:tcPr>
            <w:tcW w:w="1100" w:type="pct"/>
            <w:shd w:val="clear" w:color="auto" w:fill="D9D9D9"/>
          </w:tcPr>
          <w:p w14:paraId="2543D176" w14:textId="6F31127B" w:rsidR="00EC3002" w:rsidRPr="00362E71" w:rsidRDefault="004136D1" w:rsidP="004136D1">
            <w:pPr>
              <w:pStyle w:val="S8Gazettetableheading"/>
            </w:pPr>
            <w:r>
              <w:t>Active constituent</w:t>
            </w:r>
          </w:p>
        </w:tc>
        <w:tc>
          <w:tcPr>
            <w:tcW w:w="3900" w:type="pct"/>
            <w:shd w:val="clear" w:color="auto" w:fill="FFFFFF"/>
          </w:tcPr>
          <w:p w14:paraId="35C76227" w14:textId="120778F2" w:rsidR="00EC3002" w:rsidRPr="00BC4F64" w:rsidRDefault="004136D1" w:rsidP="004136D1">
            <w:pPr>
              <w:pStyle w:val="S8Gazettetabletext"/>
            </w:pPr>
            <w:r>
              <w:t>Each capsule contains 500 mg green lipped mussel powder (Pema canaliculus)</w:t>
            </w:r>
          </w:p>
        </w:tc>
      </w:tr>
      <w:tr w:rsidR="00EC3002" w:rsidRPr="00BC4F64" w14:paraId="0FABA72A" w14:textId="77777777" w:rsidTr="004136D1">
        <w:trPr>
          <w:cantSplit/>
        </w:trPr>
        <w:tc>
          <w:tcPr>
            <w:tcW w:w="1100" w:type="pct"/>
            <w:shd w:val="clear" w:color="auto" w:fill="D9D9D9"/>
          </w:tcPr>
          <w:p w14:paraId="3E97A386" w14:textId="7726BCEA" w:rsidR="00EC3002" w:rsidRPr="00362E71" w:rsidRDefault="004136D1" w:rsidP="004136D1">
            <w:pPr>
              <w:pStyle w:val="S8Gazettetableheading"/>
            </w:pPr>
            <w:r>
              <w:t>Applicant name</w:t>
            </w:r>
          </w:p>
        </w:tc>
        <w:tc>
          <w:tcPr>
            <w:tcW w:w="3900" w:type="pct"/>
            <w:shd w:val="clear" w:color="auto" w:fill="FFFFFF"/>
          </w:tcPr>
          <w:p w14:paraId="5A692B36" w14:textId="08609121" w:rsidR="00EC3002" w:rsidRPr="00BC4F64" w:rsidRDefault="004136D1" w:rsidP="004136D1">
            <w:pPr>
              <w:pStyle w:val="S8Gazettetabletext"/>
            </w:pPr>
            <w:r>
              <w:t>Blackmores Limited</w:t>
            </w:r>
          </w:p>
        </w:tc>
      </w:tr>
      <w:tr w:rsidR="00EC3002" w:rsidRPr="00FA2079" w14:paraId="21246353" w14:textId="77777777" w:rsidTr="004136D1">
        <w:trPr>
          <w:cantSplit/>
        </w:trPr>
        <w:tc>
          <w:tcPr>
            <w:tcW w:w="1100" w:type="pct"/>
            <w:shd w:val="clear" w:color="auto" w:fill="D9D9D9"/>
          </w:tcPr>
          <w:p w14:paraId="4738A2FD" w14:textId="1D040F7B" w:rsidR="00EC3002" w:rsidRPr="00BC4F64" w:rsidRDefault="004136D1" w:rsidP="004136D1">
            <w:pPr>
              <w:pStyle w:val="S8Gazettetableheading"/>
            </w:pPr>
            <w:r>
              <w:t>Applicant ACN</w:t>
            </w:r>
          </w:p>
        </w:tc>
        <w:tc>
          <w:tcPr>
            <w:tcW w:w="3900" w:type="pct"/>
            <w:shd w:val="clear" w:color="auto" w:fill="FFFFFF"/>
          </w:tcPr>
          <w:p w14:paraId="62D1AE9B" w14:textId="11572207" w:rsidR="00EC3002" w:rsidRPr="00FA2079" w:rsidRDefault="004136D1" w:rsidP="004136D1">
            <w:pPr>
              <w:pStyle w:val="S8Gazettetabletext"/>
            </w:pPr>
            <w:r>
              <w:t>009 713 437</w:t>
            </w:r>
          </w:p>
        </w:tc>
      </w:tr>
      <w:tr w:rsidR="00EC3002" w:rsidRPr="00BC4F64" w14:paraId="0F4BA27A" w14:textId="77777777" w:rsidTr="004136D1">
        <w:trPr>
          <w:cantSplit/>
        </w:trPr>
        <w:tc>
          <w:tcPr>
            <w:tcW w:w="1100" w:type="pct"/>
            <w:shd w:val="clear" w:color="auto" w:fill="D9D9D9"/>
          </w:tcPr>
          <w:p w14:paraId="0C033A07" w14:textId="4C06E159" w:rsidR="00EC3002" w:rsidRPr="00362E71" w:rsidRDefault="004136D1" w:rsidP="004136D1">
            <w:pPr>
              <w:pStyle w:val="S8Gazettetableheading"/>
            </w:pPr>
            <w:r>
              <w:t>Date of variation</w:t>
            </w:r>
          </w:p>
        </w:tc>
        <w:tc>
          <w:tcPr>
            <w:tcW w:w="3900" w:type="pct"/>
            <w:shd w:val="clear" w:color="auto" w:fill="FFFFFF"/>
          </w:tcPr>
          <w:p w14:paraId="72D5CDF8" w14:textId="79185B3A" w:rsidR="00EC3002" w:rsidRPr="00BC4F64" w:rsidRDefault="004136D1" w:rsidP="004136D1">
            <w:pPr>
              <w:pStyle w:val="S8Gazettetabletext"/>
            </w:pPr>
            <w:r>
              <w:t>24 July 2025</w:t>
            </w:r>
          </w:p>
        </w:tc>
      </w:tr>
      <w:tr w:rsidR="00EC3002" w:rsidRPr="00BC4F64" w14:paraId="3D9759DB" w14:textId="77777777" w:rsidTr="004136D1">
        <w:trPr>
          <w:cantSplit/>
        </w:trPr>
        <w:tc>
          <w:tcPr>
            <w:tcW w:w="1100" w:type="pct"/>
            <w:shd w:val="clear" w:color="auto" w:fill="D9D9D9"/>
          </w:tcPr>
          <w:p w14:paraId="63A4CDB4" w14:textId="1B17B703" w:rsidR="00EC3002" w:rsidRPr="00362E71" w:rsidRDefault="004136D1" w:rsidP="004136D1">
            <w:pPr>
              <w:pStyle w:val="S8Gazettetableheading"/>
            </w:pPr>
            <w:r>
              <w:t>Product registration no.</w:t>
            </w:r>
          </w:p>
        </w:tc>
        <w:tc>
          <w:tcPr>
            <w:tcW w:w="3900" w:type="pct"/>
            <w:shd w:val="clear" w:color="auto" w:fill="FFFFFF"/>
          </w:tcPr>
          <w:p w14:paraId="447452C0" w14:textId="34BF9868" w:rsidR="00EC3002" w:rsidRPr="00BC4F64" w:rsidRDefault="004136D1" w:rsidP="004136D1">
            <w:pPr>
              <w:pStyle w:val="S8Gazettetabletext"/>
            </w:pPr>
            <w:r>
              <w:t>65473</w:t>
            </w:r>
          </w:p>
        </w:tc>
      </w:tr>
      <w:tr w:rsidR="00EC3002" w:rsidRPr="00BC4F64" w14:paraId="3B7B790B" w14:textId="77777777" w:rsidTr="004136D1">
        <w:trPr>
          <w:cantSplit/>
        </w:trPr>
        <w:tc>
          <w:tcPr>
            <w:tcW w:w="1100" w:type="pct"/>
            <w:shd w:val="clear" w:color="auto" w:fill="D9D9D9"/>
          </w:tcPr>
          <w:p w14:paraId="725EF2AF" w14:textId="722095DD" w:rsidR="00EC3002" w:rsidRPr="00362E71" w:rsidRDefault="004136D1" w:rsidP="004136D1">
            <w:pPr>
              <w:pStyle w:val="S8Gazettetableheading"/>
            </w:pPr>
            <w:r>
              <w:t>Label approval no.</w:t>
            </w:r>
          </w:p>
        </w:tc>
        <w:tc>
          <w:tcPr>
            <w:tcW w:w="3900" w:type="pct"/>
            <w:shd w:val="clear" w:color="auto" w:fill="FFFFFF"/>
          </w:tcPr>
          <w:p w14:paraId="3F911265" w14:textId="250A9144" w:rsidR="00EC3002" w:rsidRPr="00BC4F64" w:rsidRDefault="004136D1" w:rsidP="004136D1">
            <w:pPr>
              <w:pStyle w:val="S8Gazettetabletext"/>
            </w:pPr>
            <w:r>
              <w:t>65473/149265</w:t>
            </w:r>
          </w:p>
        </w:tc>
      </w:tr>
      <w:tr w:rsidR="00EC3002" w:rsidRPr="00BC4F64" w14:paraId="7120B7C1" w14:textId="77777777" w:rsidTr="004136D1">
        <w:trPr>
          <w:cantSplit/>
        </w:trPr>
        <w:tc>
          <w:tcPr>
            <w:tcW w:w="1100" w:type="pct"/>
            <w:shd w:val="clear" w:color="auto" w:fill="D9D9D9"/>
          </w:tcPr>
          <w:p w14:paraId="0ADF785C" w14:textId="6D6F5706"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3A192156" w14:textId="5D57E6D1"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 xml:space="preserve">Paw Pure Animal Wellbeing by Blackmores </w:t>
            </w:r>
            <w:proofErr w:type="spellStart"/>
            <w:r>
              <w:t>Osteosupport</w:t>
            </w:r>
            <w:proofErr w:type="spellEnd"/>
            <w:r>
              <w:t xml:space="preserve"> Joint Relief for Cats</w:t>
            </w:r>
            <w:r>
              <w:t>’</w:t>
            </w:r>
            <w:r>
              <w:t xml:space="preserve"> to </w:t>
            </w:r>
            <w:r>
              <w:t>‘</w:t>
            </w:r>
            <w:r>
              <w:t xml:space="preserve">Paw Pure Animal Wellbeing </w:t>
            </w:r>
            <w:proofErr w:type="spellStart"/>
            <w:r>
              <w:t>Osteosupport</w:t>
            </w:r>
            <w:proofErr w:type="spellEnd"/>
            <w:r>
              <w:t xml:space="preserve"> Joint Relief for Cats</w:t>
            </w:r>
            <w:r>
              <w:t>’</w:t>
            </w:r>
          </w:p>
        </w:tc>
      </w:tr>
    </w:tbl>
    <w:p w14:paraId="0F366D50"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0CD7024C" w14:textId="77777777" w:rsidTr="004136D1">
        <w:trPr>
          <w:cantSplit/>
          <w:tblHeader/>
        </w:trPr>
        <w:tc>
          <w:tcPr>
            <w:tcW w:w="1100" w:type="pct"/>
            <w:shd w:val="clear" w:color="auto" w:fill="D9D9D9"/>
          </w:tcPr>
          <w:p w14:paraId="360C55D4" w14:textId="53C521B8" w:rsidR="00EC3002" w:rsidRPr="00BC4F64" w:rsidRDefault="004136D1" w:rsidP="004136D1">
            <w:pPr>
              <w:pStyle w:val="S8Gazettetableheading"/>
            </w:pPr>
            <w:r>
              <w:lastRenderedPageBreak/>
              <w:t>Application no.</w:t>
            </w:r>
          </w:p>
        </w:tc>
        <w:tc>
          <w:tcPr>
            <w:tcW w:w="3900" w:type="pct"/>
            <w:shd w:val="clear" w:color="auto" w:fill="FFFFFF"/>
          </w:tcPr>
          <w:p w14:paraId="12456F99" w14:textId="681EC371" w:rsidR="00EC3002" w:rsidRPr="00BC4F64" w:rsidRDefault="004136D1" w:rsidP="004136D1">
            <w:pPr>
              <w:pStyle w:val="S8Gazettetabletext"/>
            </w:pPr>
            <w:r>
              <w:t>149266</w:t>
            </w:r>
          </w:p>
        </w:tc>
      </w:tr>
      <w:tr w:rsidR="00EC3002" w:rsidRPr="00BC4F64" w14:paraId="540C3E6B" w14:textId="77777777" w:rsidTr="004136D1">
        <w:trPr>
          <w:cantSplit/>
          <w:tblHeader/>
        </w:trPr>
        <w:tc>
          <w:tcPr>
            <w:tcW w:w="1100" w:type="pct"/>
            <w:shd w:val="clear" w:color="auto" w:fill="D9D9D9"/>
          </w:tcPr>
          <w:p w14:paraId="2F7FDC8D" w14:textId="55D70817" w:rsidR="00EC3002" w:rsidRPr="00362E71" w:rsidRDefault="004136D1" w:rsidP="004136D1">
            <w:pPr>
              <w:pStyle w:val="S8Gazettetableheading"/>
            </w:pPr>
            <w:r>
              <w:t>Product name</w:t>
            </w:r>
          </w:p>
        </w:tc>
        <w:tc>
          <w:tcPr>
            <w:tcW w:w="3900" w:type="pct"/>
            <w:shd w:val="clear" w:color="auto" w:fill="FFFFFF"/>
          </w:tcPr>
          <w:p w14:paraId="573CD6E0" w14:textId="7D2A0F9F" w:rsidR="00EC3002" w:rsidRPr="00BC4F64" w:rsidRDefault="004136D1" w:rsidP="004136D1">
            <w:pPr>
              <w:pStyle w:val="S8Gazettetabletext"/>
            </w:pPr>
            <w:r>
              <w:t xml:space="preserve">Paw Pure Animal Wellbeing </w:t>
            </w:r>
            <w:proofErr w:type="spellStart"/>
            <w:r>
              <w:t>Nutriderm</w:t>
            </w:r>
            <w:proofErr w:type="spellEnd"/>
            <w:r>
              <w:t xml:space="preserve"> Replenishing Shampoo</w:t>
            </w:r>
          </w:p>
        </w:tc>
      </w:tr>
      <w:tr w:rsidR="00EC3002" w:rsidRPr="00BC4F64" w14:paraId="2C4EAB0F" w14:textId="77777777" w:rsidTr="004136D1">
        <w:trPr>
          <w:cantSplit/>
          <w:tblHeader/>
        </w:trPr>
        <w:tc>
          <w:tcPr>
            <w:tcW w:w="1100" w:type="pct"/>
            <w:shd w:val="clear" w:color="auto" w:fill="D9D9D9"/>
          </w:tcPr>
          <w:p w14:paraId="74C3700D" w14:textId="7279096C" w:rsidR="00EC3002" w:rsidRPr="00362E71" w:rsidRDefault="004136D1" w:rsidP="004136D1">
            <w:pPr>
              <w:pStyle w:val="S8Gazettetableheading"/>
            </w:pPr>
            <w:r>
              <w:t>Active constituent</w:t>
            </w:r>
          </w:p>
        </w:tc>
        <w:tc>
          <w:tcPr>
            <w:tcW w:w="3900" w:type="pct"/>
            <w:shd w:val="clear" w:color="auto" w:fill="FFFFFF"/>
          </w:tcPr>
          <w:p w14:paraId="08AE931E" w14:textId="3E0296FD" w:rsidR="00EC3002" w:rsidRPr="00BC4F64" w:rsidRDefault="004136D1" w:rsidP="004136D1">
            <w:pPr>
              <w:pStyle w:val="S8Gazettetabletext"/>
            </w:pPr>
            <w:r>
              <w:t>20 g/L colloidal oatmeal</w:t>
            </w:r>
          </w:p>
        </w:tc>
      </w:tr>
      <w:tr w:rsidR="00EC3002" w:rsidRPr="00BC4F64" w14:paraId="10032A55" w14:textId="77777777" w:rsidTr="004136D1">
        <w:trPr>
          <w:cantSplit/>
          <w:tblHeader/>
        </w:trPr>
        <w:tc>
          <w:tcPr>
            <w:tcW w:w="1100" w:type="pct"/>
            <w:shd w:val="clear" w:color="auto" w:fill="D9D9D9"/>
          </w:tcPr>
          <w:p w14:paraId="61052B06" w14:textId="078BDD59" w:rsidR="00EC3002" w:rsidRPr="00362E71" w:rsidRDefault="004136D1" w:rsidP="004136D1">
            <w:pPr>
              <w:pStyle w:val="S8Gazettetableheading"/>
            </w:pPr>
            <w:r>
              <w:t>Applicant name</w:t>
            </w:r>
          </w:p>
        </w:tc>
        <w:tc>
          <w:tcPr>
            <w:tcW w:w="3900" w:type="pct"/>
            <w:shd w:val="clear" w:color="auto" w:fill="FFFFFF"/>
          </w:tcPr>
          <w:p w14:paraId="1E507773" w14:textId="653DE65B" w:rsidR="00EC3002" w:rsidRPr="00BC4F64" w:rsidRDefault="004136D1" w:rsidP="004136D1">
            <w:pPr>
              <w:pStyle w:val="S8Gazettetabletext"/>
            </w:pPr>
            <w:r>
              <w:t>Blackmores Limited</w:t>
            </w:r>
          </w:p>
        </w:tc>
      </w:tr>
      <w:tr w:rsidR="00EC3002" w:rsidRPr="00FA2079" w14:paraId="021F2714" w14:textId="77777777" w:rsidTr="004136D1">
        <w:trPr>
          <w:cantSplit/>
          <w:tblHeader/>
        </w:trPr>
        <w:tc>
          <w:tcPr>
            <w:tcW w:w="1100" w:type="pct"/>
            <w:shd w:val="clear" w:color="auto" w:fill="D9D9D9"/>
          </w:tcPr>
          <w:p w14:paraId="647BB127" w14:textId="322CCB36" w:rsidR="00EC3002" w:rsidRPr="00BC4F64" w:rsidRDefault="004136D1" w:rsidP="004136D1">
            <w:pPr>
              <w:pStyle w:val="S8Gazettetableheading"/>
            </w:pPr>
            <w:r>
              <w:t>Applicant ACN</w:t>
            </w:r>
          </w:p>
        </w:tc>
        <w:tc>
          <w:tcPr>
            <w:tcW w:w="3900" w:type="pct"/>
            <w:shd w:val="clear" w:color="auto" w:fill="FFFFFF"/>
          </w:tcPr>
          <w:p w14:paraId="784820CC" w14:textId="78793675" w:rsidR="00EC3002" w:rsidRPr="00FA2079" w:rsidRDefault="004136D1" w:rsidP="004136D1">
            <w:pPr>
              <w:pStyle w:val="S8Gazettetabletext"/>
            </w:pPr>
            <w:r>
              <w:t>009 713 437</w:t>
            </w:r>
          </w:p>
        </w:tc>
      </w:tr>
      <w:tr w:rsidR="00EC3002" w:rsidRPr="00BC4F64" w14:paraId="779739A2" w14:textId="77777777" w:rsidTr="004136D1">
        <w:trPr>
          <w:cantSplit/>
          <w:tblHeader/>
        </w:trPr>
        <w:tc>
          <w:tcPr>
            <w:tcW w:w="1100" w:type="pct"/>
            <w:shd w:val="clear" w:color="auto" w:fill="D9D9D9"/>
          </w:tcPr>
          <w:p w14:paraId="002ACC36" w14:textId="5C983291" w:rsidR="00EC3002" w:rsidRPr="00362E71" w:rsidRDefault="004136D1" w:rsidP="004136D1">
            <w:pPr>
              <w:pStyle w:val="S8Gazettetableheading"/>
            </w:pPr>
            <w:r>
              <w:t>Date of variation</w:t>
            </w:r>
          </w:p>
        </w:tc>
        <w:tc>
          <w:tcPr>
            <w:tcW w:w="3900" w:type="pct"/>
            <w:shd w:val="clear" w:color="auto" w:fill="FFFFFF"/>
          </w:tcPr>
          <w:p w14:paraId="04E8F1F7" w14:textId="7987234D" w:rsidR="00EC3002" w:rsidRPr="00BC4F64" w:rsidRDefault="004136D1" w:rsidP="004136D1">
            <w:pPr>
              <w:pStyle w:val="S8Gazettetabletext"/>
            </w:pPr>
            <w:r>
              <w:t>24 July 2025</w:t>
            </w:r>
          </w:p>
        </w:tc>
      </w:tr>
      <w:tr w:rsidR="00EC3002" w:rsidRPr="00BC4F64" w14:paraId="43582304" w14:textId="77777777" w:rsidTr="004136D1">
        <w:trPr>
          <w:cantSplit/>
          <w:tblHeader/>
        </w:trPr>
        <w:tc>
          <w:tcPr>
            <w:tcW w:w="1100" w:type="pct"/>
            <w:shd w:val="clear" w:color="auto" w:fill="D9D9D9"/>
          </w:tcPr>
          <w:p w14:paraId="7F8AF28B" w14:textId="6154B095" w:rsidR="00EC3002" w:rsidRPr="00362E71" w:rsidRDefault="004136D1" w:rsidP="004136D1">
            <w:pPr>
              <w:pStyle w:val="S8Gazettetableheading"/>
            </w:pPr>
            <w:r>
              <w:t>Product registration no.</w:t>
            </w:r>
          </w:p>
        </w:tc>
        <w:tc>
          <w:tcPr>
            <w:tcW w:w="3900" w:type="pct"/>
            <w:shd w:val="clear" w:color="auto" w:fill="FFFFFF"/>
          </w:tcPr>
          <w:p w14:paraId="1087C333" w14:textId="742081B7" w:rsidR="00EC3002" w:rsidRPr="00BC4F64" w:rsidRDefault="004136D1" w:rsidP="004136D1">
            <w:pPr>
              <w:pStyle w:val="S8Gazettetabletext"/>
            </w:pPr>
            <w:r>
              <w:t>65958</w:t>
            </w:r>
          </w:p>
        </w:tc>
      </w:tr>
      <w:tr w:rsidR="00EC3002" w:rsidRPr="00BC4F64" w14:paraId="45BFCE2D" w14:textId="77777777" w:rsidTr="004136D1">
        <w:trPr>
          <w:cantSplit/>
          <w:tblHeader/>
        </w:trPr>
        <w:tc>
          <w:tcPr>
            <w:tcW w:w="1100" w:type="pct"/>
            <w:shd w:val="clear" w:color="auto" w:fill="D9D9D9"/>
          </w:tcPr>
          <w:p w14:paraId="27441FBB" w14:textId="63EB7864" w:rsidR="00EC3002" w:rsidRPr="00362E71" w:rsidRDefault="004136D1" w:rsidP="004136D1">
            <w:pPr>
              <w:pStyle w:val="S8Gazettetableheading"/>
            </w:pPr>
            <w:r>
              <w:t>Label approval no.</w:t>
            </w:r>
          </w:p>
        </w:tc>
        <w:tc>
          <w:tcPr>
            <w:tcW w:w="3900" w:type="pct"/>
            <w:shd w:val="clear" w:color="auto" w:fill="FFFFFF"/>
          </w:tcPr>
          <w:p w14:paraId="7B820326" w14:textId="6DC5A73E" w:rsidR="00EC3002" w:rsidRPr="00BC4F64" w:rsidRDefault="004136D1" w:rsidP="004136D1">
            <w:pPr>
              <w:pStyle w:val="S8Gazettetabletext"/>
            </w:pPr>
            <w:r>
              <w:t>65958/149266</w:t>
            </w:r>
          </w:p>
        </w:tc>
      </w:tr>
      <w:tr w:rsidR="00EC3002" w:rsidRPr="00BC4F64" w14:paraId="302D56A2" w14:textId="77777777" w:rsidTr="004136D1">
        <w:trPr>
          <w:cantSplit/>
          <w:tblHeader/>
        </w:trPr>
        <w:tc>
          <w:tcPr>
            <w:tcW w:w="1100" w:type="pct"/>
            <w:shd w:val="clear" w:color="auto" w:fill="D9D9D9"/>
          </w:tcPr>
          <w:p w14:paraId="6A557A79" w14:textId="735D38E8"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C4863E6" w14:textId="64A1F5F6"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r>
              <w:t xml:space="preserve">Paw Pure Animal Wellbeing by Blackmores </w:t>
            </w:r>
            <w:proofErr w:type="spellStart"/>
            <w:r>
              <w:t>Nutriderm</w:t>
            </w:r>
            <w:proofErr w:type="spellEnd"/>
            <w:r>
              <w:t xml:space="preserve"> Replenishing Shampoo</w:t>
            </w:r>
            <w:r>
              <w:t>’</w:t>
            </w:r>
            <w:r>
              <w:t xml:space="preserve"> to </w:t>
            </w:r>
            <w:r>
              <w:t>‘</w:t>
            </w:r>
            <w:r>
              <w:t xml:space="preserve">Paw Pure Animal Wellbeing </w:t>
            </w:r>
            <w:proofErr w:type="spellStart"/>
            <w:r>
              <w:t>Nutriderm</w:t>
            </w:r>
            <w:proofErr w:type="spellEnd"/>
            <w:r>
              <w:t xml:space="preserve"> Replenishing Shampoo</w:t>
            </w:r>
            <w:r>
              <w:t>’</w:t>
            </w:r>
          </w:p>
        </w:tc>
      </w:tr>
    </w:tbl>
    <w:p w14:paraId="566143DD"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5339348A" w14:textId="77777777" w:rsidTr="004136D1">
        <w:trPr>
          <w:cantSplit/>
        </w:trPr>
        <w:tc>
          <w:tcPr>
            <w:tcW w:w="1100" w:type="pct"/>
            <w:shd w:val="clear" w:color="auto" w:fill="D9D9D9"/>
          </w:tcPr>
          <w:p w14:paraId="6C756C45" w14:textId="3D7559A2" w:rsidR="00EC3002" w:rsidRPr="00934489" w:rsidRDefault="004136D1" w:rsidP="004136D1">
            <w:pPr>
              <w:pStyle w:val="S8Gazettetableheading"/>
            </w:pPr>
            <w:r>
              <w:t>Application no.</w:t>
            </w:r>
          </w:p>
        </w:tc>
        <w:tc>
          <w:tcPr>
            <w:tcW w:w="3900" w:type="pct"/>
            <w:shd w:val="clear" w:color="auto" w:fill="FFFFFF"/>
          </w:tcPr>
          <w:p w14:paraId="6FC77DFD" w14:textId="44BD5EAA" w:rsidR="00EC3002" w:rsidRPr="00934489" w:rsidRDefault="004136D1" w:rsidP="004136D1">
            <w:pPr>
              <w:pStyle w:val="S8Gazettetabletext"/>
              <w:rPr>
                <w:noProof/>
              </w:rPr>
            </w:pPr>
            <w:r>
              <w:t>147573</w:t>
            </w:r>
          </w:p>
        </w:tc>
      </w:tr>
      <w:tr w:rsidR="00EC3002" w:rsidRPr="00934489" w14:paraId="48C81A54" w14:textId="77777777" w:rsidTr="004136D1">
        <w:trPr>
          <w:cantSplit/>
        </w:trPr>
        <w:tc>
          <w:tcPr>
            <w:tcW w:w="1100" w:type="pct"/>
            <w:shd w:val="clear" w:color="auto" w:fill="D9D9D9"/>
          </w:tcPr>
          <w:p w14:paraId="54A1860C" w14:textId="0FD30724" w:rsidR="00EC3002" w:rsidRPr="00934489" w:rsidRDefault="004136D1" w:rsidP="004136D1">
            <w:pPr>
              <w:pStyle w:val="S8Gazettetableheading"/>
            </w:pPr>
            <w:r>
              <w:t>Product name</w:t>
            </w:r>
          </w:p>
        </w:tc>
        <w:tc>
          <w:tcPr>
            <w:tcW w:w="3900" w:type="pct"/>
            <w:shd w:val="clear" w:color="auto" w:fill="FFFFFF"/>
          </w:tcPr>
          <w:p w14:paraId="53A0541F" w14:textId="103D65FD" w:rsidR="00EC3002" w:rsidRPr="00934489" w:rsidRDefault="004136D1" w:rsidP="004136D1">
            <w:pPr>
              <w:pStyle w:val="S8Gazettetabletext"/>
            </w:pPr>
            <w:proofErr w:type="spellStart"/>
            <w:r>
              <w:t>Equipalazone</w:t>
            </w:r>
            <w:proofErr w:type="spellEnd"/>
            <w:r>
              <w:t xml:space="preserve"> Granules</w:t>
            </w:r>
          </w:p>
        </w:tc>
      </w:tr>
      <w:tr w:rsidR="00EC3002" w:rsidRPr="00934489" w14:paraId="4958B9F7" w14:textId="77777777" w:rsidTr="004136D1">
        <w:trPr>
          <w:cantSplit/>
        </w:trPr>
        <w:tc>
          <w:tcPr>
            <w:tcW w:w="1100" w:type="pct"/>
            <w:shd w:val="clear" w:color="auto" w:fill="D9D9D9"/>
          </w:tcPr>
          <w:p w14:paraId="3FA6E607" w14:textId="6EC5BB4E" w:rsidR="00EC3002" w:rsidRPr="00934489" w:rsidRDefault="004136D1" w:rsidP="004136D1">
            <w:pPr>
              <w:pStyle w:val="S8Gazettetableheading"/>
            </w:pPr>
            <w:r>
              <w:t>Active constituent</w:t>
            </w:r>
          </w:p>
        </w:tc>
        <w:tc>
          <w:tcPr>
            <w:tcW w:w="3900" w:type="pct"/>
            <w:shd w:val="clear" w:color="auto" w:fill="FFFFFF"/>
          </w:tcPr>
          <w:p w14:paraId="00D36866" w14:textId="16D8BF43" w:rsidR="00EC3002" w:rsidRPr="00934489" w:rsidRDefault="004136D1" w:rsidP="004136D1">
            <w:pPr>
              <w:pStyle w:val="S8Gazettetabletext"/>
            </w:pPr>
            <w:r>
              <w:t>Each sachet contains: 1 g phenylbutazone</w:t>
            </w:r>
          </w:p>
        </w:tc>
      </w:tr>
      <w:tr w:rsidR="00EC3002" w:rsidRPr="00934489" w14:paraId="2B3AF1F5" w14:textId="77777777" w:rsidTr="004136D1">
        <w:trPr>
          <w:cantSplit/>
        </w:trPr>
        <w:tc>
          <w:tcPr>
            <w:tcW w:w="1100" w:type="pct"/>
            <w:shd w:val="clear" w:color="auto" w:fill="D9D9D9"/>
          </w:tcPr>
          <w:p w14:paraId="6BE31950" w14:textId="499C58DD" w:rsidR="00EC3002" w:rsidRPr="00934489" w:rsidRDefault="004136D1" w:rsidP="004136D1">
            <w:pPr>
              <w:pStyle w:val="S8Gazettetableheading"/>
            </w:pPr>
            <w:r>
              <w:t>Applicant name</w:t>
            </w:r>
          </w:p>
        </w:tc>
        <w:tc>
          <w:tcPr>
            <w:tcW w:w="3900" w:type="pct"/>
            <w:shd w:val="clear" w:color="auto" w:fill="FFFFFF"/>
          </w:tcPr>
          <w:p w14:paraId="024EFC8A" w14:textId="2EB82883" w:rsidR="00EC3002" w:rsidRPr="00934489" w:rsidRDefault="004136D1" w:rsidP="004136D1">
            <w:pPr>
              <w:pStyle w:val="S8Gazettetabletext"/>
            </w:pPr>
            <w:proofErr w:type="spellStart"/>
            <w:r>
              <w:t>Dechra</w:t>
            </w:r>
            <w:proofErr w:type="spellEnd"/>
            <w:r>
              <w:t xml:space="preserve"> Veterinary Products (Australia) Pty Ltd</w:t>
            </w:r>
          </w:p>
        </w:tc>
      </w:tr>
      <w:tr w:rsidR="00EC3002" w:rsidRPr="00934489" w14:paraId="224663B5" w14:textId="77777777" w:rsidTr="004136D1">
        <w:trPr>
          <w:cantSplit/>
        </w:trPr>
        <w:tc>
          <w:tcPr>
            <w:tcW w:w="1100" w:type="pct"/>
            <w:shd w:val="clear" w:color="auto" w:fill="D9D9D9"/>
          </w:tcPr>
          <w:p w14:paraId="0F6103D9" w14:textId="445F83BA" w:rsidR="00EC3002" w:rsidRPr="00934489" w:rsidRDefault="004136D1" w:rsidP="004136D1">
            <w:pPr>
              <w:pStyle w:val="S8Gazettetableheading"/>
            </w:pPr>
            <w:r>
              <w:t>Applicant ACN</w:t>
            </w:r>
          </w:p>
        </w:tc>
        <w:tc>
          <w:tcPr>
            <w:tcW w:w="3900" w:type="pct"/>
            <w:shd w:val="clear" w:color="auto" w:fill="FFFFFF"/>
          </w:tcPr>
          <w:p w14:paraId="17DD5D06" w14:textId="756E6E2A" w:rsidR="00EC3002" w:rsidRPr="00934489" w:rsidRDefault="004136D1" w:rsidP="004136D1">
            <w:pPr>
              <w:pStyle w:val="S8Gazettetabletext"/>
            </w:pPr>
            <w:r>
              <w:t>614 716 700</w:t>
            </w:r>
          </w:p>
        </w:tc>
      </w:tr>
      <w:tr w:rsidR="00EC3002" w:rsidRPr="00934489" w14:paraId="5D44CBB8" w14:textId="77777777" w:rsidTr="004136D1">
        <w:trPr>
          <w:cantSplit/>
        </w:trPr>
        <w:tc>
          <w:tcPr>
            <w:tcW w:w="1100" w:type="pct"/>
            <w:shd w:val="clear" w:color="auto" w:fill="D9D9D9"/>
          </w:tcPr>
          <w:p w14:paraId="016BD6E6" w14:textId="1B1EBE57" w:rsidR="00EC3002" w:rsidRPr="00934489" w:rsidRDefault="004136D1" w:rsidP="004136D1">
            <w:pPr>
              <w:pStyle w:val="S8Gazettetableheading"/>
            </w:pPr>
            <w:r>
              <w:t>Date of variation</w:t>
            </w:r>
          </w:p>
        </w:tc>
        <w:tc>
          <w:tcPr>
            <w:tcW w:w="3900" w:type="pct"/>
            <w:shd w:val="clear" w:color="auto" w:fill="FFFFFF"/>
          </w:tcPr>
          <w:p w14:paraId="211FD540" w14:textId="043CF5AD" w:rsidR="00EC3002" w:rsidRPr="00934489" w:rsidRDefault="004136D1" w:rsidP="004136D1">
            <w:pPr>
              <w:pStyle w:val="S8Gazettetabletext"/>
            </w:pPr>
            <w:r>
              <w:t>28 July 2025</w:t>
            </w:r>
          </w:p>
        </w:tc>
      </w:tr>
      <w:tr w:rsidR="00EC3002" w:rsidRPr="00934489" w14:paraId="307F9AF8" w14:textId="77777777" w:rsidTr="004136D1">
        <w:trPr>
          <w:cantSplit/>
        </w:trPr>
        <w:tc>
          <w:tcPr>
            <w:tcW w:w="1100" w:type="pct"/>
            <w:shd w:val="clear" w:color="auto" w:fill="D9D9D9"/>
          </w:tcPr>
          <w:p w14:paraId="33484486" w14:textId="54429774" w:rsidR="00EC3002" w:rsidRPr="00934489" w:rsidRDefault="004136D1" w:rsidP="004136D1">
            <w:pPr>
              <w:pStyle w:val="S8Gazettetableheading"/>
            </w:pPr>
            <w:r>
              <w:t>Product registration no.</w:t>
            </w:r>
          </w:p>
        </w:tc>
        <w:tc>
          <w:tcPr>
            <w:tcW w:w="3900" w:type="pct"/>
            <w:shd w:val="clear" w:color="auto" w:fill="FFFFFF"/>
          </w:tcPr>
          <w:p w14:paraId="76798F69" w14:textId="6BED15C7" w:rsidR="00EC3002" w:rsidRPr="00934489" w:rsidRDefault="004136D1" w:rsidP="004136D1">
            <w:pPr>
              <w:pStyle w:val="S8Gazettetabletext"/>
            </w:pPr>
            <w:r>
              <w:t>35620</w:t>
            </w:r>
          </w:p>
        </w:tc>
      </w:tr>
      <w:tr w:rsidR="00EC3002" w:rsidRPr="00934489" w14:paraId="29356314" w14:textId="77777777" w:rsidTr="004136D1">
        <w:trPr>
          <w:cantSplit/>
        </w:trPr>
        <w:tc>
          <w:tcPr>
            <w:tcW w:w="1100" w:type="pct"/>
            <w:shd w:val="clear" w:color="auto" w:fill="D9D9D9"/>
          </w:tcPr>
          <w:p w14:paraId="2A68DE42" w14:textId="420E2883" w:rsidR="00EC3002" w:rsidRPr="00934489" w:rsidRDefault="004136D1" w:rsidP="004136D1">
            <w:pPr>
              <w:pStyle w:val="S8Gazettetableheading"/>
            </w:pPr>
            <w:r>
              <w:t>Label approval no.</w:t>
            </w:r>
          </w:p>
        </w:tc>
        <w:tc>
          <w:tcPr>
            <w:tcW w:w="3900" w:type="pct"/>
            <w:shd w:val="clear" w:color="auto" w:fill="FFFFFF"/>
          </w:tcPr>
          <w:p w14:paraId="14234C5E" w14:textId="70A0924B" w:rsidR="00EC3002" w:rsidRPr="00934489" w:rsidRDefault="004136D1" w:rsidP="004136D1">
            <w:pPr>
              <w:pStyle w:val="S8Gazettetabletext"/>
            </w:pPr>
            <w:r>
              <w:t>35620/147573</w:t>
            </w:r>
          </w:p>
        </w:tc>
      </w:tr>
      <w:tr w:rsidR="00EC3002" w:rsidRPr="00934489" w14:paraId="2E5A90D5" w14:textId="77777777" w:rsidTr="004136D1">
        <w:trPr>
          <w:cantSplit/>
        </w:trPr>
        <w:tc>
          <w:tcPr>
            <w:tcW w:w="1100" w:type="pct"/>
            <w:shd w:val="clear" w:color="auto" w:fill="D9D9D9"/>
          </w:tcPr>
          <w:p w14:paraId="0026C133" w14:textId="719232A5"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9CE6737" w14:textId="63F94840" w:rsidR="00EC3002" w:rsidRPr="00934489" w:rsidRDefault="004136D1" w:rsidP="004136D1">
            <w:pPr>
              <w:pStyle w:val="S8Gazettetabletext"/>
            </w:pPr>
            <w:r>
              <w:t>Variation of relevant particulars of the product registration and label approval by updating the contraindication, precaution, side effect, dosage and administration and general direction statements and aligning the label with the current Veterinary Labelling Code (VLC), together with an addition of a new pack size</w:t>
            </w:r>
          </w:p>
        </w:tc>
      </w:tr>
    </w:tbl>
    <w:p w14:paraId="63731A29"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C4F64" w14:paraId="26D51314" w14:textId="77777777" w:rsidTr="004136D1">
        <w:trPr>
          <w:cantSplit/>
        </w:trPr>
        <w:tc>
          <w:tcPr>
            <w:tcW w:w="1100" w:type="pct"/>
            <w:shd w:val="clear" w:color="auto" w:fill="D9D9D9"/>
          </w:tcPr>
          <w:p w14:paraId="51BF8E7B" w14:textId="0823D5ED" w:rsidR="00EC3002" w:rsidRPr="00BC4F64" w:rsidRDefault="004136D1" w:rsidP="004136D1">
            <w:pPr>
              <w:pStyle w:val="S8Gazettetableheading"/>
            </w:pPr>
            <w:r>
              <w:t>Application no.</w:t>
            </w:r>
          </w:p>
        </w:tc>
        <w:tc>
          <w:tcPr>
            <w:tcW w:w="3900" w:type="pct"/>
            <w:shd w:val="clear" w:color="auto" w:fill="FFFFFF"/>
          </w:tcPr>
          <w:p w14:paraId="3CC9DAA0" w14:textId="699575A8" w:rsidR="00EC3002" w:rsidRPr="00BC4F64" w:rsidRDefault="004136D1" w:rsidP="004136D1">
            <w:pPr>
              <w:pStyle w:val="S8Gazettetabletext"/>
            </w:pPr>
            <w:r>
              <w:t>149323</w:t>
            </w:r>
          </w:p>
        </w:tc>
      </w:tr>
      <w:tr w:rsidR="00EC3002" w:rsidRPr="00BC4F64" w14:paraId="44BF24E9" w14:textId="77777777" w:rsidTr="004136D1">
        <w:trPr>
          <w:cantSplit/>
        </w:trPr>
        <w:tc>
          <w:tcPr>
            <w:tcW w:w="1100" w:type="pct"/>
            <w:shd w:val="clear" w:color="auto" w:fill="D9D9D9"/>
          </w:tcPr>
          <w:p w14:paraId="5749AFC5" w14:textId="26D87976" w:rsidR="00EC3002" w:rsidRPr="00362E71" w:rsidRDefault="004136D1" w:rsidP="004136D1">
            <w:pPr>
              <w:pStyle w:val="S8Gazettetableheading"/>
            </w:pPr>
            <w:r>
              <w:t>Product name</w:t>
            </w:r>
          </w:p>
        </w:tc>
        <w:tc>
          <w:tcPr>
            <w:tcW w:w="3900" w:type="pct"/>
            <w:shd w:val="clear" w:color="auto" w:fill="FFFFFF"/>
          </w:tcPr>
          <w:p w14:paraId="40E8F9AC" w14:textId="10F89143" w:rsidR="00EC3002" w:rsidRPr="00BC4F64" w:rsidRDefault="004136D1" w:rsidP="004136D1">
            <w:pPr>
              <w:pStyle w:val="S8Gazettetabletext"/>
            </w:pPr>
            <w:proofErr w:type="spellStart"/>
            <w:r>
              <w:t>Exilice</w:t>
            </w:r>
            <w:proofErr w:type="spellEnd"/>
            <w:r>
              <w:t xml:space="preserve"> Gold Dual Active Pour on Lice Control for Sheep</w:t>
            </w:r>
          </w:p>
        </w:tc>
      </w:tr>
      <w:tr w:rsidR="00EC3002" w:rsidRPr="00BC4F64" w14:paraId="1BFBA879" w14:textId="77777777" w:rsidTr="004136D1">
        <w:trPr>
          <w:cantSplit/>
        </w:trPr>
        <w:tc>
          <w:tcPr>
            <w:tcW w:w="1100" w:type="pct"/>
            <w:shd w:val="clear" w:color="auto" w:fill="D9D9D9"/>
          </w:tcPr>
          <w:p w14:paraId="73F7C7EC" w14:textId="5AC74229" w:rsidR="00EC3002" w:rsidRPr="00362E71" w:rsidRDefault="004136D1" w:rsidP="004136D1">
            <w:pPr>
              <w:pStyle w:val="S8Gazettetableheading"/>
            </w:pPr>
            <w:r>
              <w:t>Active constituents</w:t>
            </w:r>
          </w:p>
        </w:tc>
        <w:tc>
          <w:tcPr>
            <w:tcW w:w="3900" w:type="pct"/>
            <w:shd w:val="clear" w:color="auto" w:fill="FFFFFF"/>
          </w:tcPr>
          <w:p w14:paraId="03BD9B4E" w14:textId="6620713D" w:rsidR="00EC3002" w:rsidRPr="00BC4F64" w:rsidRDefault="004136D1" w:rsidP="004136D1">
            <w:pPr>
              <w:pStyle w:val="S8Gazettetabletext"/>
            </w:pPr>
            <w:r>
              <w:t>35 mg/mL imidacloprid, 4 mg/mL abamectin</w:t>
            </w:r>
          </w:p>
        </w:tc>
      </w:tr>
      <w:tr w:rsidR="00EC3002" w:rsidRPr="00BC4F64" w14:paraId="6016FDAE" w14:textId="77777777" w:rsidTr="004136D1">
        <w:trPr>
          <w:cantSplit/>
        </w:trPr>
        <w:tc>
          <w:tcPr>
            <w:tcW w:w="1100" w:type="pct"/>
            <w:shd w:val="clear" w:color="auto" w:fill="D9D9D9"/>
          </w:tcPr>
          <w:p w14:paraId="207AF915" w14:textId="2A66F0DC" w:rsidR="00EC3002" w:rsidRPr="00362E71" w:rsidRDefault="004136D1" w:rsidP="004136D1">
            <w:pPr>
              <w:pStyle w:val="S8Gazettetableheading"/>
            </w:pPr>
            <w:r>
              <w:t>Applicant name</w:t>
            </w:r>
          </w:p>
        </w:tc>
        <w:tc>
          <w:tcPr>
            <w:tcW w:w="3900" w:type="pct"/>
            <w:shd w:val="clear" w:color="auto" w:fill="FFFFFF"/>
          </w:tcPr>
          <w:p w14:paraId="28B26D47" w14:textId="1F53847C" w:rsidR="00EC3002" w:rsidRPr="00BC4F64" w:rsidRDefault="004136D1" w:rsidP="004136D1">
            <w:pPr>
              <w:pStyle w:val="S8Gazettetabletext"/>
            </w:pPr>
            <w:r>
              <w:t>Abbey Laboratories Pty Ltd</w:t>
            </w:r>
          </w:p>
        </w:tc>
      </w:tr>
      <w:tr w:rsidR="00EC3002" w:rsidRPr="00BC4F64" w14:paraId="3590E93E" w14:textId="77777777" w:rsidTr="004136D1">
        <w:trPr>
          <w:cantSplit/>
        </w:trPr>
        <w:tc>
          <w:tcPr>
            <w:tcW w:w="1100" w:type="pct"/>
            <w:shd w:val="clear" w:color="auto" w:fill="D9D9D9"/>
          </w:tcPr>
          <w:p w14:paraId="6D0EE196" w14:textId="577F6EFD" w:rsidR="00EC3002" w:rsidRPr="00BC4F64" w:rsidRDefault="004136D1" w:rsidP="004136D1">
            <w:pPr>
              <w:pStyle w:val="S8Gazettetableheading"/>
            </w:pPr>
            <w:r>
              <w:t>Applicant ACN</w:t>
            </w:r>
          </w:p>
        </w:tc>
        <w:tc>
          <w:tcPr>
            <w:tcW w:w="3900" w:type="pct"/>
            <w:shd w:val="clear" w:color="auto" w:fill="FFFFFF"/>
          </w:tcPr>
          <w:p w14:paraId="6EF12E7A" w14:textId="5FEF3F7D" w:rsidR="00EC3002" w:rsidRPr="00FA2079" w:rsidRDefault="004136D1" w:rsidP="004136D1">
            <w:pPr>
              <w:pStyle w:val="S8Gazettetabletext"/>
            </w:pPr>
            <w:r>
              <w:t>156 000 430</w:t>
            </w:r>
          </w:p>
        </w:tc>
      </w:tr>
      <w:tr w:rsidR="00EC3002" w:rsidRPr="00BC4F64" w14:paraId="7EEA5485" w14:textId="77777777" w:rsidTr="004136D1">
        <w:trPr>
          <w:cantSplit/>
        </w:trPr>
        <w:tc>
          <w:tcPr>
            <w:tcW w:w="1100" w:type="pct"/>
            <w:shd w:val="clear" w:color="auto" w:fill="D9D9D9"/>
          </w:tcPr>
          <w:p w14:paraId="1350D128" w14:textId="1C7330A1" w:rsidR="00EC3002" w:rsidRPr="00362E71" w:rsidRDefault="004136D1" w:rsidP="004136D1">
            <w:pPr>
              <w:pStyle w:val="S8Gazettetableheading"/>
            </w:pPr>
            <w:r>
              <w:t>Date of variation</w:t>
            </w:r>
          </w:p>
        </w:tc>
        <w:tc>
          <w:tcPr>
            <w:tcW w:w="3900" w:type="pct"/>
            <w:shd w:val="clear" w:color="auto" w:fill="FFFFFF"/>
          </w:tcPr>
          <w:p w14:paraId="1E74B902" w14:textId="22600E67" w:rsidR="00EC3002" w:rsidRPr="00BC4F64" w:rsidRDefault="004136D1" w:rsidP="004136D1">
            <w:pPr>
              <w:pStyle w:val="S8Gazettetabletext"/>
            </w:pPr>
            <w:r>
              <w:t>31 July 2025</w:t>
            </w:r>
          </w:p>
        </w:tc>
      </w:tr>
      <w:tr w:rsidR="00EC3002" w:rsidRPr="00BC4F64" w14:paraId="76C7DA72" w14:textId="77777777" w:rsidTr="004136D1">
        <w:trPr>
          <w:cantSplit/>
        </w:trPr>
        <w:tc>
          <w:tcPr>
            <w:tcW w:w="1100" w:type="pct"/>
            <w:shd w:val="clear" w:color="auto" w:fill="D9D9D9"/>
          </w:tcPr>
          <w:p w14:paraId="7EB96780" w14:textId="7B963676" w:rsidR="00EC3002" w:rsidRPr="00362E71" w:rsidRDefault="004136D1" w:rsidP="004136D1">
            <w:pPr>
              <w:pStyle w:val="S8Gazettetableheading"/>
            </w:pPr>
            <w:r>
              <w:t>Product registration no.</w:t>
            </w:r>
          </w:p>
        </w:tc>
        <w:tc>
          <w:tcPr>
            <w:tcW w:w="3900" w:type="pct"/>
            <w:shd w:val="clear" w:color="auto" w:fill="FFFFFF"/>
          </w:tcPr>
          <w:p w14:paraId="29C49D00" w14:textId="3DEBE70B" w:rsidR="00EC3002" w:rsidRPr="00BC4F64" w:rsidRDefault="004136D1" w:rsidP="004136D1">
            <w:pPr>
              <w:pStyle w:val="S8Gazettetabletext"/>
            </w:pPr>
            <w:r>
              <w:t>92535</w:t>
            </w:r>
          </w:p>
        </w:tc>
      </w:tr>
      <w:tr w:rsidR="00EC3002" w:rsidRPr="00BC4F64" w14:paraId="6B244AE7" w14:textId="77777777" w:rsidTr="004136D1">
        <w:trPr>
          <w:cantSplit/>
        </w:trPr>
        <w:tc>
          <w:tcPr>
            <w:tcW w:w="1100" w:type="pct"/>
            <w:shd w:val="clear" w:color="auto" w:fill="D9D9D9"/>
          </w:tcPr>
          <w:p w14:paraId="6C143242" w14:textId="354B19B8" w:rsidR="00EC3002" w:rsidRPr="00362E71" w:rsidRDefault="004136D1" w:rsidP="004136D1">
            <w:pPr>
              <w:pStyle w:val="S8Gazettetableheading"/>
            </w:pPr>
            <w:r>
              <w:t>Label approval no.</w:t>
            </w:r>
          </w:p>
        </w:tc>
        <w:tc>
          <w:tcPr>
            <w:tcW w:w="3900" w:type="pct"/>
            <w:shd w:val="clear" w:color="auto" w:fill="FFFFFF"/>
          </w:tcPr>
          <w:p w14:paraId="5DD90F14" w14:textId="687251F1" w:rsidR="00EC3002" w:rsidRPr="00BC4F64" w:rsidRDefault="004136D1" w:rsidP="004136D1">
            <w:pPr>
              <w:pStyle w:val="S8Gazettetabletext"/>
            </w:pPr>
            <w:r>
              <w:t>92535/149323</w:t>
            </w:r>
          </w:p>
        </w:tc>
      </w:tr>
      <w:tr w:rsidR="00EC3002" w:rsidRPr="00BC4F64" w14:paraId="12D98CA1" w14:textId="77777777" w:rsidTr="004136D1">
        <w:trPr>
          <w:cantSplit/>
        </w:trPr>
        <w:tc>
          <w:tcPr>
            <w:tcW w:w="1100" w:type="pct"/>
            <w:shd w:val="clear" w:color="auto" w:fill="D9D9D9"/>
          </w:tcPr>
          <w:p w14:paraId="6A5A7B8C" w14:textId="1D1FFCD0" w:rsidR="00EC3002" w:rsidRPr="00362E71"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2C429EF9" w14:textId="12CA96D4" w:rsidR="00EC3002" w:rsidRPr="00BC4F64" w:rsidRDefault="004136D1" w:rsidP="004136D1">
            <w:pPr>
              <w:pStyle w:val="S8Gazettetabletext"/>
            </w:pPr>
            <w:r>
              <w:t xml:space="preserve">Variation to the particulars of registration and label approval to change the distinguishing product name and the name that appears on the label from </w:t>
            </w:r>
            <w:r>
              <w:t>‘</w:t>
            </w:r>
            <w:proofErr w:type="spellStart"/>
            <w:r>
              <w:t>Exishield</w:t>
            </w:r>
            <w:proofErr w:type="spellEnd"/>
            <w:r>
              <w:t xml:space="preserve"> Gold Dual Active Pour on Lice Control</w:t>
            </w:r>
            <w:r>
              <w:t>’</w:t>
            </w:r>
            <w:r>
              <w:t xml:space="preserve"> to </w:t>
            </w:r>
            <w:r>
              <w:t>‘</w:t>
            </w:r>
            <w:proofErr w:type="spellStart"/>
            <w:r>
              <w:t>Exilice</w:t>
            </w:r>
            <w:proofErr w:type="spellEnd"/>
            <w:r>
              <w:t xml:space="preserve"> Gold Dual Active Pour on Lice Control for Sheep</w:t>
            </w:r>
            <w:r>
              <w:t>’</w:t>
            </w:r>
          </w:p>
        </w:tc>
      </w:tr>
    </w:tbl>
    <w:p w14:paraId="3EF4AB9E"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17B877AB" w14:textId="77777777" w:rsidTr="004136D1">
        <w:trPr>
          <w:cantSplit/>
          <w:tblHeader/>
        </w:trPr>
        <w:tc>
          <w:tcPr>
            <w:tcW w:w="1100" w:type="pct"/>
            <w:shd w:val="clear" w:color="auto" w:fill="D9D9D9"/>
          </w:tcPr>
          <w:p w14:paraId="4B68AFE7" w14:textId="5296F268" w:rsidR="00EC3002" w:rsidRPr="00934489" w:rsidRDefault="004136D1" w:rsidP="004136D1">
            <w:pPr>
              <w:pStyle w:val="S8Gazettetableheading"/>
            </w:pPr>
            <w:r>
              <w:lastRenderedPageBreak/>
              <w:t>Application no.</w:t>
            </w:r>
          </w:p>
        </w:tc>
        <w:tc>
          <w:tcPr>
            <w:tcW w:w="3900" w:type="pct"/>
            <w:shd w:val="clear" w:color="auto" w:fill="FFFFFF"/>
          </w:tcPr>
          <w:p w14:paraId="0A311327" w14:textId="0551B831" w:rsidR="00EC3002" w:rsidRPr="00934489" w:rsidRDefault="004136D1" w:rsidP="004136D1">
            <w:pPr>
              <w:pStyle w:val="S8Gazettetabletext"/>
              <w:rPr>
                <w:noProof/>
              </w:rPr>
            </w:pPr>
            <w:r>
              <w:t>145417</w:t>
            </w:r>
          </w:p>
        </w:tc>
      </w:tr>
      <w:tr w:rsidR="00EC3002" w:rsidRPr="00934489" w14:paraId="7D505E68" w14:textId="77777777" w:rsidTr="004136D1">
        <w:trPr>
          <w:cantSplit/>
          <w:tblHeader/>
        </w:trPr>
        <w:tc>
          <w:tcPr>
            <w:tcW w:w="1100" w:type="pct"/>
            <w:shd w:val="clear" w:color="auto" w:fill="D9D9D9"/>
          </w:tcPr>
          <w:p w14:paraId="1AD38CF3" w14:textId="3744B279" w:rsidR="00EC3002" w:rsidRPr="00934489" w:rsidRDefault="004136D1" w:rsidP="004136D1">
            <w:pPr>
              <w:pStyle w:val="S8Gazettetableheading"/>
            </w:pPr>
            <w:r>
              <w:t>Product name</w:t>
            </w:r>
          </w:p>
        </w:tc>
        <w:tc>
          <w:tcPr>
            <w:tcW w:w="3900" w:type="pct"/>
            <w:shd w:val="clear" w:color="auto" w:fill="FFFFFF"/>
          </w:tcPr>
          <w:p w14:paraId="40D31819" w14:textId="75901CBD" w:rsidR="00EC3002" w:rsidRPr="00934489" w:rsidRDefault="004136D1" w:rsidP="004136D1">
            <w:pPr>
              <w:pStyle w:val="S8Gazettetabletext"/>
            </w:pPr>
            <w:proofErr w:type="spellStart"/>
            <w:r>
              <w:t>Simparica</w:t>
            </w:r>
            <w:proofErr w:type="spellEnd"/>
            <w:r>
              <w:t xml:space="preserve"> Trio Chews for Dogs 1.25 - 2.5 kg</w:t>
            </w:r>
          </w:p>
        </w:tc>
      </w:tr>
      <w:tr w:rsidR="00EC3002" w:rsidRPr="00934489" w14:paraId="1C295474" w14:textId="77777777" w:rsidTr="004136D1">
        <w:trPr>
          <w:cantSplit/>
          <w:tblHeader/>
        </w:trPr>
        <w:tc>
          <w:tcPr>
            <w:tcW w:w="1100" w:type="pct"/>
            <w:shd w:val="clear" w:color="auto" w:fill="D9D9D9"/>
          </w:tcPr>
          <w:p w14:paraId="0F42A822" w14:textId="333A09EE" w:rsidR="00EC3002" w:rsidRPr="00934489" w:rsidRDefault="004136D1" w:rsidP="004136D1">
            <w:pPr>
              <w:pStyle w:val="S8Gazettetableheading"/>
            </w:pPr>
            <w:r>
              <w:t>Active constituents</w:t>
            </w:r>
          </w:p>
        </w:tc>
        <w:tc>
          <w:tcPr>
            <w:tcW w:w="3900" w:type="pct"/>
            <w:shd w:val="clear" w:color="auto" w:fill="FFFFFF"/>
          </w:tcPr>
          <w:p w14:paraId="0B38C6A5" w14:textId="778380C5" w:rsidR="00EC3002" w:rsidRPr="00934489" w:rsidRDefault="004136D1" w:rsidP="004136D1">
            <w:pPr>
              <w:pStyle w:val="S8Gazettetabletext"/>
            </w:pPr>
            <w:r>
              <w:t xml:space="preserve">Each chew contains: 12.5 mg pyrantel (as </w:t>
            </w:r>
            <w:proofErr w:type="spellStart"/>
            <w:r>
              <w:t>embonate</w:t>
            </w:r>
            <w:proofErr w:type="spellEnd"/>
            <w:r>
              <w:t xml:space="preserve">), 3 mg </w:t>
            </w:r>
            <w:proofErr w:type="spellStart"/>
            <w:r>
              <w:t>sarolaner</w:t>
            </w:r>
            <w:proofErr w:type="spellEnd"/>
            <w:r>
              <w:t>, 0.06 mg moxidectin</w:t>
            </w:r>
          </w:p>
        </w:tc>
      </w:tr>
      <w:tr w:rsidR="00EC3002" w:rsidRPr="00934489" w14:paraId="5CDF79D5" w14:textId="77777777" w:rsidTr="004136D1">
        <w:trPr>
          <w:cantSplit/>
          <w:tblHeader/>
        </w:trPr>
        <w:tc>
          <w:tcPr>
            <w:tcW w:w="1100" w:type="pct"/>
            <w:shd w:val="clear" w:color="auto" w:fill="D9D9D9"/>
          </w:tcPr>
          <w:p w14:paraId="78999591" w14:textId="35A701E7" w:rsidR="00EC3002" w:rsidRPr="00934489" w:rsidRDefault="004136D1" w:rsidP="004136D1">
            <w:pPr>
              <w:pStyle w:val="S8Gazettetableheading"/>
            </w:pPr>
            <w:r>
              <w:t>Applicant name</w:t>
            </w:r>
          </w:p>
        </w:tc>
        <w:tc>
          <w:tcPr>
            <w:tcW w:w="3900" w:type="pct"/>
            <w:shd w:val="clear" w:color="auto" w:fill="FFFFFF"/>
          </w:tcPr>
          <w:p w14:paraId="370BDB0E" w14:textId="30599A62" w:rsidR="00EC3002" w:rsidRPr="00934489" w:rsidRDefault="004136D1" w:rsidP="004136D1">
            <w:pPr>
              <w:pStyle w:val="S8Gazettetabletext"/>
            </w:pPr>
            <w:r>
              <w:t>Zoetis Australia Pty Ltd</w:t>
            </w:r>
          </w:p>
        </w:tc>
      </w:tr>
      <w:tr w:rsidR="00EC3002" w:rsidRPr="00934489" w14:paraId="12311755" w14:textId="77777777" w:rsidTr="004136D1">
        <w:trPr>
          <w:cantSplit/>
          <w:tblHeader/>
        </w:trPr>
        <w:tc>
          <w:tcPr>
            <w:tcW w:w="1100" w:type="pct"/>
            <w:shd w:val="clear" w:color="auto" w:fill="D9D9D9"/>
          </w:tcPr>
          <w:p w14:paraId="0451C0BE" w14:textId="0E46C6CD" w:rsidR="00EC3002" w:rsidRPr="00934489" w:rsidRDefault="004136D1" w:rsidP="004136D1">
            <w:pPr>
              <w:pStyle w:val="S8Gazettetableheading"/>
            </w:pPr>
            <w:r>
              <w:t>Applicant ACN</w:t>
            </w:r>
          </w:p>
        </w:tc>
        <w:tc>
          <w:tcPr>
            <w:tcW w:w="3900" w:type="pct"/>
            <w:shd w:val="clear" w:color="auto" w:fill="FFFFFF"/>
          </w:tcPr>
          <w:p w14:paraId="4F5BDCC3" w14:textId="1EEB6AAC" w:rsidR="00EC3002" w:rsidRPr="00934489" w:rsidRDefault="004136D1" w:rsidP="004136D1">
            <w:pPr>
              <w:pStyle w:val="S8Gazettetabletext"/>
            </w:pPr>
            <w:r>
              <w:t>156 476 425</w:t>
            </w:r>
          </w:p>
        </w:tc>
      </w:tr>
      <w:tr w:rsidR="00EC3002" w:rsidRPr="00934489" w14:paraId="469737B6" w14:textId="77777777" w:rsidTr="004136D1">
        <w:trPr>
          <w:cantSplit/>
          <w:tblHeader/>
        </w:trPr>
        <w:tc>
          <w:tcPr>
            <w:tcW w:w="1100" w:type="pct"/>
            <w:shd w:val="clear" w:color="auto" w:fill="D9D9D9"/>
          </w:tcPr>
          <w:p w14:paraId="0058E057" w14:textId="5953915D" w:rsidR="00EC3002" w:rsidRPr="00934489" w:rsidRDefault="004136D1" w:rsidP="004136D1">
            <w:pPr>
              <w:pStyle w:val="S8Gazettetableheading"/>
            </w:pPr>
            <w:r>
              <w:t>Date of variation</w:t>
            </w:r>
          </w:p>
        </w:tc>
        <w:tc>
          <w:tcPr>
            <w:tcW w:w="3900" w:type="pct"/>
            <w:shd w:val="clear" w:color="auto" w:fill="FFFFFF"/>
          </w:tcPr>
          <w:p w14:paraId="6CA30F84" w14:textId="74060B46" w:rsidR="00EC3002" w:rsidRPr="00934489" w:rsidRDefault="004136D1" w:rsidP="004136D1">
            <w:pPr>
              <w:pStyle w:val="S8Gazettetabletext"/>
            </w:pPr>
            <w:r>
              <w:t>6 August 2025</w:t>
            </w:r>
          </w:p>
        </w:tc>
      </w:tr>
      <w:tr w:rsidR="00EC3002" w:rsidRPr="00934489" w14:paraId="0AB00EF5" w14:textId="77777777" w:rsidTr="004136D1">
        <w:trPr>
          <w:cantSplit/>
          <w:tblHeader/>
        </w:trPr>
        <w:tc>
          <w:tcPr>
            <w:tcW w:w="1100" w:type="pct"/>
            <w:shd w:val="clear" w:color="auto" w:fill="D9D9D9"/>
          </w:tcPr>
          <w:p w14:paraId="3241139D" w14:textId="31083C65" w:rsidR="00EC3002" w:rsidRPr="00934489" w:rsidRDefault="004136D1" w:rsidP="004136D1">
            <w:pPr>
              <w:pStyle w:val="S8Gazettetableheading"/>
            </w:pPr>
            <w:r>
              <w:t>Product registration no.</w:t>
            </w:r>
          </w:p>
        </w:tc>
        <w:tc>
          <w:tcPr>
            <w:tcW w:w="3900" w:type="pct"/>
            <w:shd w:val="clear" w:color="auto" w:fill="FFFFFF"/>
          </w:tcPr>
          <w:p w14:paraId="059A475B" w14:textId="7317FF58" w:rsidR="00EC3002" w:rsidRPr="00934489" w:rsidRDefault="004136D1" w:rsidP="004136D1">
            <w:pPr>
              <w:pStyle w:val="S8Gazettetabletext"/>
            </w:pPr>
            <w:r>
              <w:t>88220</w:t>
            </w:r>
          </w:p>
        </w:tc>
      </w:tr>
      <w:tr w:rsidR="00EC3002" w:rsidRPr="00934489" w14:paraId="03CE38FE" w14:textId="77777777" w:rsidTr="004136D1">
        <w:trPr>
          <w:cantSplit/>
          <w:tblHeader/>
        </w:trPr>
        <w:tc>
          <w:tcPr>
            <w:tcW w:w="1100" w:type="pct"/>
            <w:shd w:val="clear" w:color="auto" w:fill="D9D9D9"/>
          </w:tcPr>
          <w:p w14:paraId="1F3A7684" w14:textId="2A220F91" w:rsidR="00EC3002" w:rsidRPr="00934489" w:rsidRDefault="004136D1" w:rsidP="004136D1">
            <w:pPr>
              <w:pStyle w:val="S8Gazettetableheading"/>
            </w:pPr>
            <w:r>
              <w:t>Label approval no.</w:t>
            </w:r>
          </w:p>
        </w:tc>
        <w:tc>
          <w:tcPr>
            <w:tcW w:w="3900" w:type="pct"/>
            <w:shd w:val="clear" w:color="auto" w:fill="FFFFFF"/>
          </w:tcPr>
          <w:p w14:paraId="20E1718F" w14:textId="018ABAE0" w:rsidR="00EC3002" w:rsidRPr="00934489" w:rsidRDefault="004136D1" w:rsidP="004136D1">
            <w:pPr>
              <w:pStyle w:val="S8Gazettetabletext"/>
            </w:pPr>
            <w:r>
              <w:t>88220/145417</w:t>
            </w:r>
          </w:p>
        </w:tc>
      </w:tr>
      <w:tr w:rsidR="00EC3002" w:rsidRPr="00934489" w14:paraId="2E587852" w14:textId="77777777" w:rsidTr="004136D1">
        <w:trPr>
          <w:cantSplit/>
          <w:tblHeader/>
        </w:trPr>
        <w:tc>
          <w:tcPr>
            <w:tcW w:w="1100" w:type="pct"/>
            <w:shd w:val="clear" w:color="auto" w:fill="D9D9D9"/>
          </w:tcPr>
          <w:p w14:paraId="196D2B0A" w14:textId="3D445E0C"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0C18CC0B" w14:textId="4F4752EB" w:rsidR="00EC3002" w:rsidRPr="00934489" w:rsidRDefault="004136D1" w:rsidP="004136D1">
            <w:pPr>
              <w:pStyle w:val="S8Gazettetabletext"/>
            </w:pPr>
            <w:r>
              <w:t>Variation of particulars of product registration and label approval to add new claims</w:t>
            </w:r>
          </w:p>
        </w:tc>
      </w:tr>
    </w:tbl>
    <w:p w14:paraId="55BCF6AB"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4ADA56EE" w14:textId="77777777" w:rsidTr="004136D1">
        <w:trPr>
          <w:cantSplit/>
        </w:trPr>
        <w:tc>
          <w:tcPr>
            <w:tcW w:w="1100" w:type="pct"/>
            <w:shd w:val="clear" w:color="auto" w:fill="D9D9D9"/>
          </w:tcPr>
          <w:p w14:paraId="4D4FDD81" w14:textId="338EE44D" w:rsidR="00EC3002" w:rsidRPr="00934489" w:rsidRDefault="004136D1" w:rsidP="004136D1">
            <w:pPr>
              <w:pStyle w:val="S8Gazettetableheading"/>
            </w:pPr>
            <w:r>
              <w:t>Application no.</w:t>
            </w:r>
          </w:p>
        </w:tc>
        <w:tc>
          <w:tcPr>
            <w:tcW w:w="3900" w:type="pct"/>
            <w:shd w:val="clear" w:color="auto" w:fill="FFFFFF"/>
          </w:tcPr>
          <w:p w14:paraId="0BF18079" w14:textId="25171111" w:rsidR="00EC3002" w:rsidRPr="00934489" w:rsidRDefault="004136D1" w:rsidP="004136D1">
            <w:pPr>
              <w:pStyle w:val="S8Gazettetabletext"/>
              <w:rPr>
                <w:noProof/>
              </w:rPr>
            </w:pPr>
            <w:r>
              <w:t>147203</w:t>
            </w:r>
          </w:p>
        </w:tc>
      </w:tr>
      <w:tr w:rsidR="00EC3002" w:rsidRPr="00934489" w14:paraId="3FA2E2D3" w14:textId="77777777" w:rsidTr="004136D1">
        <w:trPr>
          <w:cantSplit/>
        </w:trPr>
        <w:tc>
          <w:tcPr>
            <w:tcW w:w="1100" w:type="pct"/>
            <w:shd w:val="clear" w:color="auto" w:fill="D9D9D9"/>
          </w:tcPr>
          <w:p w14:paraId="3545D269" w14:textId="0C39ABBC" w:rsidR="00EC3002" w:rsidRPr="00934489" w:rsidRDefault="004136D1" w:rsidP="004136D1">
            <w:pPr>
              <w:pStyle w:val="S8Gazettetableheading"/>
            </w:pPr>
            <w:r>
              <w:t>Product name</w:t>
            </w:r>
          </w:p>
        </w:tc>
        <w:tc>
          <w:tcPr>
            <w:tcW w:w="3900" w:type="pct"/>
            <w:shd w:val="clear" w:color="auto" w:fill="FFFFFF"/>
          </w:tcPr>
          <w:p w14:paraId="52A5D9D7" w14:textId="4D1F3E08" w:rsidR="00EC3002" w:rsidRPr="00934489" w:rsidRDefault="004136D1" w:rsidP="004136D1">
            <w:pPr>
              <w:pStyle w:val="S8Gazettetabletext"/>
            </w:pPr>
            <w:proofErr w:type="spellStart"/>
            <w:r>
              <w:t>Beransa</w:t>
            </w:r>
            <w:proofErr w:type="spellEnd"/>
            <w:r>
              <w:t xml:space="preserve"> 20 mg Solution for Injection for Dogs</w:t>
            </w:r>
          </w:p>
        </w:tc>
      </w:tr>
      <w:tr w:rsidR="00EC3002" w:rsidRPr="00934489" w14:paraId="54D9932C" w14:textId="77777777" w:rsidTr="004136D1">
        <w:trPr>
          <w:cantSplit/>
        </w:trPr>
        <w:tc>
          <w:tcPr>
            <w:tcW w:w="1100" w:type="pct"/>
            <w:shd w:val="clear" w:color="auto" w:fill="D9D9D9"/>
          </w:tcPr>
          <w:p w14:paraId="66E48AB2" w14:textId="6671BE7C" w:rsidR="00EC3002" w:rsidRPr="00934489" w:rsidRDefault="004136D1" w:rsidP="004136D1">
            <w:pPr>
              <w:pStyle w:val="S8Gazettetableheading"/>
            </w:pPr>
            <w:r>
              <w:t>Active constituents</w:t>
            </w:r>
          </w:p>
        </w:tc>
        <w:tc>
          <w:tcPr>
            <w:tcW w:w="3900" w:type="pct"/>
            <w:shd w:val="clear" w:color="auto" w:fill="FFFFFF"/>
          </w:tcPr>
          <w:p w14:paraId="68A9CAE5" w14:textId="4DFD120C" w:rsidR="00EC3002" w:rsidRPr="00934489" w:rsidRDefault="004136D1" w:rsidP="004136D1">
            <w:pPr>
              <w:pStyle w:val="S8Gazettetabletext"/>
            </w:pPr>
            <w:r>
              <w:t xml:space="preserve">Each 1 mL vial contains 20 mg </w:t>
            </w:r>
            <w:proofErr w:type="spellStart"/>
            <w:r>
              <w:t>bedinvetmab</w:t>
            </w:r>
            <w:proofErr w:type="spellEnd"/>
          </w:p>
        </w:tc>
      </w:tr>
      <w:tr w:rsidR="00EC3002" w:rsidRPr="00934489" w14:paraId="20A4ED63" w14:textId="77777777" w:rsidTr="004136D1">
        <w:trPr>
          <w:cantSplit/>
        </w:trPr>
        <w:tc>
          <w:tcPr>
            <w:tcW w:w="1100" w:type="pct"/>
            <w:shd w:val="clear" w:color="auto" w:fill="D9D9D9"/>
          </w:tcPr>
          <w:p w14:paraId="39EFF2F9" w14:textId="1A3BFAE5" w:rsidR="00EC3002" w:rsidRPr="00934489" w:rsidRDefault="004136D1" w:rsidP="004136D1">
            <w:pPr>
              <w:pStyle w:val="S8Gazettetableheading"/>
            </w:pPr>
            <w:r>
              <w:t>Applicant name</w:t>
            </w:r>
          </w:p>
        </w:tc>
        <w:tc>
          <w:tcPr>
            <w:tcW w:w="3900" w:type="pct"/>
            <w:shd w:val="clear" w:color="auto" w:fill="FFFFFF"/>
          </w:tcPr>
          <w:p w14:paraId="45491B31" w14:textId="5D7EEFA7" w:rsidR="00EC3002" w:rsidRPr="00934489" w:rsidRDefault="004136D1" w:rsidP="004136D1">
            <w:pPr>
              <w:pStyle w:val="S8Gazettetabletext"/>
            </w:pPr>
            <w:r>
              <w:t>Zoetis Australia Pty Ltd</w:t>
            </w:r>
          </w:p>
        </w:tc>
      </w:tr>
      <w:tr w:rsidR="00EC3002" w:rsidRPr="00934489" w14:paraId="4975DAB1" w14:textId="77777777" w:rsidTr="004136D1">
        <w:trPr>
          <w:cantSplit/>
        </w:trPr>
        <w:tc>
          <w:tcPr>
            <w:tcW w:w="1100" w:type="pct"/>
            <w:shd w:val="clear" w:color="auto" w:fill="D9D9D9"/>
          </w:tcPr>
          <w:p w14:paraId="7233A67C" w14:textId="0B48B572" w:rsidR="00EC3002" w:rsidRPr="00934489" w:rsidRDefault="004136D1" w:rsidP="004136D1">
            <w:pPr>
              <w:pStyle w:val="S8Gazettetableheading"/>
            </w:pPr>
            <w:r>
              <w:t>Applicant ACN</w:t>
            </w:r>
          </w:p>
        </w:tc>
        <w:tc>
          <w:tcPr>
            <w:tcW w:w="3900" w:type="pct"/>
            <w:shd w:val="clear" w:color="auto" w:fill="FFFFFF"/>
          </w:tcPr>
          <w:p w14:paraId="4286D3BD" w14:textId="780E22FA" w:rsidR="00EC3002" w:rsidRPr="00934489" w:rsidRDefault="004136D1" w:rsidP="004136D1">
            <w:pPr>
              <w:pStyle w:val="S8Gazettetabletext"/>
            </w:pPr>
            <w:r>
              <w:t>156 476 425</w:t>
            </w:r>
          </w:p>
        </w:tc>
      </w:tr>
      <w:tr w:rsidR="00EC3002" w:rsidRPr="00934489" w14:paraId="61D47090" w14:textId="77777777" w:rsidTr="004136D1">
        <w:trPr>
          <w:cantSplit/>
        </w:trPr>
        <w:tc>
          <w:tcPr>
            <w:tcW w:w="1100" w:type="pct"/>
            <w:shd w:val="clear" w:color="auto" w:fill="D9D9D9"/>
          </w:tcPr>
          <w:p w14:paraId="49539AC2" w14:textId="082EBCBA" w:rsidR="00EC3002" w:rsidRPr="00934489" w:rsidRDefault="004136D1" w:rsidP="004136D1">
            <w:pPr>
              <w:pStyle w:val="S8Gazettetableheading"/>
            </w:pPr>
            <w:r>
              <w:t>Date of variation</w:t>
            </w:r>
          </w:p>
        </w:tc>
        <w:tc>
          <w:tcPr>
            <w:tcW w:w="3900" w:type="pct"/>
            <w:shd w:val="clear" w:color="auto" w:fill="FFFFFF"/>
          </w:tcPr>
          <w:p w14:paraId="2764D1E1" w14:textId="2FBCC54D" w:rsidR="00EC3002" w:rsidRPr="00934489" w:rsidRDefault="004136D1" w:rsidP="004136D1">
            <w:pPr>
              <w:pStyle w:val="S8Gazettetabletext"/>
            </w:pPr>
            <w:r>
              <w:t>7 August 2025</w:t>
            </w:r>
          </w:p>
        </w:tc>
      </w:tr>
      <w:tr w:rsidR="00EC3002" w:rsidRPr="00934489" w14:paraId="1D74BE93" w14:textId="77777777" w:rsidTr="004136D1">
        <w:trPr>
          <w:cantSplit/>
        </w:trPr>
        <w:tc>
          <w:tcPr>
            <w:tcW w:w="1100" w:type="pct"/>
            <w:shd w:val="clear" w:color="auto" w:fill="D9D9D9"/>
          </w:tcPr>
          <w:p w14:paraId="2DEF3D9F" w14:textId="62B2A024" w:rsidR="00EC3002" w:rsidRPr="00934489" w:rsidRDefault="004136D1" w:rsidP="004136D1">
            <w:pPr>
              <w:pStyle w:val="S8Gazettetableheading"/>
            </w:pPr>
            <w:r>
              <w:t>Product registration no.</w:t>
            </w:r>
          </w:p>
        </w:tc>
        <w:tc>
          <w:tcPr>
            <w:tcW w:w="3900" w:type="pct"/>
            <w:shd w:val="clear" w:color="auto" w:fill="FFFFFF"/>
          </w:tcPr>
          <w:p w14:paraId="4E1BD986" w14:textId="68358312" w:rsidR="00EC3002" w:rsidRPr="00934489" w:rsidRDefault="004136D1" w:rsidP="004136D1">
            <w:pPr>
              <w:pStyle w:val="S8Gazettetabletext"/>
            </w:pPr>
            <w:r>
              <w:t>89655</w:t>
            </w:r>
          </w:p>
        </w:tc>
      </w:tr>
      <w:tr w:rsidR="00EC3002" w:rsidRPr="00934489" w14:paraId="2B2747D1" w14:textId="77777777" w:rsidTr="004136D1">
        <w:trPr>
          <w:cantSplit/>
        </w:trPr>
        <w:tc>
          <w:tcPr>
            <w:tcW w:w="1100" w:type="pct"/>
            <w:shd w:val="clear" w:color="auto" w:fill="D9D9D9"/>
          </w:tcPr>
          <w:p w14:paraId="22BFDF87" w14:textId="51F5F2DF" w:rsidR="00EC3002" w:rsidRPr="00934489" w:rsidRDefault="004136D1" w:rsidP="004136D1">
            <w:pPr>
              <w:pStyle w:val="S8Gazettetableheading"/>
            </w:pPr>
            <w:r>
              <w:t>Label approval no.</w:t>
            </w:r>
          </w:p>
        </w:tc>
        <w:tc>
          <w:tcPr>
            <w:tcW w:w="3900" w:type="pct"/>
            <w:shd w:val="clear" w:color="auto" w:fill="FFFFFF"/>
          </w:tcPr>
          <w:p w14:paraId="35EEF484" w14:textId="5609E528" w:rsidR="00EC3002" w:rsidRPr="00934489" w:rsidRDefault="004136D1" w:rsidP="004136D1">
            <w:pPr>
              <w:pStyle w:val="S8Gazettetabletext"/>
            </w:pPr>
            <w:r>
              <w:t>89655/147203</w:t>
            </w:r>
          </w:p>
        </w:tc>
      </w:tr>
      <w:tr w:rsidR="00EC3002" w:rsidRPr="00934489" w14:paraId="3FD5A60A" w14:textId="77777777" w:rsidTr="004136D1">
        <w:trPr>
          <w:cantSplit/>
        </w:trPr>
        <w:tc>
          <w:tcPr>
            <w:tcW w:w="1100" w:type="pct"/>
            <w:shd w:val="clear" w:color="auto" w:fill="D9D9D9"/>
          </w:tcPr>
          <w:p w14:paraId="1CFAEAEE" w14:textId="774EAB59"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6113634F" w14:textId="31EA20FC" w:rsidR="00EC3002" w:rsidRPr="00934489" w:rsidRDefault="004136D1" w:rsidP="004136D1">
            <w:pPr>
              <w:pStyle w:val="S8Gazettetabletext"/>
            </w:pPr>
            <w:r>
              <w:t>Variation of relevant particulars of product registration and label approval by updating the side effects and disposal statements</w:t>
            </w:r>
          </w:p>
        </w:tc>
      </w:tr>
    </w:tbl>
    <w:p w14:paraId="024FAD65"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55D9DFFC" w14:textId="77777777" w:rsidTr="004136D1">
        <w:trPr>
          <w:cantSplit/>
        </w:trPr>
        <w:tc>
          <w:tcPr>
            <w:tcW w:w="1100" w:type="pct"/>
            <w:shd w:val="clear" w:color="auto" w:fill="D9D9D9"/>
          </w:tcPr>
          <w:p w14:paraId="45BBB469" w14:textId="679C4F07" w:rsidR="00EC3002" w:rsidRPr="00934489" w:rsidRDefault="004136D1" w:rsidP="004136D1">
            <w:pPr>
              <w:pStyle w:val="S8Gazettetableheading"/>
            </w:pPr>
            <w:r>
              <w:t>Application no.</w:t>
            </w:r>
          </w:p>
        </w:tc>
        <w:tc>
          <w:tcPr>
            <w:tcW w:w="3900" w:type="pct"/>
            <w:shd w:val="clear" w:color="auto" w:fill="FFFFFF"/>
          </w:tcPr>
          <w:p w14:paraId="4D050D3E" w14:textId="31B206C1" w:rsidR="00EC3002" w:rsidRPr="00934489" w:rsidRDefault="004136D1" w:rsidP="004136D1">
            <w:pPr>
              <w:pStyle w:val="S8Gazettetabletext"/>
              <w:rPr>
                <w:noProof/>
              </w:rPr>
            </w:pPr>
            <w:r>
              <w:t>147205</w:t>
            </w:r>
          </w:p>
        </w:tc>
      </w:tr>
      <w:tr w:rsidR="00EC3002" w:rsidRPr="00934489" w14:paraId="7B752D83" w14:textId="77777777" w:rsidTr="004136D1">
        <w:trPr>
          <w:cantSplit/>
        </w:trPr>
        <w:tc>
          <w:tcPr>
            <w:tcW w:w="1100" w:type="pct"/>
            <w:shd w:val="clear" w:color="auto" w:fill="D9D9D9"/>
          </w:tcPr>
          <w:p w14:paraId="2272A5EF" w14:textId="1A662297" w:rsidR="00EC3002" w:rsidRPr="00934489" w:rsidRDefault="004136D1" w:rsidP="004136D1">
            <w:pPr>
              <w:pStyle w:val="S8Gazettetableheading"/>
            </w:pPr>
            <w:r>
              <w:t>Product name</w:t>
            </w:r>
          </w:p>
        </w:tc>
        <w:tc>
          <w:tcPr>
            <w:tcW w:w="3900" w:type="pct"/>
            <w:shd w:val="clear" w:color="auto" w:fill="FFFFFF"/>
          </w:tcPr>
          <w:p w14:paraId="23547E12" w14:textId="3701E9E9" w:rsidR="00EC3002" w:rsidRPr="00934489" w:rsidRDefault="004136D1" w:rsidP="004136D1">
            <w:pPr>
              <w:pStyle w:val="S8Gazettetabletext"/>
            </w:pPr>
            <w:proofErr w:type="spellStart"/>
            <w:r>
              <w:t>Beransa</w:t>
            </w:r>
            <w:proofErr w:type="spellEnd"/>
            <w:r>
              <w:t xml:space="preserve"> 30 mg Solution for Injection for Dogs</w:t>
            </w:r>
          </w:p>
        </w:tc>
      </w:tr>
      <w:tr w:rsidR="00EC3002" w:rsidRPr="00934489" w14:paraId="03223B7B" w14:textId="77777777" w:rsidTr="004136D1">
        <w:trPr>
          <w:cantSplit/>
        </w:trPr>
        <w:tc>
          <w:tcPr>
            <w:tcW w:w="1100" w:type="pct"/>
            <w:shd w:val="clear" w:color="auto" w:fill="D9D9D9"/>
          </w:tcPr>
          <w:p w14:paraId="595FE48A" w14:textId="02479509" w:rsidR="00EC3002" w:rsidRPr="00934489" w:rsidRDefault="004136D1" w:rsidP="004136D1">
            <w:pPr>
              <w:pStyle w:val="S8Gazettetableheading"/>
            </w:pPr>
            <w:r>
              <w:t>Active constituents</w:t>
            </w:r>
          </w:p>
        </w:tc>
        <w:tc>
          <w:tcPr>
            <w:tcW w:w="3900" w:type="pct"/>
            <w:shd w:val="clear" w:color="auto" w:fill="FFFFFF"/>
          </w:tcPr>
          <w:p w14:paraId="4ECF55FA" w14:textId="51A89C6D" w:rsidR="00EC3002" w:rsidRPr="00934489" w:rsidRDefault="004136D1" w:rsidP="004136D1">
            <w:pPr>
              <w:pStyle w:val="S8Gazettetabletext"/>
            </w:pPr>
            <w:r>
              <w:t xml:space="preserve">Each 1 mL vial contains 30 mg </w:t>
            </w:r>
            <w:proofErr w:type="spellStart"/>
            <w:r>
              <w:t>bedinvetmab</w:t>
            </w:r>
            <w:proofErr w:type="spellEnd"/>
          </w:p>
        </w:tc>
      </w:tr>
      <w:tr w:rsidR="00EC3002" w:rsidRPr="00934489" w14:paraId="26FC5D78" w14:textId="77777777" w:rsidTr="004136D1">
        <w:trPr>
          <w:cantSplit/>
        </w:trPr>
        <w:tc>
          <w:tcPr>
            <w:tcW w:w="1100" w:type="pct"/>
            <w:shd w:val="clear" w:color="auto" w:fill="D9D9D9"/>
          </w:tcPr>
          <w:p w14:paraId="53508120" w14:textId="455753D6" w:rsidR="00EC3002" w:rsidRPr="00934489" w:rsidRDefault="004136D1" w:rsidP="004136D1">
            <w:pPr>
              <w:pStyle w:val="S8Gazettetableheading"/>
            </w:pPr>
            <w:r>
              <w:t>Applicant name</w:t>
            </w:r>
          </w:p>
        </w:tc>
        <w:tc>
          <w:tcPr>
            <w:tcW w:w="3900" w:type="pct"/>
            <w:shd w:val="clear" w:color="auto" w:fill="FFFFFF"/>
          </w:tcPr>
          <w:p w14:paraId="52767F3E" w14:textId="7A64A45C" w:rsidR="00EC3002" w:rsidRPr="00934489" w:rsidRDefault="004136D1" w:rsidP="004136D1">
            <w:pPr>
              <w:pStyle w:val="S8Gazettetabletext"/>
            </w:pPr>
            <w:r>
              <w:t>Zoetis Australia Pty Ltd</w:t>
            </w:r>
          </w:p>
        </w:tc>
      </w:tr>
      <w:tr w:rsidR="00EC3002" w:rsidRPr="00934489" w14:paraId="2B72B43C" w14:textId="77777777" w:rsidTr="004136D1">
        <w:trPr>
          <w:cantSplit/>
        </w:trPr>
        <w:tc>
          <w:tcPr>
            <w:tcW w:w="1100" w:type="pct"/>
            <w:shd w:val="clear" w:color="auto" w:fill="D9D9D9"/>
          </w:tcPr>
          <w:p w14:paraId="3A9A864E" w14:textId="3033306C" w:rsidR="00EC3002" w:rsidRPr="00934489" w:rsidRDefault="004136D1" w:rsidP="004136D1">
            <w:pPr>
              <w:pStyle w:val="S8Gazettetableheading"/>
            </w:pPr>
            <w:r>
              <w:t>Applicant ACN</w:t>
            </w:r>
          </w:p>
        </w:tc>
        <w:tc>
          <w:tcPr>
            <w:tcW w:w="3900" w:type="pct"/>
            <w:shd w:val="clear" w:color="auto" w:fill="FFFFFF"/>
          </w:tcPr>
          <w:p w14:paraId="551F43A3" w14:textId="3439F19B" w:rsidR="00EC3002" w:rsidRPr="00934489" w:rsidRDefault="004136D1" w:rsidP="004136D1">
            <w:pPr>
              <w:pStyle w:val="S8Gazettetabletext"/>
            </w:pPr>
            <w:r>
              <w:t>156 476 425</w:t>
            </w:r>
          </w:p>
        </w:tc>
      </w:tr>
      <w:tr w:rsidR="00EC3002" w:rsidRPr="00934489" w14:paraId="78ABFDE4" w14:textId="77777777" w:rsidTr="004136D1">
        <w:trPr>
          <w:cantSplit/>
        </w:trPr>
        <w:tc>
          <w:tcPr>
            <w:tcW w:w="1100" w:type="pct"/>
            <w:shd w:val="clear" w:color="auto" w:fill="D9D9D9"/>
          </w:tcPr>
          <w:p w14:paraId="6A792A7A" w14:textId="6ABBF306" w:rsidR="00EC3002" w:rsidRPr="00934489" w:rsidRDefault="004136D1" w:rsidP="004136D1">
            <w:pPr>
              <w:pStyle w:val="S8Gazettetableheading"/>
            </w:pPr>
            <w:r>
              <w:t>Date of variation</w:t>
            </w:r>
          </w:p>
        </w:tc>
        <w:tc>
          <w:tcPr>
            <w:tcW w:w="3900" w:type="pct"/>
            <w:shd w:val="clear" w:color="auto" w:fill="FFFFFF"/>
          </w:tcPr>
          <w:p w14:paraId="455F6B81" w14:textId="5B36A66E" w:rsidR="00EC3002" w:rsidRPr="00934489" w:rsidRDefault="004136D1" w:rsidP="004136D1">
            <w:pPr>
              <w:pStyle w:val="S8Gazettetabletext"/>
            </w:pPr>
            <w:r>
              <w:t>7 August 2025</w:t>
            </w:r>
          </w:p>
        </w:tc>
      </w:tr>
      <w:tr w:rsidR="00EC3002" w:rsidRPr="00934489" w14:paraId="1FB6E548" w14:textId="77777777" w:rsidTr="004136D1">
        <w:trPr>
          <w:cantSplit/>
        </w:trPr>
        <w:tc>
          <w:tcPr>
            <w:tcW w:w="1100" w:type="pct"/>
            <w:shd w:val="clear" w:color="auto" w:fill="D9D9D9"/>
          </w:tcPr>
          <w:p w14:paraId="7937FF59" w14:textId="20663B75" w:rsidR="00EC3002" w:rsidRPr="00934489" w:rsidRDefault="004136D1" w:rsidP="004136D1">
            <w:pPr>
              <w:pStyle w:val="S8Gazettetableheading"/>
            </w:pPr>
            <w:r>
              <w:t>Product registration no.</w:t>
            </w:r>
          </w:p>
        </w:tc>
        <w:tc>
          <w:tcPr>
            <w:tcW w:w="3900" w:type="pct"/>
            <w:shd w:val="clear" w:color="auto" w:fill="FFFFFF"/>
          </w:tcPr>
          <w:p w14:paraId="744BEC58" w14:textId="62445F86" w:rsidR="00EC3002" w:rsidRPr="00934489" w:rsidRDefault="004136D1" w:rsidP="004136D1">
            <w:pPr>
              <w:pStyle w:val="S8Gazettetabletext"/>
            </w:pPr>
            <w:r>
              <w:t>89695</w:t>
            </w:r>
          </w:p>
        </w:tc>
      </w:tr>
      <w:tr w:rsidR="00EC3002" w:rsidRPr="00934489" w14:paraId="545FCFB2" w14:textId="77777777" w:rsidTr="004136D1">
        <w:trPr>
          <w:cantSplit/>
        </w:trPr>
        <w:tc>
          <w:tcPr>
            <w:tcW w:w="1100" w:type="pct"/>
            <w:shd w:val="clear" w:color="auto" w:fill="D9D9D9"/>
          </w:tcPr>
          <w:p w14:paraId="4686B1A1" w14:textId="5FA6A5AC" w:rsidR="00EC3002" w:rsidRPr="00934489" w:rsidRDefault="004136D1" w:rsidP="004136D1">
            <w:pPr>
              <w:pStyle w:val="S8Gazettetableheading"/>
            </w:pPr>
            <w:r>
              <w:t>Label approval no.</w:t>
            </w:r>
          </w:p>
        </w:tc>
        <w:tc>
          <w:tcPr>
            <w:tcW w:w="3900" w:type="pct"/>
            <w:shd w:val="clear" w:color="auto" w:fill="FFFFFF"/>
          </w:tcPr>
          <w:p w14:paraId="3859495A" w14:textId="72785894" w:rsidR="00EC3002" w:rsidRPr="00934489" w:rsidRDefault="004136D1" w:rsidP="004136D1">
            <w:pPr>
              <w:pStyle w:val="S8Gazettetabletext"/>
            </w:pPr>
            <w:r>
              <w:t>89695/147205</w:t>
            </w:r>
          </w:p>
        </w:tc>
      </w:tr>
      <w:tr w:rsidR="00EC3002" w:rsidRPr="00934489" w14:paraId="34610D51" w14:textId="77777777" w:rsidTr="004136D1">
        <w:trPr>
          <w:cantSplit/>
        </w:trPr>
        <w:tc>
          <w:tcPr>
            <w:tcW w:w="1100" w:type="pct"/>
            <w:shd w:val="clear" w:color="auto" w:fill="D9D9D9"/>
          </w:tcPr>
          <w:p w14:paraId="7AAFBCDF" w14:textId="0E4DCD2D"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42EDB5B7" w14:textId="7296D0A4" w:rsidR="00EC3002" w:rsidRPr="00934489" w:rsidRDefault="004136D1" w:rsidP="004136D1">
            <w:pPr>
              <w:pStyle w:val="S8Gazettetabletext"/>
            </w:pPr>
            <w:r>
              <w:t>Variation of relevant particulars of product registration and label approval by updating the side effects and disposal statements</w:t>
            </w:r>
          </w:p>
        </w:tc>
      </w:tr>
    </w:tbl>
    <w:p w14:paraId="0A489C1E"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4300942A" w14:textId="77777777" w:rsidTr="004136D1">
        <w:trPr>
          <w:cantSplit/>
          <w:tblHeader/>
        </w:trPr>
        <w:tc>
          <w:tcPr>
            <w:tcW w:w="1100" w:type="pct"/>
            <w:shd w:val="clear" w:color="auto" w:fill="D9D9D9"/>
          </w:tcPr>
          <w:p w14:paraId="1E99ED83" w14:textId="0943BC83" w:rsidR="00EC3002" w:rsidRPr="00934489" w:rsidRDefault="004136D1" w:rsidP="004136D1">
            <w:pPr>
              <w:pStyle w:val="S8Gazettetableheading"/>
            </w:pPr>
            <w:r>
              <w:lastRenderedPageBreak/>
              <w:t>Application no.</w:t>
            </w:r>
          </w:p>
        </w:tc>
        <w:tc>
          <w:tcPr>
            <w:tcW w:w="3900" w:type="pct"/>
            <w:shd w:val="clear" w:color="auto" w:fill="FFFFFF"/>
          </w:tcPr>
          <w:p w14:paraId="1239806D" w14:textId="4D4487E9" w:rsidR="00EC3002" w:rsidRPr="00934489" w:rsidRDefault="004136D1" w:rsidP="004136D1">
            <w:pPr>
              <w:pStyle w:val="S8Gazettetabletext"/>
              <w:rPr>
                <w:noProof/>
              </w:rPr>
            </w:pPr>
            <w:r>
              <w:t>147208</w:t>
            </w:r>
          </w:p>
        </w:tc>
      </w:tr>
      <w:tr w:rsidR="00EC3002" w:rsidRPr="00934489" w14:paraId="570E1EFB" w14:textId="77777777" w:rsidTr="004136D1">
        <w:trPr>
          <w:cantSplit/>
          <w:tblHeader/>
        </w:trPr>
        <w:tc>
          <w:tcPr>
            <w:tcW w:w="1100" w:type="pct"/>
            <w:shd w:val="clear" w:color="auto" w:fill="D9D9D9"/>
          </w:tcPr>
          <w:p w14:paraId="0840DC70" w14:textId="0D1C0475" w:rsidR="00EC3002" w:rsidRPr="00934489" w:rsidRDefault="004136D1" w:rsidP="004136D1">
            <w:pPr>
              <w:pStyle w:val="S8Gazettetableheading"/>
            </w:pPr>
            <w:r>
              <w:t>Product name</w:t>
            </w:r>
          </w:p>
        </w:tc>
        <w:tc>
          <w:tcPr>
            <w:tcW w:w="3900" w:type="pct"/>
            <w:shd w:val="clear" w:color="auto" w:fill="FFFFFF"/>
          </w:tcPr>
          <w:p w14:paraId="3B556B9C" w14:textId="67562831" w:rsidR="00EC3002" w:rsidRPr="00934489" w:rsidRDefault="004136D1" w:rsidP="004136D1">
            <w:pPr>
              <w:pStyle w:val="S8Gazettetabletext"/>
            </w:pPr>
            <w:proofErr w:type="spellStart"/>
            <w:r>
              <w:t>Beransa</w:t>
            </w:r>
            <w:proofErr w:type="spellEnd"/>
            <w:r>
              <w:t xml:space="preserve"> 15 mg Solution for Injection for Dogs</w:t>
            </w:r>
          </w:p>
        </w:tc>
      </w:tr>
      <w:tr w:rsidR="00EC3002" w:rsidRPr="00934489" w14:paraId="291DF1F6" w14:textId="77777777" w:rsidTr="004136D1">
        <w:trPr>
          <w:cantSplit/>
          <w:tblHeader/>
        </w:trPr>
        <w:tc>
          <w:tcPr>
            <w:tcW w:w="1100" w:type="pct"/>
            <w:shd w:val="clear" w:color="auto" w:fill="D9D9D9"/>
          </w:tcPr>
          <w:p w14:paraId="53C75ED2" w14:textId="08616992" w:rsidR="00EC3002" w:rsidRPr="00934489" w:rsidRDefault="004136D1" w:rsidP="004136D1">
            <w:pPr>
              <w:pStyle w:val="S8Gazettetableheading"/>
            </w:pPr>
            <w:r>
              <w:t>Active constituent</w:t>
            </w:r>
          </w:p>
        </w:tc>
        <w:tc>
          <w:tcPr>
            <w:tcW w:w="3900" w:type="pct"/>
            <w:shd w:val="clear" w:color="auto" w:fill="FFFFFF"/>
          </w:tcPr>
          <w:p w14:paraId="228D7DC0" w14:textId="6F6C45D4" w:rsidR="00EC3002" w:rsidRPr="00934489" w:rsidRDefault="004136D1" w:rsidP="004136D1">
            <w:pPr>
              <w:pStyle w:val="S8Gazettetabletext"/>
            </w:pPr>
            <w:r>
              <w:t xml:space="preserve">Each 1 mL vial contains 15 mg </w:t>
            </w:r>
            <w:proofErr w:type="spellStart"/>
            <w:r>
              <w:t>bedinvetmab</w:t>
            </w:r>
            <w:proofErr w:type="spellEnd"/>
          </w:p>
        </w:tc>
      </w:tr>
      <w:tr w:rsidR="00EC3002" w:rsidRPr="00934489" w14:paraId="5EE7C163" w14:textId="77777777" w:rsidTr="004136D1">
        <w:trPr>
          <w:cantSplit/>
          <w:tblHeader/>
        </w:trPr>
        <w:tc>
          <w:tcPr>
            <w:tcW w:w="1100" w:type="pct"/>
            <w:shd w:val="clear" w:color="auto" w:fill="D9D9D9"/>
          </w:tcPr>
          <w:p w14:paraId="7CD84195" w14:textId="03B8490C" w:rsidR="00EC3002" w:rsidRPr="00934489" w:rsidRDefault="004136D1" w:rsidP="004136D1">
            <w:pPr>
              <w:pStyle w:val="S8Gazettetableheading"/>
            </w:pPr>
            <w:r>
              <w:t>Applicant name</w:t>
            </w:r>
          </w:p>
        </w:tc>
        <w:tc>
          <w:tcPr>
            <w:tcW w:w="3900" w:type="pct"/>
            <w:shd w:val="clear" w:color="auto" w:fill="FFFFFF"/>
          </w:tcPr>
          <w:p w14:paraId="0F58DB75" w14:textId="046BD3BE" w:rsidR="00EC3002" w:rsidRPr="00934489" w:rsidRDefault="004136D1" w:rsidP="004136D1">
            <w:pPr>
              <w:pStyle w:val="S8Gazettetabletext"/>
            </w:pPr>
            <w:r>
              <w:t>Zoetis Australia Pty Ltd</w:t>
            </w:r>
          </w:p>
        </w:tc>
      </w:tr>
      <w:tr w:rsidR="00EC3002" w:rsidRPr="00934489" w14:paraId="320130A0" w14:textId="77777777" w:rsidTr="004136D1">
        <w:trPr>
          <w:cantSplit/>
          <w:tblHeader/>
        </w:trPr>
        <w:tc>
          <w:tcPr>
            <w:tcW w:w="1100" w:type="pct"/>
            <w:shd w:val="clear" w:color="auto" w:fill="D9D9D9"/>
          </w:tcPr>
          <w:p w14:paraId="7BF2E168" w14:textId="1340E761" w:rsidR="00EC3002" w:rsidRPr="00934489" w:rsidRDefault="004136D1" w:rsidP="004136D1">
            <w:pPr>
              <w:pStyle w:val="S8Gazettetableheading"/>
            </w:pPr>
            <w:r>
              <w:t>Applicant ACN</w:t>
            </w:r>
          </w:p>
        </w:tc>
        <w:tc>
          <w:tcPr>
            <w:tcW w:w="3900" w:type="pct"/>
            <w:shd w:val="clear" w:color="auto" w:fill="FFFFFF"/>
          </w:tcPr>
          <w:p w14:paraId="2FBE48F2" w14:textId="5EF15A9C" w:rsidR="00EC3002" w:rsidRPr="00934489" w:rsidRDefault="004136D1" w:rsidP="004136D1">
            <w:pPr>
              <w:pStyle w:val="S8Gazettetabletext"/>
            </w:pPr>
            <w:r>
              <w:t>156 476 425</w:t>
            </w:r>
          </w:p>
        </w:tc>
      </w:tr>
      <w:tr w:rsidR="00EC3002" w:rsidRPr="00934489" w14:paraId="36B50744" w14:textId="77777777" w:rsidTr="004136D1">
        <w:trPr>
          <w:cantSplit/>
          <w:tblHeader/>
        </w:trPr>
        <w:tc>
          <w:tcPr>
            <w:tcW w:w="1100" w:type="pct"/>
            <w:shd w:val="clear" w:color="auto" w:fill="D9D9D9"/>
          </w:tcPr>
          <w:p w14:paraId="72B33341" w14:textId="3BA8AECD" w:rsidR="00EC3002" w:rsidRPr="00934489" w:rsidRDefault="004136D1" w:rsidP="004136D1">
            <w:pPr>
              <w:pStyle w:val="S8Gazettetableheading"/>
            </w:pPr>
            <w:r>
              <w:t>Date of variation</w:t>
            </w:r>
          </w:p>
        </w:tc>
        <w:tc>
          <w:tcPr>
            <w:tcW w:w="3900" w:type="pct"/>
            <w:shd w:val="clear" w:color="auto" w:fill="FFFFFF"/>
          </w:tcPr>
          <w:p w14:paraId="5FC2293E" w14:textId="23A7B4ED" w:rsidR="00EC3002" w:rsidRPr="00934489" w:rsidRDefault="004136D1" w:rsidP="004136D1">
            <w:pPr>
              <w:pStyle w:val="S8Gazettetabletext"/>
            </w:pPr>
            <w:r>
              <w:t>14 August 2025</w:t>
            </w:r>
          </w:p>
        </w:tc>
      </w:tr>
      <w:tr w:rsidR="00EC3002" w:rsidRPr="00934489" w14:paraId="0E554CBE" w14:textId="77777777" w:rsidTr="004136D1">
        <w:trPr>
          <w:cantSplit/>
          <w:tblHeader/>
        </w:trPr>
        <w:tc>
          <w:tcPr>
            <w:tcW w:w="1100" w:type="pct"/>
            <w:shd w:val="clear" w:color="auto" w:fill="D9D9D9"/>
          </w:tcPr>
          <w:p w14:paraId="59E48A14" w14:textId="412A0800" w:rsidR="00EC3002" w:rsidRPr="00934489" w:rsidRDefault="004136D1" w:rsidP="004136D1">
            <w:pPr>
              <w:pStyle w:val="S8Gazettetableheading"/>
            </w:pPr>
            <w:r>
              <w:t>Product registration no.</w:t>
            </w:r>
          </w:p>
        </w:tc>
        <w:tc>
          <w:tcPr>
            <w:tcW w:w="3900" w:type="pct"/>
            <w:shd w:val="clear" w:color="auto" w:fill="FFFFFF"/>
          </w:tcPr>
          <w:p w14:paraId="2F91FAF5" w14:textId="02FB8F81" w:rsidR="00EC3002" w:rsidRPr="00934489" w:rsidRDefault="004136D1" w:rsidP="004136D1">
            <w:pPr>
              <w:pStyle w:val="S8Gazettetabletext"/>
            </w:pPr>
            <w:r>
              <w:t>89656</w:t>
            </w:r>
          </w:p>
        </w:tc>
      </w:tr>
      <w:tr w:rsidR="00EC3002" w:rsidRPr="00934489" w14:paraId="1E287E28" w14:textId="77777777" w:rsidTr="004136D1">
        <w:trPr>
          <w:cantSplit/>
          <w:tblHeader/>
        </w:trPr>
        <w:tc>
          <w:tcPr>
            <w:tcW w:w="1100" w:type="pct"/>
            <w:shd w:val="clear" w:color="auto" w:fill="D9D9D9"/>
          </w:tcPr>
          <w:p w14:paraId="796DD04A" w14:textId="7603614C" w:rsidR="00EC3002" w:rsidRPr="00934489" w:rsidRDefault="004136D1" w:rsidP="004136D1">
            <w:pPr>
              <w:pStyle w:val="S8Gazettetableheading"/>
            </w:pPr>
            <w:r>
              <w:t>Label approval no.</w:t>
            </w:r>
          </w:p>
        </w:tc>
        <w:tc>
          <w:tcPr>
            <w:tcW w:w="3900" w:type="pct"/>
            <w:shd w:val="clear" w:color="auto" w:fill="FFFFFF"/>
          </w:tcPr>
          <w:p w14:paraId="04DC9ABA" w14:textId="165174A5" w:rsidR="00EC3002" w:rsidRPr="00934489" w:rsidRDefault="004136D1" w:rsidP="004136D1">
            <w:pPr>
              <w:pStyle w:val="S8Gazettetabletext"/>
            </w:pPr>
            <w:r>
              <w:t>89656/147208</w:t>
            </w:r>
          </w:p>
        </w:tc>
      </w:tr>
      <w:tr w:rsidR="00EC3002" w:rsidRPr="00934489" w14:paraId="1E60622F" w14:textId="77777777" w:rsidTr="004136D1">
        <w:trPr>
          <w:cantSplit/>
          <w:tblHeader/>
        </w:trPr>
        <w:tc>
          <w:tcPr>
            <w:tcW w:w="1100" w:type="pct"/>
            <w:shd w:val="clear" w:color="auto" w:fill="D9D9D9"/>
          </w:tcPr>
          <w:p w14:paraId="127C7AEF" w14:textId="3C3BF35E"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4C84D15B" w14:textId="4F418A52" w:rsidR="00EC3002" w:rsidRPr="00934489" w:rsidRDefault="004136D1" w:rsidP="004136D1">
            <w:pPr>
              <w:pStyle w:val="S8Gazettetabletext"/>
            </w:pPr>
            <w:r>
              <w:t>Variation of relevant particulars of product registration and label approval by updating the side effects and disposal statements</w:t>
            </w:r>
          </w:p>
        </w:tc>
      </w:tr>
    </w:tbl>
    <w:p w14:paraId="72A35B8B"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4CB56648" w14:textId="77777777" w:rsidTr="004136D1">
        <w:trPr>
          <w:cantSplit/>
        </w:trPr>
        <w:tc>
          <w:tcPr>
            <w:tcW w:w="1100" w:type="pct"/>
            <w:shd w:val="clear" w:color="auto" w:fill="D9D9D9"/>
          </w:tcPr>
          <w:p w14:paraId="7FFBE5B8" w14:textId="439BEE78" w:rsidR="00EC3002" w:rsidRPr="00934489" w:rsidRDefault="004136D1" w:rsidP="004136D1">
            <w:pPr>
              <w:pStyle w:val="S8Gazettetableheading"/>
            </w:pPr>
            <w:r>
              <w:t>Application no.</w:t>
            </w:r>
          </w:p>
        </w:tc>
        <w:tc>
          <w:tcPr>
            <w:tcW w:w="3900" w:type="pct"/>
            <w:shd w:val="clear" w:color="auto" w:fill="FFFFFF"/>
          </w:tcPr>
          <w:p w14:paraId="7DA8B85B" w14:textId="4DED8030" w:rsidR="00EC3002" w:rsidRPr="00934489" w:rsidRDefault="004136D1" w:rsidP="004136D1">
            <w:pPr>
              <w:pStyle w:val="S8Gazettetabletext"/>
              <w:rPr>
                <w:noProof/>
              </w:rPr>
            </w:pPr>
            <w:r>
              <w:t>147469</w:t>
            </w:r>
          </w:p>
        </w:tc>
      </w:tr>
      <w:tr w:rsidR="00EC3002" w:rsidRPr="00934489" w14:paraId="2D0CAD07" w14:textId="77777777" w:rsidTr="004136D1">
        <w:trPr>
          <w:cantSplit/>
        </w:trPr>
        <w:tc>
          <w:tcPr>
            <w:tcW w:w="1100" w:type="pct"/>
            <w:shd w:val="clear" w:color="auto" w:fill="D9D9D9"/>
          </w:tcPr>
          <w:p w14:paraId="6621AF4C" w14:textId="71AA7815" w:rsidR="00EC3002" w:rsidRPr="00934489" w:rsidRDefault="004136D1" w:rsidP="004136D1">
            <w:pPr>
              <w:pStyle w:val="S8Gazettetableheading"/>
            </w:pPr>
            <w:r>
              <w:t>Product name</w:t>
            </w:r>
          </w:p>
        </w:tc>
        <w:tc>
          <w:tcPr>
            <w:tcW w:w="3900" w:type="pct"/>
            <w:shd w:val="clear" w:color="auto" w:fill="FFFFFF"/>
          </w:tcPr>
          <w:p w14:paraId="354ED9F7" w14:textId="76F2A662" w:rsidR="00EC3002" w:rsidRPr="00934489" w:rsidRDefault="004136D1" w:rsidP="004136D1">
            <w:pPr>
              <w:pStyle w:val="S8Gazettetabletext"/>
            </w:pPr>
            <w:proofErr w:type="spellStart"/>
            <w:r>
              <w:t>Beransa</w:t>
            </w:r>
            <w:proofErr w:type="spellEnd"/>
            <w:r>
              <w:t xml:space="preserve"> 5 mg Solution for Injection for Dogs</w:t>
            </w:r>
          </w:p>
        </w:tc>
      </w:tr>
      <w:tr w:rsidR="00EC3002" w:rsidRPr="00934489" w14:paraId="35359973" w14:textId="77777777" w:rsidTr="004136D1">
        <w:trPr>
          <w:cantSplit/>
        </w:trPr>
        <w:tc>
          <w:tcPr>
            <w:tcW w:w="1100" w:type="pct"/>
            <w:shd w:val="clear" w:color="auto" w:fill="D9D9D9"/>
          </w:tcPr>
          <w:p w14:paraId="5A56A648" w14:textId="6FBD223E" w:rsidR="00EC3002" w:rsidRPr="00934489" w:rsidRDefault="004136D1" w:rsidP="004136D1">
            <w:pPr>
              <w:pStyle w:val="S8Gazettetableheading"/>
            </w:pPr>
            <w:r>
              <w:t>Active constituent</w:t>
            </w:r>
          </w:p>
        </w:tc>
        <w:tc>
          <w:tcPr>
            <w:tcW w:w="3900" w:type="pct"/>
            <w:shd w:val="clear" w:color="auto" w:fill="FFFFFF"/>
          </w:tcPr>
          <w:p w14:paraId="4935EF99" w14:textId="7BD770E6" w:rsidR="00EC3002" w:rsidRPr="00934489" w:rsidRDefault="004136D1" w:rsidP="004136D1">
            <w:pPr>
              <w:pStyle w:val="S8Gazettetabletext"/>
            </w:pPr>
            <w:r>
              <w:t xml:space="preserve">Each 1 mL vial contains 5 mg </w:t>
            </w:r>
            <w:proofErr w:type="spellStart"/>
            <w:r>
              <w:t>bedinvetmab</w:t>
            </w:r>
            <w:proofErr w:type="spellEnd"/>
          </w:p>
        </w:tc>
      </w:tr>
      <w:tr w:rsidR="00EC3002" w:rsidRPr="00934489" w14:paraId="6D018D12" w14:textId="77777777" w:rsidTr="004136D1">
        <w:trPr>
          <w:cantSplit/>
        </w:trPr>
        <w:tc>
          <w:tcPr>
            <w:tcW w:w="1100" w:type="pct"/>
            <w:shd w:val="clear" w:color="auto" w:fill="D9D9D9"/>
          </w:tcPr>
          <w:p w14:paraId="644C9496" w14:textId="6067B51E" w:rsidR="00EC3002" w:rsidRPr="00934489" w:rsidRDefault="004136D1" w:rsidP="004136D1">
            <w:pPr>
              <w:pStyle w:val="S8Gazettetableheading"/>
            </w:pPr>
            <w:r>
              <w:t>Applicant name</w:t>
            </w:r>
          </w:p>
        </w:tc>
        <w:tc>
          <w:tcPr>
            <w:tcW w:w="3900" w:type="pct"/>
            <w:shd w:val="clear" w:color="auto" w:fill="FFFFFF"/>
          </w:tcPr>
          <w:p w14:paraId="68ED2717" w14:textId="51A54D0C" w:rsidR="00EC3002" w:rsidRPr="00934489" w:rsidRDefault="004136D1" w:rsidP="004136D1">
            <w:pPr>
              <w:pStyle w:val="S8Gazettetabletext"/>
            </w:pPr>
            <w:r>
              <w:t>Zoetis Australia Pty Ltd</w:t>
            </w:r>
          </w:p>
        </w:tc>
      </w:tr>
      <w:tr w:rsidR="00EC3002" w:rsidRPr="00934489" w14:paraId="759ADA99" w14:textId="77777777" w:rsidTr="004136D1">
        <w:trPr>
          <w:cantSplit/>
        </w:trPr>
        <w:tc>
          <w:tcPr>
            <w:tcW w:w="1100" w:type="pct"/>
            <w:shd w:val="clear" w:color="auto" w:fill="D9D9D9"/>
          </w:tcPr>
          <w:p w14:paraId="6F8DE512" w14:textId="326E278E" w:rsidR="00EC3002" w:rsidRPr="00934489" w:rsidRDefault="004136D1" w:rsidP="004136D1">
            <w:pPr>
              <w:pStyle w:val="S8Gazettetableheading"/>
            </w:pPr>
            <w:r>
              <w:t>Applicant ACN</w:t>
            </w:r>
          </w:p>
        </w:tc>
        <w:tc>
          <w:tcPr>
            <w:tcW w:w="3900" w:type="pct"/>
            <w:shd w:val="clear" w:color="auto" w:fill="FFFFFF"/>
          </w:tcPr>
          <w:p w14:paraId="3199D55B" w14:textId="0B2F6918" w:rsidR="00EC3002" w:rsidRPr="00934489" w:rsidRDefault="004136D1" w:rsidP="004136D1">
            <w:pPr>
              <w:pStyle w:val="S8Gazettetabletext"/>
            </w:pPr>
            <w:r>
              <w:t>156 476 425</w:t>
            </w:r>
          </w:p>
        </w:tc>
      </w:tr>
      <w:tr w:rsidR="00EC3002" w:rsidRPr="00934489" w14:paraId="3B0937EA" w14:textId="77777777" w:rsidTr="004136D1">
        <w:trPr>
          <w:cantSplit/>
        </w:trPr>
        <w:tc>
          <w:tcPr>
            <w:tcW w:w="1100" w:type="pct"/>
            <w:shd w:val="clear" w:color="auto" w:fill="D9D9D9"/>
          </w:tcPr>
          <w:p w14:paraId="50C117EB" w14:textId="7A00C89A" w:rsidR="00EC3002" w:rsidRPr="00934489" w:rsidRDefault="004136D1" w:rsidP="004136D1">
            <w:pPr>
              <w:pStyle w:val="S8Gazettetableheading"/>
            </w:pPr>
            <w:r>
              <w:t>Date of variation</w:t>
            </w:r>
          </w:p>
        </w:tc>
        <w:tc>
          <w:tcPr>
            <w:tcW w:w="3900" w:type="pct"/>
            <w:shd w:val="clear" w:color="auto" w:fill="FFFFFF"/>
          </w:tcPr>
          <w:p w14:paraId="1ABF616C" w14:textId="670EFF46" w:rsidR="00EC3002" w:rsidRPr="00934489" w:rsidRDefault="004136D1" w:rsidP="004136D1">
            <w:pPr>
              <w:pStyle w:val="S8Gazettetabletext"/>
            </w:pPr>
            <w:r>
              <w:t>7 August 2025</w:t>
            </w:r>
          </w:p>
        </w:tc>
      </w:tr>
      <w:tr w:rsidR="00EC3002" w:rsidRPr="00934489" w14:paraId="726C3BA5" w14:textId="77777777" w:rsidTr="004136D1">
        <w:trPr>
          <w:cantSplit/>
        </w:trPr>
        <w:tc>
          <w:tcPr>
            <w:tcW w:w="1100" w:type="pct"/>
            <w:shd w:val="clear" w:color="auto" w:fill="D9D9D9"/>
          </w:tcPr>
          <w:p w14:paraId="6BB2D104" w14:textId="29878397" w:rsidR="00EC3002" w:rsidRPr="00934489" w:rsidRDefault="004136D1" w:rsidP="004136D1">
            <w:pPr>
              <w:pStyle w:val="S8Gazettetableheading"/>
            </w:pPr>
            <w:r>
              <w:t>Product registration no.</w:t>
            </w:r>
          </w:p>
        </w:tc>
        <w:tc>
          <w:tcPr>
            <w:tcW w:w="3900" w:type="pct"/>
            <w:shd w:val="clear" w:color="auto" w:fill="FFFFFF"/>
          </w:tcPr>
          <w:p w14:paraId="46096B75" w14:textId="1DE21B3F" w:rsidR="00EC3002" w:rsidRPr="00934489" w:rsidRDefault="004136D1" w:rsidP="004136D1">
            <w:pPr>
              <w:pStyle w:val="S8Gazettetabletext"/>
            </w:pPr>
            <w:r>
              <w:t>89658</w:t>
            </w:r>
          </w:p>
        </w:tc>
      </w:tr>
      <w:tr w:rsidR="00EC3002" w:rsidRPr="00934489" w14:paraId="263D32A7" w14:textId="77777777" w:rsidTr="004136D1">
        <w:trPr>
          <w:cantSplit/>
        </w:trPr>
        <w:tc>
          <w:tcPr>
            <w:tcW w:w="1100" w:type="pct"/>
            <w:shd w:val="clear" w:color="auto" w:fill="D9D9D9"/>
          </w:tcPr>
          <w:p w14:paraId="3D392878" w14:textId="461C1B23" w:rsidR="00EC3002" w:rsidRPr="00934489" w:rsidRDefault="004136D1" w:rsidP="004136D1">
            <w:pPr>
              <w:pStyle w:val="S8Gazettetableheading"/>
            </w:pPr>
            <w:r>
              <w:t>Label approval no.</w:t>
            </w:r>
          </w:p>
        </w:tc>
        <w:tc>
          <w:tcPr>
            <w:tcW w:w="3900" w:type="pct"/>
            <w:shd w:val="clear" w:color="auto" w:fill="FFFFFF"/>
          </w:tcPr>
          <w:p w14:paraId="54D2636D" w14:textId="10D4E94E" w:rsidR="00EC3002" w:rsidRPr="00934489" w:rsidRDefault="004136D1" w:rsidP="004136D1">
            <w:pPr>
              <w:pStyle w:val="S8Gazettetabletext"/>
            </w:pPr>
            <w:r>
              <w:t>89658/147469</w:t>
            </w:r>
          </w:p>
        </w:tc>
      </w:tr>
      <w:tr w:rsidR="00EC3002" w:rsidRPr="00934489" w14:paraId="634D8CD6" w14:textId="77777777" w:rsidTr="004136D1">
        <w:trPr>
          <w:cantSplit/>
        </w:trPr>
        <w:tc>
          <w:tcPr>
            <w:tcW w:w="1100" w:type="pct"/>
            <w:shd w:val="clear" w:color="auto" w:fill="D9D9D9"/>
          </w:tcPr>
          <w:p w14:paraId="14CCF348" w14:textId="50EF7977"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159DD6FE" w14:textId="23C36A1E" w:rsidR="00EC3002" w:rsidRPr="00934489" w:rsidRDefault="004136D1" w:rsidP="004136D1">
            <w:pPr>
              <w:pStyle w:val="S8Gazettetabletext"/>
            </w:pPr>
            <w:r>
              <w:t>Variation of relevant particulars of product registration and label approval by updating the side effects and disposal statements</w:t>
            </w:r>
          </w:p>
        </w:tc>
      </w:tr>
    </w:tbl>
    <w:p w14:paraId="3120E148"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934489" w14:paraId="4ECBFF0F" w14:textId="77777777" w:rsidTr="004136D1">
        <w:trPr>
          <w:cantSplit/>
        </w:trPr>
        <w:tc>
          <w:tcPr>
            <w:tcW w:w="1100" w:type="pct"/>
            <w:shd w:val="clear" w:color="auto" w:fill="D9D9D9"/>
          </w:tcPr>
          <w:p w14:paraId="556F6471" w14:textId="6F11A60D" w:rsidR="00EC3002" w:rsidRPr="00934489" w:rsidRDefault="004136D1" w:rsidP="004136D1">
            <w:pPr>
              <w:pStyle w:val="S8Gazettetableheading"/>
            </w:pPr>
            <w:r>
              <w:t>Application no.</w:t>
            </w:r>
          </w:p>
        </w:tc>
        <w:tc>
          <w:tcPr>
            <w:tcW w:w="3900" w:type="pct"/>
            <w:shd w:val="clear" w:color="auto" w:fill="FFFFFF"/>
          </w:tcPr>
          <w:p w14:paraId="2D6D225C" w14:textId="3BCE8E79" w:rsidR="00EC3002" w:rsidRPr="00934489" w:rsidRDefault="004136D1" w:rsidP="004136D1">
            <w:pPr>
              <w:pStyle w:val="S8Gazettetabletext"/>
              <w:rPr>
                <w:noProof/>
              </w:rPr>
            </w:pPr>
            <w:r>
              <w:t>147470</w:t>
            </w:r>
          </w:p>
        </w:tc>
      </w:tr>
      <w:tr w:rsidR="00EC3002" w:rsidRPr="00934489" w14:paraId="6F660AC6" w14:textId="77777777" w:rsidTr="004136D1">
        <w:trPr>
          <w:cantSplit/>
        </w:trPr>
        <w:tc>
          <w:tcPr>
            <w:tcW w:w="1100" w:type="pct"/>
            <w:shd w:val="clear" w:color="auto" w:fill="D9D9D9"/>
          </w:tcPr>
          <w:p w14:paraId="0304C1E9" w14:textId="71DAD17F" w:rsidR="00EC3002" w:rsidRPr="00934489" w:rsidRDefault="004136D1" w:rsidP="004136D1">
            <w:pPr>
              <w:pStyle w:val="S8Gazettetableheading"/>
            </w:pPr>
            <w:r>
              <w:t>Product name</w:t>
            </w:r>
          </w:p>
        </w:tc>
        <w:tc>
          <w:tcPr>
            <w:tcW w:w="3900" w:type="pct"/>
            <w:shd w:val="clear" w:color="auto" w:fill="FFFFFF"/>
          </w:tcPr>
          <w:p w14:paraId="688FCADA" w14:textId="17FF113C" w:rsidR="00EC3002" w:rsidRPr="00934489" w:rsidRDefault="004136D1" w:rsidP="004136D1">
            <w:pPr>
              <w:pStyle w:val="S8Gazettetabletext"/>
            </w:pPr>
            <w:proofErr w:type="spellStart"/>
            <w:r>
              <w:t>Beransa</w:t>
            </w:r>
            <w:proofErr w:type="spellEnd"/>
            <w:r>
              <w:t xml:space="preserve"> 10 mg Solution for Injection for Dogs</w:t>
            </w:r>
          </w:p>
        </w:tc>
      </w:tr>
      <w:tr w:rsidR="00EC3002" w:rsidRPr="00934489" w14:paraId="5BBCF3AB" w14:textId="77777777" w:rsidTr="004136D1">
        <w:trPr>
          <w:cantSplit/>
        </w:trPr>
        <w:tc>
          <w:tcPr>
            <w:tcW w:w="1100" w:type="pct"/>
            <w:shd w:val="clear" w:color="auto" w:fill="D9D9D9"/>
          </w:tcPr>
          <w:p w14:paraId="38B84F42" w14:textId="7FAE397F" w:rsidR="00EC3002" w:rsidRPr="00934489" w:rsidRDefault="004136D1" w:rsidP="004136D1">
            <w:pPr>
              <w:pStyle w:val="S8Gazettetableheading"/>
            </w:pPr>
            <w:r>
              <w:t>Active constituent</w:t>
            </w:r>
          </w:p>
        </w:tc>
        <w:tc>
          <w:tcPr>
            <w:tcW w:w="3900" w:type="pct"/>
            <w:shd w:val="clear" w:color="auto" w:fill="FFFFFF"/>
          </w:tcPr>
          <w:p w14:paraId="11C55E3D" w14:textId="1BBB9C27" w:rsidR="00EC3002" w:rsidRPr="00934489" w:rsidRDefault="004136D1" w:rsidP="004136D1">
            <w:pPr>
              <w:pStyle w:val="S8Gazettetabletext"/>
            </w:pPr>
            <w:r>
              <w:t xml:space="preserve">Each 1 mL vial contains 10 mg </w:t>
            </w:r>
            <w:proofErr w:type="spellStart"/>
            <w:r>
              <w:t>bedinvetmab</w:t>
            </w:r>
            <w:proofErr w:type="spellEnd"/>
          </w:p>
        </w:tc>
      </w:tr>
      <w:tr w:rsidR="00EC3002" w:rsidRPr="00934489" w14:paraId="41B8DCD1" w14:textId="77777777" w:rsidTr="004136D1">
        <w:trPr>
          <w:cantSplit/>
        </w:trPr>
        <w:tc>
          <w:tcPr>
            <w:tcW w:w="1100" w:type="pct"/>
            <w:shd w:val="clear" w:color="auto" w:fill="D9D9D9"/>
          </w:tcPr>
          <w:p w14:paraId="7ADCD915" w14:textId="5D9EAAE1" w:rsidR="00EC3002" w:rsidRPr="00934489" w:rsidRDefault="004136D1" w:rsidP="004136D1">
            <w:pPr>
              <w:pStyle w:val="S8Gazettetableheading"/>
            </w:pPr>
            <w:r>
              <w:t>Applicant name</w:t>
            </w:r>
          </w:p>
        </w:tc>
        <w:tc>
          <w:tcPr>
            <w:tcW w:w="3900" w:type="pct"/>
            <w:shd w:val="clear" w:color="auto" w:fill="FFFFFF"/>
          </w:tcPr>
          <w:p w14:paraId="05810566" w14:textId="62B9E321" w:rsidR="00EC3002" w:rsidRPr="00934489" w:rsidRDefault="004136D1" w:rsidP="004136D1">
            <w:pPr>
              <w:pStyle w:val="S8Gazettetabletext"/>
            </w:pPr>
            <w:r>
              <w:t>Zoetis Australia Pty Ltd</w:t>
            </w:r>
          </w:p>
        </w:tc>
      </w:tr>
      <w:tr w:rsidR="00EC3002" w:rsidRPr="00934489" w14:paraId="674368B2" w14:textId="77777777" w:rsidTr="004136D1">
        <w:trPr>
          <w:cantSplit/>
        </w:trPr>
        <w:tc>
          <w:tcPr>
            <w:tcW w:w="1100" w:type="pct"/>
            <w:shd w:val="clear" w:color="auto" w:fill="D9D9D9"/>
          </w:tcPr>
          <w:p w14:paraId="6BFC11B1" w14:textId="361E04D9" w:rsidR="00EC3002" w:rsidRPr="00934489" w:rsidRDefault="004136D1" w:rsidP="004136D1">
            <w:pPr>
              <w:pStyle w:val="S8Gazettetableheading"/>
            </w:pPr>
            <w:r>
              <w:t>Applicant ACN</w:t>
            </w:r>
          </w:p>
        </w:tc>
        <w:tc>
          <w:tcPr>
            <w:tcW w:w="3900" w:type="pct"/>
            <w:shd w:val="clear" w:color="auto" w:fill="FFFFFF"/>
          </w:tcPr>
          <w:p w14:paraId="403FB65A" w14:textId="56A55E7A" w:rsidR="00EC3002" w:rsidRPr="00934489" w:rsidRDefault="004136D1" w:rsidP="004136D1">
            <w:pPr>
              <w:pStyle w:val="S8Gazettetabletext"/>
            </w:pPr>
            <w:r>
              <w:t>156 476 425</w:t>
            </w:r>
          </w:p>
        </w:tc>
      </w:tr>
      <w:tr w:rsidR="00EC3002" w:rsidRPr="00934489" w14:paraId="7D5B0A3C" w14:textId="77777777" w:rsidTr="004136D1">
        <w:trPr>
          <w:cantSplit/>
        </w:trPr>
        <w:tc>
          <w:tcPr>
            <w:tcW w:w="1100" w:type="pct"/>
            <w:shd w:val="clear" w:color="auto" w:fill="D9D9D9"/>
          </w:tcPr>
          <w:p w14:paraId="201451E1" w14:textId="579F1C8D" w:rsidR="00EC3002" w:rsidRPr="00934489" w:rsidRDefault="004136D1" w:rsidP="004136D1">
            <w:pPr>
              <w:pStyle w:val="S8Gazettetableheading"/>
            </w:pPr>
            <w:r>
              <w:t>Date of variation</w:t>
            </w:r>
          </w:p>
        </w:tc>
        <w:tc>
          <w:tcPr>
            <w:tcW w:w="3900" w:type="pct"/>
            <w:shd w:val="clear" w:color="auto" w:fill="FFFFFF"/>
          </w:tcPr>
          <w:p w14:paraId="4695D6B7" w14:textId="2D7E11BB" w:rsidR="00EC3002" w:rsidRPr="00934489" w:rsidRDefault="004136D1" w:rsidP="004136D1">
            <w:pPr>
              <w:pStyle w:val="S8Gazettetabletext"/>
            </w:pPr>
            <w:r>
              <w:t>7 August 2025</w:t>
            </w:r>
          </w:p>
        </w:tc>
      </w:tr>
      <w:tr w:rsidR="00EC3002" w:rsidRPr="00934489" w14:paraId="507A0117" w14:textId="77777777" w:rsidTr="004136D1">
        <w:trPr>
          <w:cantSplit/>
        </w:trPr>
        <w:tc>
          <w:tcPr>
            <w:tcW w:w="1100" w:type="pct"/>
            <w:shd w:val="clear" w:color="auto" w:fill="D9D9D9"/>
          </w:tcPr>
          <w:p w14:paraId="28A4A53F" w14:textId="00B79B5C" w:rsidR="00EC3002" w:rsidRPr="00934489" w:rsidRDefault="004136D1" w:rsidP="004136D1">
            <w:pPr>
              <w:pStyle w:val="S8Gazettetableheading"/>
            </w:pPr>
            <w:r>
              <w:t>Product registration no.</w:t>
            </w:r>
          </w:p>
        </w:tc>
        <w:tc>
          <w:tcPr>
            <w:tcW w:w="3900" w:type="pct"/>
            <w:shd w:val="clear" w:color="auto" w:fill="FFFFFF"/>
          </w:tcPr>
          <w:p w14:paraId="4F6428B1" w14:textId="24F3668C" w:rsidR="00EC3002" w:rsidRPr="00934489" w:rsidRDefault="004136D1" w:rsidP="004136D1">
            <w:pPr>
              <w:pStyle w:val="S8Gazettetabletext"/>
            </w:pPr>
            <w:r>
              <w:t>89657</w:t>
            </w:r>
          </w:p>
        </w:tc>
      </w:tr>
      <w:tr w:rsidR="00EC3002" w:rsidRPr="00934489" w14:paraId="75DB37F9" w14:textId="77777777" w:rsidTr="004136D1">
        <w:trPr>
          <w:cantSplit/>
        </w:trPr>
        <w:tc>
          <w:tcPr>
            <w:tcW w:w="1100" w:type="pct"/>
            <w:shd w:val="clear" w:color="auto" w:fill="D9D9D9"/>
          </w:tcPr>
          <w:p w14:paraId="7388B3AE" w14:textId="4AB335E0" w:rsidR="00EC3002" w:rsidRPr="00934489" w:rsidRDefault="004136D1" w:rsidP="004136D1">
            <w:pPr>
              <w:pStyle w:val="S8Gazettetableheading"/>
            </w:pPr>
            <w:r>
              <w:t>Label approval no.</w:t>
            </w:r>
          </w:p>
        </w:tc>
        <w:tc>
          <w:tcPr>
            <w:tcW w:w="3900" w:type="pct"/>
            <w:shd w:val="clear" w:color="auto" w:fill="FFFFFF"/>
          </w:tcPr>
          <w:p w14:paraId="5E6222BB" w14:textId="61401DCE" w:rsidR="00EC3002" w:rsidRPr="00934489" w:rsidRDefault="004136D1" w:rsidP="004136D1">
            <w:pPr>
              <w:pStyle w:val="S8Gazettetabletext"/>
            </w:pPr>
            <w:r>
              <w:t>89657/147470</w:t>
            </w:r>
          </w:p>
        </w:tc>
      </w:tr>
      <w:tr w:rsidR="00EC3002" w:rsidRPr="00934489" w14:paraId="7FA8476A" w14:textId="77777777" w:rsidTr="004136D1">
        <w:trPr>
          <w:cantSplit/>
        </w:trPr>
        <w:tc>
          <w:tcPr>
            <w:tcW w:w="1100" w:type="pct"/>
            <w:shd w:val="clear" w:color="auto" w:fill="D9D9D9"/>
          </w:tcPr>
          <w:p w14:paraId="75FF35B4" w14:textId="4BE19277" w:rsidR="00EC3002" w:rsidRPr="00934489" w:rsidRDefault="004136D1" w:rsidP="004136D1">
            <w:pPr>
              <w:pStyle w:val="S8Gazettetableheading"/>
            </w:pPr>
            <w:r>
              <w:t>Description of the application and its purpose, including the intended use of the chemical product</w:t>
            </w:r>
          </w:p>
        </w:tc>
        <w:tc>
          <w:tcPr>
            <w:tcW w:w="3900" w:type="pct"/>
            <w:shd w:val="clear" w:color="auto" w:fill="FFFFFF"/>
          </w:tcPr>
          <w:p w14:paraId="5ABC2A1B" w14:textId="10C69A2D" w:rsidR="00EC3002" w:rsidRPr="00934489" w:rsidRDefault="004136D1" w:rsidP="004136D1">
            <w:pPr>
              <w:pStyle w:val="S8Gazettetabletext"/>
            </w:pPr>
            <w:r>
              <w:t>Variation of relevant particulars of product registration and label approval by updating the side effects and disposal statements</w:t>
            </w:r>
          </w:p>
        </w:tc>
      </w:tr>
    </w:tbl>
    <w:p w14:paraId="08B0E959" w14:textId="77777777" w:rsidR="004136D1" w:rsidRDefault="004136D1" w:rsidP="00EC3002">
      <w:pPr>
        <w:sectPr w:rsidR="004136D1"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DDD3A0E" w14:textId="77777777" w:rsidR="00EC3002" w:rsidRPr="00251875" w:rsidRDefault="00EC3002" w:rsidP="00EC3002">
      <w:pPr>
        <w:pStyle w:val="GazetteHeading1"/>
      </w:pPr>
      <w:bookmarkStart w:id="20" w:name="_Toc206168163"/>
      <w:r w:rsidRPr="00251875">
        <w:lastRenderedPageBreak/>
        <w:t>Approved active constituents</w:t>
      </w:r>
      <w:bookmarkEnd w:id="20"/>
    </w:p>
    <w:p w14:paraId="4B08F7BD" w14:textId="77777777" w:rsidR="00EC3002" w:rsidRPr="00D80B56" w:rsidRDefault="00EC3002" w:rsidP="00EC3002">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214E088" w14:textId="73A9946A" w:rsidR="00EC3002" w:rsidRDefault="00EC3002" w:rsidP="00EC3002">
      <w:pPr>
        <w:pStyle w:val="Caption"/>
      </w:pPr>
      <w:r>
        <w:t xml:space="preserve">Table </w:t>
      </w:r>
      <w:r>
        <w:fldChar w:fldCharType="begin"/>
      </w:r>
      <w:r>
        <w:instrText xml:space="preserve"> SEQ Table \* ARABIC </w:instrText>
      </w:r>
      <w:r>
        <w:fldChar w:fldCharType="separate"/>
      </w:r>
      <w:r w:rsidR="00365304">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F5312" w14:paraId="41389E3E" w14:textId="77777777" w:rsidTr="004136D1">
        <w:trPr>
          <w:cantSplit/>
        </w:trPr>
        <w:tc>
          <w:tcPr>
            <w:tcW w:w="1100" w:type="pct"/>
            <w:shd w:val="clear" w:color="auto" w:fill="D9D9D9"/>
          </w:tcPr>
          <w:p w14:paraId="65F69732" w14:textId="06D4199F" w:rsidR="00EC3002" w:rsidRPr="00BF5312" w:rsidRDefault="004136D1" w:rsidP="004136D1">
            <w:pPr>
              <w:pStyle w:val="S8Gazettetableheading"/>
            </w:pPr>
            <w:r>
              <w:t>Application no.</w:t>
            </w:r>
          </w:p>
        </w:tc>
        <w:tc>
          <w:tcPr>
            <w:tcW w:w="3900" w:type="pct"/>
            <w:shd w:val="clear" w:color="auto" w:fill="FFFFFF"/>
          </w:tcPr>
          <w:p w14:paraId="4013588B" w14:textId="7B173C36" w:rsidR="00EC3002" w:rsidRPr="00BF5312" w:rsidRDefault="004136D1" w:rsidP="004136D1">
            <w:pPr>
              <w:pStyle w:val="S8Gazettetabletext"/>
            </w:pPr>
            <w:r>
              <w:t>148425</w:t>
            </w:r>
          </w:p>
        </w:tc>
      </w:tr>
      <w:tr w:rsidR="00EC3002" w:rsidRPr="00BF5312" w14:paraId="1AEBD562" w14:textId="77777777" w:rsidTr="004136D1">
        <w:trPr>
          <w:cantSplit/>
        </w:trPr>
        <w:tc>
          <w:tcPr>
            <w:tcW w:w="1100" w:type="pct"/>
            <w:shd w:val="clear" w:color="auto" w:fill="D9D9D9"/>
          </w:tcPr>
          <w:p w14:paraId="341B90E2" w14:textId="233A0781" w:rsidR="00EC3002" w:rsidRPr="00BF5312" w:rsidRDefault="004136D1" w:rsidP="004136D1">
            <w:pPr>
              <w:pStyle w:val="S8Gazettetableheading"/>
            </w:pPr>
            <w:r>
              <w:t>Active constituent</w:t>
            </w:r>
          </w:p>
        </w:tc>
        <w:tc>
          <w:tcPr>
            <w:tcW w:w="3900" w:type="pct"/>
            <w:shd w:val="clear" w:color="auto" w:fill="FFFFFF"/>
          </w:tcPr>
          <w:p w14:paraId="2091F835" w14:textId="03288944" w:rsidR="00EC3002" w:rsidRPr="00BF5312" w:rsidRDefault="00600416" w:rsidP="004136D1">
            <w:pPr>
              <w:pStyle w:val="S8Gazettetabletext"/>
            </w:pPr>
            <w:r>
              <w:t>T</w:t>
            </w:r>
            <w:r w:rsidR="004136D1">
              <w:t>riclabendazole</w:t>
            </w:r>
          </w:p>
        </w:tc>
      </w:tr>
      <w:tr w:rsidR="00EC3002" w:rsidRPr="00BF5312" w14:paraId="176E15F7" w14:textId="77777777" w:rsidTr="004136D1">
        <w:trPr>
          <w:cantSplit/>
        </w:trPr>
        <w:tc>
          <w:tcPr>
            <w:tcW w:w="1100" w:type="pct"/>
            <w:shd w:val="clear" w:color="auto" w:fill="D9D9D9"/>
          </w:tcPr>
          <w:p w14:paraId="6465D90E" w14:textId="64C9DC9D" w:rsidR="00EC3002" w:rsidRPr="00BF5312" w:rsidRDefault="004136D1" w:rsidP="004136D1">
            <w:pPr>
              <w:pStyle w:val="S8Gazettetableheading"/>
            </w:pPr>
            <w:r>
              <w:t>Applicant name</w:t>
            </w:r>
          </w:p>
        </w:tc>
        <w:tc>
          <w:tcPr>
            <w:tcW w:w="3900" w:type="pct"/>
            <w:shd w:val="clear" w:color="auto" w:fill="FFFFFF"/>
          </w:tcPr>
          <w:p w14:paraId="3244E0BA" w14:textId="2ED3796A" w:rsidR="00EC3002" w:rsidRPr="00BF5312" w:rsidRDefault="004136D1" w:rsidP="004136D1">
            <w:pPr>
              <w:pStyle w:val="S8Gazettetabletext"/>
            </w:pPr>
            <w:r>
              <w:t>Virbac (Australia) Pty Ltd</w:t>
            </w:r>
          </w:p>
        </w:tc>
      </w:tr>
      <w:tr w:rsidR="00EC3002" w:rsidRPr="00BF5312" w14:paraId="15025967" w14:textId="77777777" w:rsidTr="004136D1">
        <w:trPr>
          <w:cantSplit/>
        </w:trPr>
        <w:tc>
          <w:tcPr>
            <w:tcW w:w="1100" w:type="pct"/>
            <w:shd w:val="clear" w:color="auto" w:fill="D9D9D9"/>
          </w:tcPr>
          <w:p w14:paraId="754D68C3" w14:textId="6241E6FA" w:rsidR="00EC3002" w:rsidRPr="00BF5312" w:rsidRDefault="004136D1" w:rsidP="004136D1">
            <w:pPr>
              <w:pStyle w:val="S8Gazettetableheading"/>
            </w:pPr>
            <w:r>
              <w:t>Applicant ACN</w:t>
            </w:r>
          </w:p>
        </w:tc>
        <w:tc>
          <w:tcPr>
            <w:tcW w:w="3900" w:type="pct"/>
            <w:shd w:val="clear" w:color="auto" w:fill="FFFFFF"/>
          </w:tcPr>
          <w:p w14:paraId="35B8FE58" w14:textId="6022C528" w:rsidR="00EC3002" w:rsidRPr="00BF5312" w:rsidRDefault="004136D1" w:rsidP="004136D1">
            <w:pPr>
              <w:pStyle w:val="S8Gazettetabletext"/>
            </w:pPr>
            <w:r>
              <w:t>003 268 871</w:t>
            </w:r>
          </w:p>
        </w:tc>
      </w:tr>
      <w:tr w:rsidR="00EC3002" w:rsidRPr="00BF5312" w14:paraId="2F579C99" w14:textId="77777777" w:rsidTr="004136D1">
        <w:trPr>
          <w:cantSplit/>
        </w:trPr>
        <w:tc>
          <w:tcPr>
            <w:tcW w:w="1100" w:type="pct"/>
            <w:shd w:val="clear" w:color="auto" w:fill="D9D9D9"/>
          </w:tcPr>
          <w:p w14:paraId="162C7952" w14:textId="5FA728D6" w:rsidR="00EC3002" w:rsidRPr="00BF5312" w:rsidRDefault="004136D1" w:rsidP="004136D1">
            <w:pPr>
              <w:pStyle w:val="S8Gazettetableheading"/>
            </w:pPr>
            <w:r>
              <w:t>Date of approval</w:t>
            </w:r>
          </w:p>
        </w:tc>
        <w:tc>
          <w:tcPr>
            <w:tcW w:w="3900" w:type="pct"/>
            <w:shd w:val="clear" w:color="auto" w:fill="FFFFFF"/>
          </w:tcPr>
          <w:p w14:paraId="4336FB68" w14:textId="026192AE" w:rsidR="00EC3002" w:rsidRPr="00BF5312" w:rsidRDefault="004136D1" w:rsidP="004136D1">
            <w:pPr>
              <w:pStyle w:val="S8Gazettetabletext"/>
            </w:pPr>
            <w:r>
              <w:t>1 August 2025</w:t>
            </w:r>
          </w:p>
        </w:tc>
      </w:tr>
      <w:tr w:rsidR="00EC3002" w:rsidRPr="00BF5312" w14:paraId="0ED0173C" w14:textId="77777777" w:rsidTr="004136D1">
        <w:trPr>
          <w:cantSplit/>
        </w:trPr>
        <w:tc>
          <w:tcPr>
            <w:tcW w:w="1100" w:type="pct"/>
            <w:shd w:val="clear" w:color="auto" w:fill="D9D9D9"/>
          </w:tcPr>
          <w:p w14:paraId="4F1F6EED" w14:textId="10B02E7A" w:rsidR="00EC3002" w:rsidRPr="00BF5312" w:rsidRDefault="004136D1" w:rsidP="004136D1">
            <w:pPr>
              <w:pStyle w:val="S8Gazettetableheading"/>
            </w:pPr>
            <w:r>
              <w:t>Approval no.</w:t>
            </w:r>
          </w:p>
        </w:tc>
        <w:tc>
          <w:tcPr>
            <w:tcW w:w="3900" w:type="pct"/>
            <w:shd w:val="clear" w:color="auto" w:fill="FFFFFF"/>
          </w:tcPr>
          <w:p w14:paraId="03EF4FAB" w14:textId="0B328538" w:rsidR="00EC3002" w:rsidRPr="00BF5312" w:rsidRDefault="004136D1" w:rsidP="004136D1">
            <w:pPr>
              <w:pStyle w:val="S8Gazettetabletext"/>
            </w:pPr>
            <w:r>
              <w:t>96170</w:t>
            </w:r>
          </w:p>
        </w:tc>
      </w:tr>
      <w:tr w:rsidR="00EC3002" w:rsidRPr="00360A17" w14:paraId="1DAD719B" w14:textId="77777777" w:rsidTr="004136D1">
        <w:trPr>
          <w:cantSplit/>
        </w:trPr>
        <w:tc>
          <w:tcPr>
            <w:tcW w:w="1100" w:type="pct"/>
            <w:shd w:val="clear" w:color="auto" w:fill="D9D9D9"/>
          </w:tcPr>
          <w:p w14:paraId="6018108B" w14:textId="64E1948C" w:rsidR="00EC3002" w:rsidRPr="00360A17"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163F83BC" w14:textId="281413A6" w:rsidR="00EC3002" w:rsidRPr="00360A17" w:rsidRDefault="004136D1" w:rsidP="004136D1">
            <w:pPr>
              <w:pStyle w:val="S8Gazettetabletext"/>
            </w:pPr>
            <w:r>
              <w:t>Approval of the active constituent triclabendazole for use in veterinary chemical products</w:t>
            </w:r>
          </w:p>
        </w:tc>
      </w:tr>
    </w:tbl>
    <w:p w14:paraId="21EC0487" w14:textId="77777777" w:rsidR="00EC3002" w:rsidRPr="00254F8C"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F5312" w14:paraId="2821E3F6" w14:textId="77777777" w:rsidTr="004136D1">
        <w:trPr>
          <w:cantSplit/>
        </w:trPr>
        <w:tc>
          <w:tcPr>
            <w:tcW w:w="1100" w:type="pct"/>
            <w:shd w:val="clear" w:color="auto" w:fill="D9D9D9"/>
          </w:tcPr>
          <w:p w14:paraId="767671E0" w14:textId="051EFD4B" w:rsidR="00EC3002" w:rsidRPr="00BF5312" w:rsidRDefault="004136D1" w:rsidP="004136D1">
            <w:pPr>
              <w:pStyle w:val="S8Gazettetableheading"/>
            </w:pPr>
            <w:r>
              <w:t>Application no.</w:t>
            </w:r>
          </w:p>
        </w:tc>
        <w:tc>
          <w:tcPr>
            <w:tcW w:w="3900" w:type="pct"/>
            <w:shd w:val="clear" w:color="auto" w:fill="FFFFFF"/>
          </w:tcPr>
          <w:p w14:paraId="38FB9F7A" w14:textId="2AC9122C" w:rsidR="00EC3002" w:rsidRPr="00BF5312" w:rsidRDefault="004136D1" w:rsidP="004136D1">
            <w:pPr>
              <w:pStyle w:val="S8Gazettetabletext"/>
            </w:pPr>
            <w:r>
              <w:t>144685</w:t>
            </w:r>
          </w:p>
        </w:tc>
      </w:tr>
      <w:tr w:rsidR="00EC3002" w:rsidRPr="00BF5312" w14:paraId="31E4BA28" w14:textId="77777777" w:rsidTr="004136D1">
        <w:trPr>
          <w:cantSplit/>
        </w:trPr>
        <w:tc>
          <w:tcPr>
            <w:tcW w:w="1100" w:type="pct"/>
            <w:shd w:val="clear" w:color="auto" w:fill="D9D9D9"/>
          </w:tcPr>
          <w:p w14:paraId="373329A3" w14:textId="49E139B5" w:rsidR="00EC3002" w:rsidRPr="00BF5312" w:rsidRDefault="004136D1" w:rsidP="004136D1">
            <w:pPr>
              <w:pStyle w:val="S8Gazettetableheading"/>
            </w:pPr>
            <w:r>
              <w:t>Active constituent</w:t>
            </w:r>
          </w:p>
        </w:tc>
        <w:tc>
          <w:tcPr>
            <w:tcW w:w="3900" w:type="pct"/>
            <w:shd w:val="clear" w:color="auto" w:fill="FFFFFF"/>
          </w:tcPr>
          <w:p w14:paraId="40D120D1" w14:textId="5CC07779" w:rsidR="00EC3002" w:rsidRPr="00BF5312" w:rsidRDefault="00600416" w:rsidP="004136D1">
            <w:pPr>
              <w:pStyle w:val="S8Gazettetabletext"/>
            </w:pPr>
            <w:r>
              <w:t>B</w:t>
            </w:r>
            <w:r w:rsidR="004136D1">
              <w:t>ixafen</w:t>
            </w:r>
          </w:p>
        </w:tc>
      </w:tr>
      <w:tr w:rsidR="00EC3002" w:rsidRPr="00BF5312" w14:paraId="2A54B6C8" w14:textId="77777777" w:rsidTr="004136D1">
        <w:trPr>
          <w:cantSplit/>
        </w:trPr>
        <w:tc>
          <w:tcPr>
            <w:tcW w:w="1100" w:type="pct"/>
            <w:shd w:val="clear" w:color="auto" w:fill="D9D9D9"/>
          </w:tcPr>
          <w:p w14:paraId="2EC66E45" w14:textId="61BB5AD6" w:rsidR="00EC3002" w:rsidRPr="00BF5312" w:rsidRDefault="004136D1" w:rsidP="004136D1">
            <w:pPr>
              <w:pStyle w:val="S8Gazettetableheading"/>
            </w:pPr>
            <w:r>
              <w:t>Applicant name</w:t>
            </w:r>
          </w:p>
        </w:tc>
        <w:tc>
          <w:tcPr>
            <w:tcW w:w="3900" w:type="pct"/>
            <w:shd w:val="clear" w:color="auto" w:fill="FFFFFF"/>
          </w:tcPr>
          <w:p w14:paraId="0D810976" w14:textId="591BAC37" w:rsidR="00EC3002" w:rsidRPr="00BF5312" w:rsidRDefault="004136D1" w:rsidP="004136D1">
            <w:pPr>
              <w:pStyle w:val="S8Gazettetabletext"/>
            </w:pPr>
            <w:r>
              <w:t>Shandong Rainbow International Co Ltd</w:t>
            </w:r>
          </w:p>
        </w:tc>
      </w:tr>
      <w:tr w:rsidR="00EC3002" w:rsidRPr="00BF5312" w14:paraId="0181CA18" w14:textId="77777777" w:rsidTr="004136D1">
        <w:trPr>
          <w:cantSplit/>
        </w:trPr>
        <w:tc>
          <w:tcPr>
            <w:tcW w:w="1100" w:type="pct"/>
            <w:shd w:val="clear" w:color="auto" w:fill="D9D9D9"/>
          </w:tcPr>
          <w:p w14:paraId="0EF4D201" w14:textId="4B0FBB4E" w:rsidR="00EC3002" w:rsidRPr="00BF5312" w:rsidRDefault="004136D1" w:rsidP="004136D1">
            <w:pPr>
              <w:pStyle w:val="S8Gazettetableheading"/>
            </w:pPr>
            <w:r>
              <w:t>Applicant ACN</w:t>
            </w:r>
          </w:p>
        </w:tc>
        <w:tc>
          <w:tcPr>
            <w:tcW w:w="3900" w:type="pct"/>
            <w:shd w:val="clear" w:color="auto" w:fill="FFFFFF"/>
          </w:tcPr>
          <w:p w14:paraId="61291E71" w14:textId="2C3B1E7B" w:rsidR="00EC3002" w:rsidRPr="00BF5312" w:rsidRDefault="004136D1" w:rsidP="004136D1">
            <w:pPr>
              <w:pStyle w:val="S8Gazettetabletext"/>
            </w:pPr>
            <w:r>
              <w:t>N/A</w:t>
            </w:r>
          </w:p>
        </w:tc>
      </w:tr>
      <w:tr w:rsidR="00EC3002" w:rsidRPr="00BF5312" w14:paraId="31798B33" w14:textId="77777777" w:rsidTr="004136D1">
        <w:trPr>
          <w:cantSplit/>
        </w:trPr>
        <w:tc>
          <w:tcPr>
            <w:tcW w:w="1100" w:type="pct"/>
            <w:shd w:val="clear" w:color="auto" w:fill="D9D9D9"/>
          </w:tcPr>
          <w:p w14:paraId="6B32A38D" w14:textId="5B9C1DE7" w:rsidR="00EC3002" w:rsidRPr="00BF5312" w:rsidRDefault="004136D1" w:rsidP="004136D1">
            <w:pPr>
              <w:pStyle w:val="S8Gazettetableheading"/>
            </w:pPr>
            <w:r>
              <w:t>Date of approval</w:t>
            </w:r>
          </w:p>
        </w:tc>
        <w:tc>
          <w:tcPr>
            <w:tcW w:w="3900" w:type="pct"/>
            <w:shd w:val="clear" w:color="auto" w:fill="FFFFFF"/>
          </w:tcPr>
          <w:p w14:paraId="10B95834" w14:textId="5AABD186" w:rsidR="00EC3002" w:rsidRPr="00BF5312" w:rsidRDefault="004136D1" w:rsidP="004136D1">
            <w:pPr>
              <w:pStyle w:val="S8Gazettetabletext"/>
            </w:pPr>
            <w:r>
              <w:t>1 August 2025</w:t>
            </w:r>
          </w:p>
        </w:tc>
      </w:tr>
      <w:tr w:rsidR="00EC3002" w:rsidRPr="00BF5312" w14:paraId="3E5F13CE" w14:textId="77777777" w:rsidTr="004136D1">
        <w:trPr>
          <w:cantSplit/>
        </w:trPr>
        <w:tc>
          <w:tcPr>
            <w:tcW w:w="1100" w:type="pct"/>
            <w:shd w:val="clear" w:color="auto" w:fill="D9D9D9"/>
          </w:tcPr>
          <w:p w14:paraId="1EDDE1DF" w14:textId="559BEC96" w:rsidR="00EC3002" w:rsidRPr="00BF5312" w:rsidRDefault="004136D1" w:rsidP="004136D1">
            <w:pPr>
              <w:pStyle w:val="S8Gazettetableheading"/>
            </w:pPr>
            <w:r>
              <w:t>Approval no.</w:t>
            </w:r>
          </w:p>
        </w:tc>
        <w:tc>
          <w:tcPr>
            <w:tcW w:w="3900" w:type="pct"/>
            <w:shd w:val="clear" w:color="auto" w:fill="FFFFFF"/>
          </w:tcPr>
          <w:p w14:paraId="412EE048" w14:textId="2070C323" w:rsidR="00EC3002" w:rsidRPr="00BF5312" w:rsidRDefault="004136D1" w:rsidP="004136D1">
            <w:pPr>
              <w:pStyle w:val="S8Gazettetabletext"/>
            </w:pPr>
            <w:r>
              <w:t>95105</w:t>
            </w:r>
          </w:p>
        </w:tc>
      </w:tr>
      <w:tr w:rsidR="00EC3002" w:rsidRPr="00360A17" w14:paraId="403AA25D" w14:textId="77777777" w:rsidTr="004136D1">
        <w:trPr>
          <w:cantSplit/>
        </w:trPr>
        <w:tc>
          <w:tcPr>
            <w:tcW w:w="1100" w:type="pct"/>
            <w:shd w:val="clear" w:color="auto" w:fill="D9D9D9"/>
          </w:tcPr>
          <w:p w14:paraId="6087A405" w14:textId="5141603F" w:rsidR="00EC3002" w:rsidRPr="00360A17"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4EAC3A05" w14:textId="726EE7DC" w:rsidR="00EC3002" w:rsidRPr="00360A17" w:rsidRDefault="004136D1" w:rsidP="004136D1">
            <w:pPr>
              <w:pStyle w:val="S8Gazettetabletext"/>
            </w:pPr>
            <w:r>
              <w:t>Approval of the active constituent bixafen for use in agricultural chemical products</w:t>
            </w:r>
          </w:p>
        </w:tc>
      </w:tr>
    </w:tbl>
    <w:p w14:paraId="2473ADBE"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F5312" w14:paraId="7E62B918" w14:textId="77777777" w:rsidTr="004136D1">
        <w:trPr>
          <w:cantSplit/>
        </w:trPr>
        <w:tc>
          <w:tcPr>
            <w:tcW w:w="1100" w:type="pct"/>
            <w:shd w:val="clear" w:color="auto" w:fill="D9D9D9"/>
          </w:tcPr>
          <w:p w14:paraId="04DD1157" w14:textId="5D86F326" w:rsidR="00EC3002" w:rsidRPr="00BF5312" w:rsidRDefault="004136D1" w:rsidP="004136D1">
            <w:pPr>
              <w:pStyle w:val="S8Gazettetableheading"/>
            </w:pPr>
            <w:r>
              <w:t>Application no.</w:t>
            </w:r>
          </w:p>
        </w:tc>
        <w:tc>
          <w:tcPr>
            <w:tcW w:w="3900" w:type="pct"/>
            <w:shd w:val="clear" w:color="auto" w:fill="FFFFFF"/>
          </w:tcPr>
          <w:p w14:paraId="2FEEFCBD" w14:textId="131B84DC" w:rsidR="00EC3002" w:rsidRPr="00BF5312" w:rsidRDefault="004136D1" w:rsidP="004136D1">
            <w:pPr>
              <w:pStyle w:val="S8Gazettetabletext"/>
            </w:pPr>
            <w:r>
              <w:t>148124</w:t>
            </w:r>
          </w:p>
        </w:tc>
      </w:tr>
      <w:tr w:rsidR="00EC3002" w:rsidRPr="00BF5312" w14:paraId="1A271777" w14:textId="77777777" w:rsidTr="004136D1">
        <w:trPr>
          <w:cantSplit/>
        </w:trPr>
        <w:tc>
          <w:tcPr>
            <w:tcW w:w="1100" w:type="pct"/>
            <w:shd w:val="clear" w:color="auto" w:fill="D9D9D9"/>
          </w:tcPr>
          <w:p w14:paraId="2C63D724" w14:textId="11F55D45" w:rsidR="00EC3002" w:rsidRPr="00BF5312" w:rsidRDefault="004136D1" w:rsidP="004136D1">
            <w:pPr>
              <w:pStyle w:val="S8Gazettetableheading"/>
            </w:pPr>
            <w:r>
              <w:t>Active constituent</w:t>
            </w:r>
          </w:p>
        </w:tc>
        <w:tc>
          <w:tcPr>
            <w:tcW w:w="3900" w:type="pct"/>
            <w:shd w:val="clear" w:color="auto" w:fill="FFFFFF"/>
          </w:tcPr>
          <w:p w14:paraId="0D4138A7" w14:textId="31C09936" w:rsidR="00EC3002" w:rsidRPr="00BF5312" w:rsidRDefault="00600416" w:rsidP="004136D1">
            <w:pPr>
              <w:pStyle w:val="S8Gazettetabletext"/>
            </w:pPr>
            <w:r>
              <w:t>M</w:t>
            </w:r>
            <w:r w:rsidR="004136D1">
              <w:t>eloxicam</w:t>
            </w:r>
          </w:p>
        </w:tc>
      </w:tr>
      <w:tr w:rsidR="00EC3002" w:rsidRPr="00BF5312" w14:paraId="79C6BCB7" w14:textId="77777777" w:rsidTr="004136D1">
        <w:trPr>
          <w:cantSplit/>
        </w:trPr>
        <w:tc>
          <w:tcPr>
            <w:tcW w:w="1100" w:type="pct"/>
            <w:shd w:val="clear" w:color="auto" w:fill="D9D9D9"/>
          </w:tcPr>
          <w:p w14:paraId="68BBFDEE" w14:textId="3F0A07F4" w:rsidR="00EC3002" w:rsidRPr="00BF5312" w:rsidRDefault="004136D1" w:rsidP="004136D1">
            <w:pPr>
              <w:pStyle w:val="S8Gazettetableheading"/>
            </w:pPr>
            <w:r>
              <w:t>Applicant name</w:t>
            </w:r>
          </w:p>
        </w:tc>
        <w:tc>
          <w:tcPr>
            <w:tcW w:w="3900" w:type="pct"/>
            <w:shd w:val="clear" w:color="auto" w:fill="FFFFFF"/>
          </w:tcPr>
          <w:p w14:paraId="0F097B2A" w14:textId="6F5DD26D" w:rsidR="00EC3002" w:rsidRPr="00BF5312" w:rsidRDefault="004136D1" w:rsidP="004136D1">
            <w:pPr>
              <w:pStyle w:val="S8Gazettetabletext"/>
            </w:pPr>
            <w:proofErr w:type="spellStart"/>
            <w:r>
              <w:t>Bimeda</w:t>
            </w:r>
            <w:proofErr w:type="spellEnd"/>
            <w:r>
              <w:t xml:space="preserve"> (Australia) Pty Limited</w:t>
            </w:r>
          </w:p>
        </w:tc>
      </w:tr>
      <w:tr w:rsidR="00EC3002" w:rsidRPr="00BF5312" w14:paraId="0461E892" w14:textId="77777777" w:rsidTr="004136D1">
        <w:trPr>
          <w:cantSplit/>
        </w:trPr>
        <w:tc>
          <w:tcPr>
            <w:tcW w:w="1100" w:type="pct"/>
            <w:shd w:val="clear" w:color="auto" w:fill="D9D9D9"/>
          </w:tcPr>
          <w:p w14:paraId="5842BD1A" w14:textId="2D62840E" w:rsidR="00EC3002" w:rsidRPr="00BF5312" w:rsidRDefault="004136D1" w:rsidP="004136D1">
            <w:pPr>
              <w:pStyle w:val="S8Gazettetableheading"/>
            </w:pPr>
            <w:r>
              <w:t>Applicant ACN</w:t>
            </w:r>
          </w:p>
        </w:tc>
        <w:tc>
          <w:tcPr>
            <w:tcW w:w="3900" w:type="pct"/>
            <w:shd w:val="clear" w:color="auto" w:fill="FFFFFF"/>
          </w:tcPr>
          <w:p w14:paraId="135D7BC5" w14:textId="7FB9F664" w:rsidR="00EC3002" w:rsidRPr="00BF5312" w:rsidRDefault="004136D1" w:rsidP="004136D1">
            <w:pPr>
              <w:pStyle w:val="S8Gazettetabletext"/>
            </w:pPr>
            <w:r>
              <w:t>058 196 508</w:t>
            </w:r>
          </w:p>
        </w:tc>
      </w:tr>
      <w:tr w:rsidR="00EC3002" w:rsidRPr="00BF5312" w14:paraId="45868D3C" w14:textId="77777777" w:rsidTr="004136D1">
        <w:trPr>
          <w:cantSplit/>
        </w:trPr>
        <w:tc>
          <w:tcPr>
            <w:tcW w:w="1100" w:type="pct"/>
            <w:shd w:val="clear" w:color="auto" w:fill="D9D9D9"/>
          </w:tcPr>
          <w:p w14:paraId="3B23DEC3" w14:textId="3634C91B" w:rsidR="00EC3002" w:rsidRPr="00BF5312" w:rsidRDefault="004136D1" w:rsidP="004136D1">
            <w:pPr>
              <w:pStyle w:val="S8Gazettetableheading"/>
            </w:pPr>
            <w:r>
              <w:t>Date of approval</w:t>
            </w:r>
          </w:p>
        </w:tc>
        <w:tc>
          <w:tcPr>
            <w:tcW w:w="3900" w:type="pct"/>
            <w:shd w:val="clear" w:color="auto" w:fill="FFFFFF"/>
          </w:tcPr>
          <w:p w14:paraId="6A25C1BE" w14:textId="714E91C6" w:rsidR="00EC3002" w:rsidRPr="00BF5312" w:rsidRDefault="004136D1" w:rsidP="004136D1">
            <w:pPr>
              <w:pStyle w:val="S8Gazettetabletext"/>
            </w:pPr>
            <w:r>
              <w:t>5 August 2025</w:t>
            </w:r>
          </w:p>
        </w:tc>
      </w:tr>
      <w:tr w:rsidR="00EC3002" w:rsidRPr="00BF5312" w14:paraId="5533E266" w14:textId="77777777" w:rsidTr="004136D1">
        <w:trPr>
          <w:cantSplit/>
        </w:trPr>
        <w:tc>
          <w:tcPr>
            <w:tcW w:w="1100" w:type="pct"/>
            <w:shd w:val="clear" w:color="auto" w:fill="D9D9D9"/>
          </w:tcPr>
          <w:p w14:paraId="55E51043" w14:textId="76C5D470" w:rsidR="00EC3002" w:rsidRPr="00BF5312" w:rsidRDefault="004136D1" w:rsidP="004136D1">
            <w:pPr>
              <w:pStyle w:val="S8Gazettetableheading"/>
            </w:pPr>
            <w:r>
              <w:t>Approval no.</w:t>
            </w:r>
          </w:p>
        </w:tc>
        <w:tc>
          <w:tcPr>
            <w:tcW w:w="3900" w:type="pct"/>
            <w:shd w:val="clear" w:color="auto" w:fill="FFFFFF"/>
          </w:tcPr>
          <w:p w14:paraId="4FADAF88" w14:textId="584C3DD2" w:rsidR="00EC3002" w:rsidRPr="00BF5312" w:rsidRDefault="004136D1" w:rsidP="004136D1">
            <w:pPr>
              <w:pStyle w:val="S8Gazettetabletext"/>
            </w:pPr>
            <w:r>
              <w:t>96081</w:t>
            </w:r>
          </w:p>
        </w:tc>
      </w:tr>
      <w:tr w:rsidR="00EC3002" w:rsidRPr="00360A17" w14:paraId="626EC15F" w14:textId="77777777" w:rsidTr="004136D1">
        <w:trPr>
          <w:cantSplit/>
        </w:trPr>
        <w:tc>
          <w:tcPr>
            <w:tcW w:w="1100" w:type="pct"/>
            <w:shd w:val="clear" w:color="auto" w:fill="D9D9D9"/>
          </w:tcPr>
          <w:p w14:paraId="428155C5" w14:textId="2EDA8B8C" w:rsidR="00EC3002" w:rsidRPr="00360A17"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76C443ED" w14:textId="53988644" w:rsidR="00EC3002" w:rsidRPr="00360A17" w:rsidRDefault="004136D1" w:rsidP="004136D1">
            <w:pPr>
              <w:pStyle w:val="S8Gazettetabletext"/>
            </w:pPr>
            <w:r>
              <w:t>Approval of the active constituent meloxicam for use in veterinary chemical products</w:t>
            </w:r>
          </w:p>
        </w:tc>
      </w:tr>
    </w:tbl>
    <w:p w14:paraId="4DFD5777"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BF5312" w14:paraId="6D1A8E17" w14:textId="77777777" w:rsidTr="004136D1">
        <w:trPr>
          <w:cantSplit/>
          <w:tblHeader/>
        </w:trPr>
        <w:tc>
          <w:tcPr>
            <w:tcW w:w="1100" w:type="pct"/>
            <w:shd w:val="clear" w:color="auto" w:fill="D9D9D9"/>
          </w:tcPr>
          <w:p w14:paraId="0B115709" w14:textId="1868DE9D" w:rsidR="00EC3002" w:rsidRPr="00BF5312" w:rsidRDefault="004136D1" w:rsidP="004136D1">
            <w:pPr>
              <w:pStyle w:val="S8Gazettetableheading"/>
            </w:pPr>
            <w:r>
              <w:lastRenderedPageBreak/>
              <w:t>Application no.</w:t>
            </w:r>
          </w:p>
        </w:tc>
        <w:tc>
          <w:tcPr>
            <w:tcW w:w="3900" w:type="pct"/>
            <w:shd w:val="clear" w:color="auto" w:fill="FFFFFF"/>
          </w:tcPr>
          <w:p w14:paraId="3344AFD7" w14:textId="1499DFCB" w:rsidR="00EC3002" w:rsidRPr="00BF5312" w:rsidRDefault="004136D1" w:rsidP="004136D1">
            <w:pPr>
              <w:pStyle w:val="S8Gazettetabletext"/>
            </w:pPr>
            <w:r>
              <w:t>145252</w:t>
            </w:r>
          </w:p>
        </w:tc>
      </w:tr>
      <w:tr w:rsidR="00EC3002" w:rsidRPr="00BF5312" w14:paraId="261CD65B" w14:textId="77777777" w:rsidTr="004136D1">
        <w:trPr>
          <w:cantSplit/>
          <w:tblHeader/>
        </w:trPr>
        <w:tc>
          <w:tcPr>
            <w:tcW w:w="1100" w:type="pct"/>
            <w:shd w:val="clear" w:color="auto" w:fill="D9D9D9"/>
          </w:tcPr>
          <w:p w14:paraId="2EC9F108" w14:textId="0925A6DD" w:rsidR="00EC3002" w:rsidRPr="00BF5312" w:rsidRDefault="004136D1" w:rsidP="004136D1">
            <w:pPr>
              <w:pStyle w:val="S8Gazettetableheading"/>
            </w:pPr>
            <w:r>
              <w:t>Active constituent</w:t>
            </w:r>
          </w:p>
        </w:tc>
        <w:tc>
          <w:tcPr>
            <w:tcW w:w="3900" w:type="pct"/>
            <w:shd w:val="clear" w:color="auto" w:fill="FFFFFF"/>
          </w:tcPr>
          <w:p w14:paraId="1430904F" w14:textId="0E820DA8" w:rsidR="00EC3002" w:rsidRPr="00BF5312" w:rsidRDefault="00600416" w:rsidP="004136D1">
            <w:pPr>
              <w:pStyle w:val="S8Gazettetabletext"/>
            </w:pPr>
            <w:r>
              <w:t>T</w:t>
            </w:r>
            <w:r w:rsidR="004136D1">
              <w:t>opramezone</w:t>
            </w:r>
          </w:p>
        </w:tc>
      </w:tr>
      <w:tr w:rsidR="00EC3002" w:rsidRPr="00BF5312" w14:paraId="6613AC23" w14:textId="77777777" w:rsidTr="004136D1">
        <w:trPr>
          <w:cantSplit/>
          <w:tblHeader/>
        </w:trPr>
        <w:tc>
          <w:tcPr>
            <w:tcW w:w="1100" w:type="pct"/>
            <w:shd w:val="clear" w:color="auto" w:fill="D9D9D9"/>
          </w:tcPr>
          <w:p w14:paraId="3B58289E" w14:textId="3AB27CF4" w:rsidR="00EC3002" w:rsidRPr="00BF5312" w:rsidRDefault="004136D1" w:rsidP="004136D1">
            <w:pPr>
              <w:pStyle w:val="S8Gazettetableheading"/>
            </w:pPr>
            <w:r>
              <w:t>Applicant name</w:t>
            </w:r>
          </w:p>
        </w:tc>
        <w:tc>
          <w:tcPr>
            <w:tcW w:w="3900" w:type="pct"/>
            <w:shd w:val="clear" w:color="auto" w:fill="FFFFFF"/>
          </w:tcPr>
          <w:p w14:paraId="401AFAC8" w14:textId="30AF27AB" w:rsidR="00EC3002" w:rsidRPr="00BF5312" w:rsidRDefault="004136D1" w:rsidP="004136D1">
            <w:pPr>
              <w:pStyle w:val="S8Gazettetabletext"/>
            </w:pPr>
            <w:r>
              <w:t xml:space="preserve">Hebei </w:t>
            </w:r>
            <w:proofErr w:type="spellStart"/>
            <w:r>
              <w:t>Lansheng</w:t>
            </w:r>
            <w:proofErr w:type="spellEnd"/>
            <w:r>
              <w:t xml:space="preserve"> Biotech Co Ltd</w:t>
            </w:r>
          </w:p>
        </w:tc>
      </w:tr>
      <w:tr w:rsidR="00EC3002" w:rsidRPr="00BF5312" w14:paraId="06279EC4" w14:textId="77777777" w:rsidTr="004136D1">
        <w:trPr>
          <w:cantSplit/>
          <w:tblHeader/>
        </w:trPr>
        <w:tc>
          <w:tcPr>
            <w:tcW w:w="1100" w:type="pct"/>
            <w:shd w:val="clear" w:color="auto" w:fill="D9D9D9"/>
          </w:tcPr>
          <w:p w14:paraId="1BBFA09F" w14:textId="4EDFD525" w:rsidR="00EC3002" w:rsidRPr="00BF5312" w:rsidRDefault="004136D1" w:rsidP="004136D1">
            <w:pPr>
              <w:pStyle w:val="S8Gazettetableheading"/>
            </w:pPr>
            <w:r>
              <w:t>Applicant ACN</w:t>
            </w:r>
          </w:p>
        </w:tc>
        <w:tc>
          <w:tcPr>
            <w:tcW w:w="3900" w:type="pct"/>
            <w:shd w:val="clear" w:color="auto" w:fill="FFFFFF"/>
          </w:tcPr>
          <w:p w14:paraId="2181A870" w14:textId="44EBC804" w:rsidR="00EC3002" w:rsidRPr="00BF5312" w:rsidRDefault="004136D1" w:rsidP="004136D1">
            <w:pPr>
              <w:pStyle w:val="S8Gazettetabletext"/>
            </w:pPr>
            <w:r>
              <w:t>N/A</w:t>
            </w:r>
          </w:p>
        </w:tc>
      </w:tr>
      <w:tr w:rsidR="00EC3002" w:rsidRPr="00BF5312" w14:paraId="4DA4D867" w14:textId="77777777" w:rsidTr="004136D1">
        <w:trPr>
          <w:cantSplit/>
          <w:tblHeader/>
        </w:trPr>
        <w:tc>
          <w:tcPr>
            <w:tcW w:w="1100" w:type="pct"/>
            <w:shd w:val="clear" w:color="auto" w:fill="D9D9D9"/>
          </w:tcPr>
          <w:p w14:paraId="39028305" w14:textId="589DBDD8" w:rsidR="00EC3002" w:rsidRPr="00BF5312" w:rsidRDefault="004136D1" w:rsidP="004136D1">
            <w:pPr>
              <w:pStyle w:val="S8Gazettetableheading"/>
            </w:pPr>
            <w:r>
              <w:t>Date of approval</w:t>
            </w:r>
          </w:p>
        </w:tc>
        <w:tc>
          <w:tcPr>
            <w:tcW w:w="3900" w:type="pct"/>
            <w:shd w:val="clear" w:color="auto" w:fill="FFFFFF"/>
          </w:tcPr>
          <w:p w14:paraId="30692B09" w14:textId="3E380E5A" w:rsidR="00EC3002" w:rsidRPr="00BF5312" w:rsidRDefault="004136D1" w:rsidP="004136D1">
            <w:pPr>
              <w:pStyle w:val="S8Gazettetabletext"/>
            </w:pPr>
            <w:r>
              <w:t>6 August 2025</w:t>
            </w:r>
          </w:p>
        </w:tc>
      </w:tr>
      <w:tr w:rsidR="00EC3002" w:rsidRPr="00BF5312" w14:paraId="30A9872E" w14:textId="77777777" w:rsidTr="004136D1">
        <w:trPr>
          <w:cantSplit/>
          <w:tblHeader/>
        </w:trPr>
        <w:tc>
          <w:tcPr>
            <w:tcW w:w="1100" w:type="pct"/>
            <w:shd w:val="clear" w:color="auto" w:fill="D9D9D9"/>
          </w:tcPr>
          <w:p w14:paraId="480EC2FB" w14:textId="0A0C1E3D" w:rsidR="00EC3002" w:rsidRPr="00BF5312" w:rsidRDefault="004136D1" w:rsidP="004136D1">
            <w:pPr>
              <w:pStyle w:val="S8Gazettetableheading"/>
            </w:pPr>
            <w:r>
              <w:t>Approval no.</w:t>
            </w:r>
          </w:p>
        </w:tc>
        <w:tc>
          <w:tcPr>
            <w:tcW w:w="3900" w:type="pct"/>
            <w:shd w:val="clear" w:color="auto" w:fill="FFFFFF"/>
          </w:tcPr>
          <w:p w14:paraId="795AEFAC" w14:textId="6957147C" w:rsidR="00EC3002" w:rsidRPr="00BF5312" w:rsidRDefault="004136D1" w:rsidP="004136D1">
            <w:pPr>
              <w:pStyle w:val="S8Gazettetabletext"/>
            </w:pPr>
            <w:r>
              <w:t>95312</w:t>
            </w:r>
          </w:p>
        </w:tc>
      </w:tr>
      <w:tr w:rsidR="00EC3002" w:rsidRPr="00360A17" w14:paraId="06FD5A1C" w14:textId="77777777" w:rsidTr="004136D1">
        <w:trPr>
          <w:cantSplit/>
          <w:tblHeader/>
        </w:trPr>
        <w:tc>
          <w:tcPr>
            <w:tcW w:w="1100" w:type="pct"/>
            <w:shd w:val="clear" w:color="auto" w:fill="D9D9D9"/>
          </w:tcPr>
          <w:p w14:paraId="72B3C68D" w14:textId="10184634" w:rsidR="00EC3002" w:rsidRPr="00360A17"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75D4FD11" w14:textId="44346CE0" w:rsidR="00EC3002" w:rsidRPr="00360A17" w:rsidRDefault="004136D1" w:rsidP="004136D1">
            <w:pPr>
              <w:pStyle w:val="S8Gazettetabletext"/>
            </w:pPr>
            <w:r>
              <w:t>Approval of the active constituent topramezone for use in agricultural chemical products</w:t>
            </w:r>
          </w:p>
        </w:tc>
      </w:tr>
    </w:tbl>
    <w:p w14:paraId="058BAE95" w14:textId="3DA63739" w:rsidR="00EC3002" w:rsidRDefault="00EC3002" w:rsidP="00EC3002">
      <w:pPr>
        <w:pStyle w:val="Caption"/>
      </w:pPr>
      <w:r w:rsidRPr="00CF1024">
        <w:t>Table</w:t>
      </w:r>
      <w:r>
        <w:t xml:space="preserve"> </w:t>
      </w:r>
      <w:r>
        <w:fldChar w:fldCharType="begin"/>
      </w:r>
      <w:r>
        <w:instrText xml:space="preserve"> SEQ Table \* ARABIC </w:instrText>
      </w:r>
      <w:r>
        <w:fldChar w:fldCharType="separate"/>
      </w:r>
      <w:r w:rsidR="00365304">
        <w:rPr>
          <w:noProof/>
        </w:rPr>
        <w:t>6</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C343B9" w14:paraId="583C5967" w14:textId="77777777" w:rsidTr="004136D1">
        <w:trPr>
          <w:cantSplit/>
        </w:trPr>
        <w:tc>
          <w:tcPr>
            <w:tcW w:w="1100" w:type="pct"/>
            <w:shd w:val="clear" w:color="auto" w:fill="D9D9D9"/>
          </w:tcPr>
          <w:p w14:paraId="5AB53FC7" w14:textId="30E45B3E" w:rsidR="00EC3002" w:rsidRPr="00C343B9" w:rsidRDefault="004136D1" w:rsidP="004136D1">
            <w:pPr>
              <w:pStyle w:val="S8Gazettetableheading"/>
            </w:pPr>
            <w:r>
              <w:t>Application no.</w:t>
            </w:r>
          </w:p>
        </w:tc>
        <w:tc>
          <w:tcPr>
            <w:tcW w:w="3900" w:type="pct"/>
            <w:shd w:val="clear" w:color="auto" w:fill="FFFFFF"/>
          </w:tcPr>
          <w:p w14:paraId="765C913A" w14:textId="1B4E8494" w:rsidR="00EC3002" w:rsidRPr="00C343B9" w:rsidRDefault="004136D1" w:rsidP="004136D1">
            <w:pPr>
              <w:pStyle w:val="S8Gazettetabletext"/>
            </w:pPr>
            <w:r>
              <w:t>148288</w:t>
            </w:r>
          </w:p>
        </w:tc>
      </w:tr>
      <w:tr w:rsidR="00EC3002" w:rsidRPr="00C343B9" w14:paraId="3AE03992" w14:textId="77777777" w:rsidTr="004136D1">
        <w:trPr>
          <w:cantSplit/>
        </w:trPr>
        <w:tc>
          <w:tcPr>
            <w:tcW w:w="1100" w:type="pct"/>
            <w:shd w:val="clear" w:color="auto" w:fill="D9D9D9"/>
          </w:tcPr>
          <w:p w14:paraId="1E3E9DA9" w14:textId="0CA84A81" w:rsidR="00EC3002" w:rsidRPr="00C343B9" w:rsidRDefault="004136D1" w:rsidP="004136D1">
            <w:pPr>
              <w:pStyle w:val="S8Gazettetableheading"/>
            </w:pPr>
            <w:r>
              <w:t>Active constituent</w:t>
            </w:r>
          </w:p>
        </w:tc>
        <w:tc>
          <w:tcPr>
            <w:tcW w:w="3900" w:type="pct"/>
            <w:shd w:val="clear" w:color="auto" w:fill="FFFFFF"/>
          </w:tcPr>
          <w:p w14:paraId="63331CAE" w14:textId="1BE27920" w:rsidR="00EC3002" w:rsidRPr="00C343B9" w:rsidRDefault="00600416" w:rsidP="004136D1">
            <w:pPr>
              <w:pStyle w:val="S8Gazettetabletext"/>
            </w:pPr>
            <w:r>
              <w:t>M</w:t>
            </w:r>
            <w:r w:rsidR="004136D1">
              <w:t>ilbemycin oxime</w:t>
            </w:r>
          </w:p>
        </w:tc>
      </w:tr>
      <w:tr w:rsidR="00EC3002" w:rsidRPr="00C343B9" w14:paraId="6936D8DA" w14:textId="77777777" w:rsidTr="004136D1">
        <w:trPr>
          <w:cantSplit/>
        </w:trPr>
        <w:tc>
          <w:tcPr>
            <w:tcW w:w="1100" w:type="pct"/>
            <w:shd w:val="clear" w:color="auto" w:fill="D9D9D9"/>
          </w:tcPr>
          <w:p w14:paraId="470D6144" w14:textId="56B55ABA" w:rsidR="00EC3002" w:rsidRPr="00C343B9" w:rsidRDefault="004136D1" w:rsidP="004136D1">
            <w:pPr>
              <w:pStyle w:val="S8Gazettetableheading"/>
            </w:pPr>
            <w:r>
              <w:t>Applicant name</w:t>
            </w:r>
          </w:p>
        </w:tc>
        <w:tc>
          <w:tcPr>
            <w:tcW w:w="3900" w:type="pct"/>
            <w:shd w:val="clear" w:color="auto" w:fill="FFFFFF"/>
          </w:tcPr>
          <w:p w14:paraId="675955A0" w14:textId="2410975A" w:rsidR="00EC3002" w:rsidRPr="00C343B9" w:rsidRDefault="004136D1" w:rsidP="004136D1">
            <w:pPr>
              <w:pStyle w:val="S8Gazettetabletext"/>
            </w:pPr>
            <w:r>
              <w:t>Elanco Australasia Pty Ltd</w:t>
            </w:r>
          </w:p>
        </w:tc>
      </w:tr>
      <w:tr w:rsidR="00EC3002" w:rsidRPr="00C343B9" w14:paraId="08FECD8E" w14:textId="77777777" w:rsidTr="004136D1">
        <w:trPr>
          <w:cantSplit/>
        </w:trPr>
        <w:tc>
          <w:tcPr>
            <w:tcW w:w="1100" w:type="pct"/>
            <w:shd w:val="clear" w:color="auto" w:fill="D9D9D9"/>
          </w:tcPr>
          <w:p w14:paraId="782A1B74" w14:textId="111E5E50" w:rsidR="00EC3002" w:rsidRPr="00C343B9" w:rsidRDefault="004136D1" w:rsidP="004136D1">
            <w:pPr>
              <w:pStyle w:val="S8Gazettetableheading"/>
            </w:pPr>
            <w:r>
              <w:t>Applicant ACN</w:t>
            </w:r>
          </w:p>
        </w:tc>
        <w:tc>
          <w:tcPr>
            <w:tcW w:w="3900" w:type="pct"/>
            <w:shd w:val="clear" w:color="auto" w:fill="FFFFFF"/>
          </w:tcPr>
          <w:p w14:paraId="026C1F70" w14:textId="1DBBE3AF" w:rsidR="00EC3002" w:rsidRPr="00C343B9" w:rsidRDefault="004136D1" w:rsidP="004136D1">
            <w:pPr>
              <w:pStyle w:val="S8Gazettetabletext"/>
            </w:pPr>
            <w:r>
              <w:t xml:space="preserve">076 745 198 </w:t>
            </w:r>
          </w:p>
        </w:tc>
      </w:tr>
      <w:tr w:rsidR="00EC3002" w:rsidRPr="00C343B9" w14:paraId="0CCC0AAD" w14:textId="77777777" w:rsidTr="004136D1">
        <w:trPr>
          <w:cantSplit/>
        </w:trPr>
        <w:tc>
          <w:tcPr>
            <w:tcW w:w="1100" w:type="pct"/>
            <w:shd w:val="clear" w:color="auto" w:fill="D9D9D9"/>
          </w:tcPr>
          <w:p w14:paraId="3220671A" w14:textId="2D268541" w:rsidR="00EC3002" w:rsidRPr="00C343B9" w:rsidRDefault="004136D1" w:rsidP="004136D1">
            <w:pPr>
              <w:pStyle w:val="S8Gazettetableheading"/>
            </w:pPr>
            <w:r>
              <w:t>Date of variation</w:t>
            </w:r>
          </w:p>
        </w:tc>
        <w:tc>
          <w:tcPr>
            <w:tcW w:w="3900" w:type="pct"/>
            <w:shd w:val="clear" w:color="auto" w:fill="FFFFFF"/>
          </w:tcPr>
          <w:p w14:paraId="202028DB" w14:textId="6BB0B5DC" w:rsidR="00EC3002" w:rsidRPr="00C343B9" w:rsidRDefault="004136D1" w:rsidP="004136D1">
            <w:pPr>
              <w:pStyle w:val="S8Gazettetabletext"/>
            </w:pPr>
            <w:r>
              <w:t>28 July 2025</w:t>
            </w:r>
          </w:p>
        </w:tc>
      </w:tr>
      <w:tr w:rsidR="00EC3002" w:rsidRPr="00C343B9" w14:paraId="02DFA665" w14:textId="77777777" w:rsidTr="004136D1">
        <w:trPr>
          <w:cantSplit/>
        </w:trPr>
        <w:tc>
          <w:tcPr>
            <w:tcW w:w="1100" w:type="pct"/>
            <w:shd w:val="clear" w:color="auto" w:fill="D9D9D9"/>
          </w:tcPr>
          <w:p w14:paraId="0AC25805" w14:textId="5C38CF44" w:rsidR="00EC3002" w:rsidRPr="00C343B9" w:rsidRDefault="004136D1" w:rsidP="004136D1">
            <w:pPr>
              <w:pStyle w:val="S8Gazettetableheading"/>
            </w:pPr>
            <w:r>
              <w:t>Approval no.</w:t>
            </w:r>
          </w:p>
        </w:tc>
        <w:tc>
          <w:tcPr>
            <w:tcW w:w="3900" w:type="pct"/>
            <w:shd w:val="clear" w:color="auto" w:fill="FFFFFF"/>
          </w:tcPr>
          <w:p w14:paraId="5CB76662" w14:textId="2BD3A7DB" w:rsidR="00EC3002" w:rsidRPr="00C343B9" w:rsidRDefault="004136D1" w:rsidP="004136D1">
            <w:pPr>
              <w:pStyle w:val="S8Gazettetabletext"/>
            </w:pPr>
            <w:r>
              <w:t>95244</w:t>
            </w:r>
          </w:p>
        </w:tc>
      </w:tr>
      <w:tr w:rsidR="00EC3002" w:rsidRPr="00741775" w14:paraId="1CDDDF78" w14:textId="77777777" w:rsidTr="004136D1">
        <w:trPr>
          <w:cantSplit/>
        </w:trPr>
        <w:tc>
          <w:tcPr>
            <w:tcW w:w="1100" w:type="pct"/>
            <w:shd w:val="clear" w:color="auto" w:fill="D9D9D9"/>
          </w:tcPr>
          <w:p w14:paraId="58FF11F5" w14:textId="02B744F6" w:rsidR="00EC3002" w:rsidRPr="00741775"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3A1A4535" w14:textId="164FF478" w:rsidR="00EC3002" w:rsidRPr="00741775" w:rsidRDefault="004136D1" w:rsidP="004136D1">
            <w:pPr>
              <w:pStyle w:val="S8Gazettetabletext"/>
            </w:pPr>
            <w:r>
              <w:t>Variation of relevant particulars or conditions of an approved active constituent</w:t>
            </w:r>
          </w:p>
        </w:tc>
      </w:tr>
    </w:tbl>
    <w:p w14:paraId="06D2B093" w14:textId="77777777" w:rsidR="00EC3002" w:rsidRDefault="00EC3002" w:rsidP="004136D1">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C3002" w:rsidRPr="00C343B9" w14:paraId="6E4881E5" w14:textId="77777777" w:rsidTr="004136D1">
        <w:trPr>
          <w:cantSplit/>
        </w:trPr>
        <w:tc>
          <w:tcPr>
            <w:tcW w:w="1100" w:type="pct"/>
            <w:shd w:val="clear" w:color="auto" w:fill="D9D9D9"/>
          </w:tcPr>
          <w:p w14:paraId="5BCCB0CC" w14:textId="4306EFBB" w:rsidR="00EC3002" w:rsidRPr="00C343B9" w:rsidRDefault="004136D1" w:rsidP="004136D1">
            <w:pPr>
              <w:pStyle w:val="S8Gazettetableheading"/>
            </w:pPr>
            <w:r>
              <w:t>Application no.</w:t>
            </w:r>
          </w:p>
        </w:tc>
        <w:tc>
          <w:tcPr>
            <w:tcW w:w="3900" w:type="pct"/>
            <w:shd w:val="clear" w:color="auto" w:fill="FFFFFF"/>
          </w:tcPr>
          <w:p w14:paraId="56A76131" w14:textId="18E4246F" w:rsidR="00EC3002" w:rsidRPr="00C343B9" w:rsidRDefault="004136D1" w:rsidP="004136D1">
            <w:pPr>
              <w:pStyle w:val="S8Gazettetabletext"/>
            </w:pPr>
            <w:r>
              <w:t>148473</w:t>
            </w:r>
          </w:p>
        </w:tc>
      </w:tr>
      <w:tr w:rsidR="00EC3002" w:rsidRPr="00C343B9" w14:paraId="44D2E8DC" w14:textId="77777777" w:rsidTr="004136D1">
        <w:trPr>
          <w:cantSplit/>
        </w:trPr>
        <w:tc>
          <w:tcPr>
            <w:tcW w:w="1100" w:type="pct"/>
            <w:shd w:val="clear" w:color="auto" w:fill="D9D9D9"/>
          </w:tcPr>
          <w:p w14:paraId="6EAC1A03" w14:textId="28840859" w:rsidR="00EC3002" w:rsidRPr="00C343B9" w:rsidRDefault="004136D1" w:rsidP="004136D1">
            <w:pPr>
              <w:pStyle w:val="S8Gazettetableheading"/>
            </w:pPr>
            <w:r>
              <w:t>Active constituent</w:t>
            </w:r>
          </w:p>
        </w:tc>
        <w:tc>
          <w:tcPr>
            <w:tcW w:w="3900" w:type="pct"/>
            <w:shd w:val="clear" w:color="auto" w:fill="FFFFFF"/>
          </w:tcPr>
          <w:p w14:paraId="5B6ECD9D" w14:textId="7AE0B9ED" w:rsidR="00EC3002" w:rsidRPr="00C343B9" w:rsidRDefault="00600416" w:rsidP="004136D1">
            <w:pPr>
              <w:pStyle w:val="S8Gazettetabletext"/>
            </w:pPr>
            <w:r>
              <w:t>O</w:t>
            </w:r>
            <w:r w:rsidR="004136D1">
              <w:t>xytetracycline dihydrate</w:t>
            </w:r>
          </w:p>
        </w:tc>
      </w:tr>
      <w:tr w:rsidR="00EC3002" w:rsidRPr="00C343B9" w14:paraId="0FC12588" w14:textId="77777777" w:rsidTr="004136D1">
        <w:trPr>
          <w:cantSplit/>
        </w:trPr>
        <w:tc>
          <w:tcPr>
            <w:tcW w:w="1100" w:type="pct"/>
            <w:shd w:val="clear" w:color="auto" w:fill="D9D9D9"/>
          </w:tcPr>
          <w:p w14:paraId="6A3C1E2E" w14:textId="383ADBB9" w:rsidR="00EC3002" w:rsidRPr="00C343B9" w:rsidRDefault="004136D1" w:rsidP="004136D1">
            <w:pPr>
              <w:pStyle w:val="S8Gazettetableheading"/>
            </w:pPr>
            <w:r>
              <w:t>Applicant name</w:t>
            </w:r>
          </w:p>
        </w:tc>
        <w:tc>
          <w:tcPr>
            <w:tcW w:w="3900" w:type="pct"/>
            <w:shd w:val="clear" w:color="auto" w:fill="FFFFFF"/>
          </w:tcPr>
          <w:p w14:paraId="1F5EB7E2" w14:textId="7C8BC326" w:rsidR="00EC3002" w:rsidRPr="00C343B9" w:rsidRDefault="004136D1" w:rsidP="004136D1">
            <w:pPr>
              <w:pStyle w:val="S8Gazettetabletext"/>
            </w:pPr>
            <w:r>
              <w:t>Boehringer Ingelheim Animal Health Australia Pty Ltd</w:t>
            </w:r>
          </w:p>
        </w:tc>
      </w:tr>
      <w:tr w:rsidR="00EC3002" w:rsidRPr="00C343B9" w14:paraId="0F066E2A" w14:textId="77777777" w:rsidTr="004136D1">
        <w:trPr>
          <w:cantSplit/>
        </w:trPr>
        <w:tc>
          <w:tcPr>
            <w:tcW w:w="1100" w:type="pct"/>
            <w:shd w:val="clear" w:color="auto" w:fill="D9D9D9"/>
          </w:tcPr>
          <w:p w14:paraId="7FC9905E" w14:textId="2E445479" w:rsidR="00EC3002" w:rsidRPr="00C343B9" w:rsidRDefault="004136D1" w:rsidP="004136D1">
            <w:pPr>
              <w:pStyle w:val="S8Gazettetableheading"/>
            </w:pPr>
            <w:r>
              <w:t>Applicant ACN</w:t>
            </w:r>
          </w:p>
        </w:tc>
        <w:tc>
          <w:tcPr>
            <w:tcW w:w="3900" w:type="pct"/>
            <w:shd w:val="clear" w:color="auto" w:fill="FFFFFF"/>
          </w:tcPr>
          <w:p w14:paraId="72B46EAA" w14:textId="7EAC3A0C" w:rsidR="00EC3002" w:rsidRPr="00C343B9" w:rsidRDefault="004136D1" w:rsidP="004136D1">
            <w:pPr>
              <w:pStyle w:val="S8Gazettetabletext"/>
            </w:pPr>
            <w:r>
              <w:t xml:space="preserve">071 187 285 </w:t>
            </w:r>
          </w:p>
        </w:tc>
      </w:tr>
      <w:tr w:rsidR="00EC3002" w:rsidRPr="00C343B9" w14:paraId="17A6806F" w14:textId="77777777" w:rsidTr="004136D1">
        <w:trPr>
          <w:cantSplit/>
        </w:trPr>
        <w:tc>
          <w:tcPr>
            <w:tcW w:w="1100" w:type="pct"/>
            <w:shd w:val="clear" w:color="auto" w:fill="D9D9D9"/>
          </w:tcPr>
          <w:p w14:paraId="04BD0539" w14:textId="03CD6C60" w:rsidR="00EC3002" w:rsidRPr="00C343B9" w:rsidRDefault="004136D1" w:rsidP="004136D1">
            <w:pPr>
              <w:pStyle w:val="S8Gazettetableheading"/>
            </w:pPr>
            <w:r>
              <w:t>Date of variation</w:t>
            </w:r>
          </w:p>
        </w:tc>
        <w:tc>
          <w:tcPr>
            <w:tcW w:w="3900" w:type="pct"/>
            <w:shd w:val="clear" w:color="auto" w:fill="FFFFFF"/>
          </w:tcPr>
          <w:p w14:paraId="627E0584" w14:textId="340423CE" w:rsidR="00EC3002" w:rsidRPr="00C343B9" w:rsidRDefault="004136D1" w:rsidP="004136D1">
            <w:pPr>
              <w:pStyle w:val="S8Gazettetabletext"/>
            </w:pPr>
            <w:r>
              <w:t>4 August 2025</w:t>
            </w:r>
          </w:p>
        </w:tc>
      </w:tr>
      <w:tr w:rsidR="00EC3002" w:rsidRPr="00C343B9" w14:paraId="4FAE1678" w14:textId="77777777" w:rsidTr="004136D1">
        <w:trPr>
          <w:cantSplit/>
        </w:trPr>
        <w:tc>
          <w:tcPr>
            <w:tcW w:w="1100" w:type="pct"/>
            <w:shd w:val="clear" w:color="auto" w:fill="D9D9D9"/>
          </w:tcPr>
          <w:p w14:paraId="6999CFE1" w14:textId="78EAD777" w:rsidR="00EC3002" w:rsidRPr="00C343B9" w:rsidRDefault="004136D1" w:rsidP="004136D1">
            <w:pPr>
              <w:pStyle w:val="S8Gazettetableheading"/>
            </w:pPr>
            <w:r>
              <w:t>Approval no.</w:t>
            </w:r>
          </w:p>
        </w:tc>
        <w:tc>
          <w:tcPr>
            <w:tcW w:w="3900" w:type="pct"/>
            <w:shd w:val="clear" w:color="auto" w:fill="FFFFFF"/>
          </w:tcPr>
          <w:p w14:paraId="4CC8D55C" w14:textId="42A528BA" w:rsidR="00EC3002" w:rsidRPr="00C343B9" w:rsidRDefault="004136D1" w:rsidP="004136D1">
            <w:pPr>
              <w:pStyle w:val="S8Gazettetabletext"/>
            </w:pPr>
            <w:r>
              <w:t>83442</w:t>
            </w:r>
          </w:p>
        </w:tc>
      </w:tr>
      <w:tr w:rsidR="00EC3002" w:rsidRPr="00741775" w14:paraId="6DA92D0F" w14:textId="77777777" w:rsidTr="004136D1">
        <w:trPr>
          <w:cantSplit/>
        </w:trPr>
        <w:tc>
          <w:tcPr>
            <w:tcW w:w="1100" w:type="pct"/>
            <w:shd w:val="clear" w:color="auto" w:fill="D9D9D9"/>
          </w:tcPr>
          <w:p w14:paraId="64A0D095" w14:textId="1EC8C85D" w:rsidR="00EC3002" w:rsidRPr="00741775" w:rsidRDefault="004136D1" w:rsidP="004136D1">
            <w:pPr>
              <w:pStyle w:val="S8Gazettetableheading"/>
            </w:pPr>
            <w:r>
              <w:t>Description of the application and its purpose, including the intended use of the active constituent</w:t>
            </w:r>
          </w:p>
        </w:tc>
        <w:tc>
          <w:tcPr>
            <w:tcW w:w="3900" w:type="pct"/>
            <w:shd w:val="clear" w:color="auto" w:fill="FFFFFF"/>
          </w:tcPr>
          <w:p w14:paraId="2090CA2F" w14:textId="6743E830" w:rsidR="00EC3002" w:rsidRPr="00741775" w:rsidRDefault="004136D1" w:rsidP="00600416">
            <w:pPr>
              <w:pStyle w:val="S8Gazettetabletext"/>
            </w:pPr>
            <w:r>
              <w:t>Variation of relevant particulars or conditions of an approved active constituent</w:t>
            </w:r>
          </w:p>
        </w:tc>
      </w:tr>
    </w:tbl>
    <w:p w14:paraId="26A2096A" w14:textId="77777777" w:rsidR="002E3D72" w:rsidRDefault="002E3D72" w:rsidP="004136D1">
      <w:pPr>
        <w:pStyle w:val="S8Gazettetabletext"/>
        <w:sectPr w:rsidR="002E3D72" w:rsidSect="00CB73E0">
          <w:headerReference w:type="even" r:id="rId27"/>
          <w:pgSz w:w="11906" w:h="16838"/>
          <w:pgMar w:top="1440" w:right="1134" w:bottom="1440" w:left="1134" w:header="794" w:footer="737" w:gutter="0"/>
          <w:cols w:space="708"/>
          <w:docGrid w:linePitch="360"/>
        </w:sectPr>
      </w:pPr>
    </w:p>
    <w:p w14:paraId="29FBFCE6" w14:textId="77777777" w:rsidR="002E3D72" w:rsidRDefault="002E3D72" w:rsidP="002E3D72">
      <w:pPr>
        <w:pStyle w:val="GazetteHeading1"/>
      </w:pPr>
      <w:bookmarkStart w:id="21" w:name="_Toc206168164"/>
      <w:r w:rsidRPr="00A93D2B">
        <w:lastRenderedPageBreak/>
        <w:t>New veterinary chemical products containing a new veterinary active constituent</w:t>
      </w:r>
      <w:bookmarkEnd w:id="21"/>
    </w:p>
    <w:p w14:paraId="4321D5E7" w14:textId="77777777" w:rsidR="002E3D72" w:rsidRDefault="002E3D72" w:rsidP="002E3D72">
      <w:pPr>
        <w:pStyle w:val="GazetteNormalText"/>
      </w:pPr>
      <w:r w:rsidRPr="00A93D2B">
        <w:t>The Australian Pesticides and Veterinary Medicines Authority (APVMA) has before it an application for the approval of a new active constituent,</w:t>
      </w:r>
      <w:r w:rsidRPr="0052179F">
        <w:rPr>
          <w:b/>
          <w:bCs/>
        </w:rPr>
        <w:t xml:space="preserve"> </w:t>
      </w:r>
      <w:proofErr w:type="spellStart"/>
      <w:r w:rsidRPr="0052179F">
        <w:rPr>
          <w:b/>
          <w:bCs/>
        </w:rPr>
        <w:t>ilunocitinib</w:t>
      </w:r>
      <w:proofErr w:type="spellEnd"/>
      <w:r w:rsidRPr="00A93D2B">
        <w:t xml:space="preserve">, </w:t>
      </w:r>
      <w:r>
        <w:t xml:space="preserve">in conjunction with </w:t>
      </w:r>
      <w:r w:rsidRPr="00A93D2B">
        <w:t xml:space="preserve">applications for the registration of </w:t>
      </w:r>
      <w:r>
        <w:t>a</w:t>
      </w:r>
      <w:r w:rsidRPr="00A93D2B">
        <w:t xml:space="preserve"> </w:t>
      </w:r>
      <w:r>
        <w:t xml:space="preserve">suite of </w:t>
      </w:r>
      <w:r w:rsidRPr="00A93D2B">
        <w:t>new product</w:t>
      </w:r>
      <w:r>
        <w:t xml:space="preserve">s, </w:t>
      </w:r>
      <w:proofErr w:type="spellStart"/>
      <w:r w:rsidRPr="0052179F">
        <w:rPr>
          <w:b/>
          <w:bCs/>
        </w:rPr>
        <w:t>Zenrelia</w:t>
      </w:r>
      <w:proofErr w:type="spellEnd"/>
      <w:r w:rsidRPr="0052179F">
        <w:rPr>
          <w:b/>
          <w:bCs/>
        </w:rPr>
        <w:t xml:space="preserve"> [4.8 mg, 6.4 mg, 8.5 mg, 15 mg] Tablets for Dogs</w:t>
      </w:r>
      <w:r>
        <w:rPr>
          <w:b/>
          <w:bCs/>
        </w:rPr>
        <w:t>,</w:t>
      </w:r>
      <w:r>
        <w:t xml:space="preserve"> for the reduction of pruritus associated with allergic dermatitis and reduction of clinical signs of atopic dermatitis in dogs.</w:t>
      </w:r>
    </w:p>
    <w:p w14:paraId="0417CA4D" w14:textId="77777777" w:rsidR="002E3D72" w:rsidRDefault="002E3D72" w:rsidP="002E3D72">
      <w:pPr>
        <w:pStyle w:val="GazetteHeading2"/>
      </w:pPr>
      <w:proofErr w:type="spellStart"/>
      <w:r w:rsidRPr="00E72425">
        <w:t>Ilunocitinib</w:t>
      </w:r>
      <w:proofErr w:type="spellEnd"/>
    </w:p>
    <w:p w14:paraId="1FB8951C" w14:textId="77777777" w:rsidR="002E3D72" w:rsidRDefault="002E3D72" w:rsidP="002E3D72">
      <w:pPr>
        <w:pStyle w:val="GazetteNormalText"/>
      </w:pPr>
      <w:r>
        <w:t xml:space="preserve">As part of the applications to register </w:t>
      </w:r>
      <w:proofErr w:type="spellStart"/>
      <w:r w:rsidRPr="00E72425">
        <w:t>Zenrelia</w:t>
      </w:r>
      <w:proofErr w:type="spellEnd"/>
      <w:r w:rsidRPr="00E72425">
        <w:t xml:space="preserve"> </w:t>
      </w:r>
      <w:r>
        <w:t xml:space="preserve">[4.8 mg, 6.4 mg, 8.5 mg, </w:t>
      </w:r>
      <w:r w:rsidRPr="00E72425">
        <w:t>15 mg</w:t>
      </w:r>
      <w:r>
        <w:t>]</w:t>
      </w:r>
      <w:r w:rsidRPr="00E72425">
        <w:t xml:space="preserve"> Tablets for Dogs</w:t>
      </w:r>
      <w:r>
        <w:t xml:space="preserve"> containing </w:t>
      </w:r>
      <w:proofErr w:type="spellStart"/>
      <w:r>
        <w:t>i</w:t>
      </w:r>
      <w:r w:rsidRPr="00E72425">
        <w:t>lunocitinib</w:t>
      </w:r>
      <w:proofErr w:type="spellEnd"/>
      <w:r>
        <w:t xml:space="preserve">, the APVMA has evaluated the safety of the new active constituent, </w:t>
      </w:r>
      <w:proofErr w:type="spellStart"/>
      <w:r>
        <w:t>i</w:t>
      </w:r>
      <w:r w:rsidRPr="00E72425">
        <w:t>lunocitinib</w:t>
      </w:r>
      <w:proofErr w:type="spellEnd"/>
      <w:r>
        <w:t>.</w:t>
      </w:r>
    </w:p>
    <w:p w14:paraId="073D224D" w14:textId="2E8859E1" w:rsidR="002E3D72" w:rsidRDefault="002E3D72" w:rsidP="002E3D72">
      <w:pPr>
        <w:pStyle w:val="Caption"/>
      </w:pPr>
      <w:r>
        <w:t xml:space="preserve">Table </w:t>
      </w:r>
      <w:r>
        <w:fldChar w:fldCharType="begin"/>
      </w:r>
      <w:r>
        <w:instrText xml:space="preserve"> SEQ Table \* ARABIC </w:instrText>
      </w:r>
      <w:r>
        <w:fldChar w:fldCharType="separate"/>
      </w:r>
      <w:r w:rsidR="00365304">
        <w:rPr>
          <w:noProof/>
        </w:rPr>
        <w:t>7</w:t>
      </w:r>
      <w:r>
        <w:rPr>
          <w:noProof/>
        </w:rPr>
        <w:fldChar w:fldCharType="end"/>
      </w:r>
      <w:r>
        <w:t xml:space="preserve">: Particulars of the active constituent </w:t>
      </w:r>
      <w:proofErr w:type="spellStart"/>
      <w:r w:rsidRPr="00E72425">
        <w:t>Ilunocitinib</w:t>
      </w:r>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2E3D72" w14:paraId="2B61A7AA" w14:textId="77777777" w:rsidTr="0045442E">
        <w:trPr>
          <w:tblHeader/>
        </w:trPr>
        <w:tc>
          <w:tcPr>
            <w:tcW w:w="2122" w:type="dxa"/>
            <w:shd w:val="clear" w:color="auto" w:fill="E7E6E6" w:themeFill="background2"/>
          </w:tcPr>
          <w:p w14:paraId="4F599041" w14:textId="77777777" w:rsidR="002E3D72" w:rsidRPr="0045442E" w:rsidRDefault="002E3D72" w:rsidP="0045442E">
            <w:pPr>
              <w:pStyle w:val="GazetteTableHeading"/>
            </w:pPr>
            <w:r w:rsidRPr="0045442E">
              <w:t>Common name</w:t>
            </w:r>
          </w:p>
        </w:tc>
        <w:tc>
          <w:tcPr>
            <w:tcW w:w="7506" w:type="dxa"/>
          </w:tcPr>
          <w:p w14:paraId="39FFF4DD" w14:textId="77777777" w:rsidR="002E3D72" w:rsidRDefault="002E3D72" w:rsidP="001177C6">
            <w:pPr>
              <w:pStyle w:val="GazetteTableText"/>
            </w:pPr>
            <w:proofErr w:type="spellStart"/>
            <w:r w:rsidRPr="00E72425">
              <w:t>Ilunocitinib</w:t>
            </w:r>
            <w:proofErr w:type="spellEnd"/>
          </w:p>
        </w:tc>
      </w:tr>
      <w:tr w:rsidR="002E3D72" w14:paraId="1B568774" w14:textId="77777777" w:rsidTr="0045442E">
        <w:tc>
          <w:tcPr>
            <w:tcW w:w="2122" w:type="dxa"/>
            <w:shd w:val="clear" w:color="auto" w:fill="E7E6E6" w:themeFill="background2"/>
          </w:tcPr>
          <w:p w14:paraId="5C69F561" w14:textId="77777777" w:rsidR="002E3D72" w:rsidRPr="0045442E" w:rsidRDefault="002E3D72" w:rsidP="0045442E">
            <w:pPr>
              <w:pStyle w:val="GazetteTableHeading"/>
            </w:pPr>
            <w:r w:rsidRPr="0045442E">
              <w:t>IUPAC name</w:t>
            </w:r>
          </w:p>
        </w:tc>
        <w:tc>
          <w:tcPr>
            <w:tcW w:w="7506" w:type="dxa"/>
          </w:tcPr>
          <w:p w14:paraId="67F77529" w14:textId="77777777" w:rsidR="002E3D72" w:rsidRDefault="002E3D72" w:rsidP="001177C6">
            <w:pPr>
              <w:pStyle w:val="GazetteTableText"/>
            </w:pPr>
            <w:r w:rsidRPr="00E72425">
              <w:t>2-[1-cyclopropylsulfonyl-3-[4-(7H-pyrrolo[2,3-d]pyrimidin-4-yl)pyrazol-1-yl]azetidin-3-yl]acetonitrile</w:t>
            </w:r>
          </w:p>
        </w:tc>
      </w:tr>
      <w:tr w:rsidR="002E3D72" w14:paraId="5E50DF28" w14:textId="77777777" w:rsidTr="0045442E">
        <w:tc>
          <w:tcPr>
            <w:tcW w:w="2122" w:type="dxa"/>
            <w:shd w:val="clear" w:color="auto" w:fill="E7E6E6" w:themeFill="background2"/>
          </w:tcPr>
          <w:p w14:paraId="619733A5" w14:textId="77777777" w:rsidR="002E3D72" w:rsidRPr="0045442E" w:rsidRDefault="002E3D72" w:rsidP="0045442E">
            <w:pPr>
              <w:pStyle w:val="GazetteTableHeading"/>
            </w:pPr>
            <w:r w:rsidRPr="0045442E">
              <w:t>CAS name</w:t>
            </w:r>
          </w:p>
        </w:tc>
        <w:tc>
          <w:tcPr>
            <w:tcW w:w="7506" w:type="dxa"/>
          </w:tcPr>
          <w:p w14:paraId="00A53E3A" w14:textId="77777777" w:rsidR="002E3D72" w:rsidRDefault="002E3D72" w:rsidP="001177C6">
            <w:pPr>
              <w:pStyle w:val="GazetteTableText"/>
            </w:pPr>
            <w:r w:rsidRPr="00E72425">
              <w:t>3-Azetidineacetonitrile, 1-(cyclopropylsulfonyl)-3-[4-(7H-pyrrolo(2,3-d)pyrimidin-4-yl)-1H-pyrazol-1-yl]-</w:t>
            </w:r>
          </w:p>
        </w:tc>
      </w:tr>
      <w:tr w:rsidR="002E3D72" w14:paraId="52CB5DBA" w14:textId="77777777" w:rsidTr="0045442E">
        <w:tc>
          <w:tcPr>
            <w:tcW w:w="2122" w:type="dxa"/>
            <w:shd w:val="clear" w:color="auto" w:fill="E7E6E6" w:themeFill="background2"/>
          </w:tcPr>
          <w:p w14:paraId="5F8DE230" w14:textId="77777777" w:rsidR="002E3D72" w:rsidRPr="0045442E" w:rsidRDefault="002E3D72" w:rsidP="0045442E">
            <w:pPr>
              <w:pStyle w:val="GazetteTableHeading"/>
            </w:pPr>
            <w:r w:rsidRPr="0045442E">
              <w:t>CAS registry number</w:t>
            </w:r>
          </w:p>
        </w:tc>
        <w:tc>
          <w:tcPr>
            <w:tcW w:w="7506" w:type="dxa"/>
          </w:tcPr>
          <w:p w14:paraId="612B3CE1" w14:textId="77777777" w:rsidR="002E3D72" w:rsidRDefault="002E3D72" w:rsidP="001177C6">
            <w:pPr>
              <w:pStyle w:val="GazetteTableText"/>
            </w:pPr>
            <w:r w:rsidRPr="00E72425">
              <w:t>1187594-14-4</w:t>
            </w:r>
          </w:p>
        </w:tc>
      </w:tr>
      <w:tr w:rsidR="002E3D72" w:rsidRPr="00222756" w14:paraId="6CD64FE5" w14:textId="77777777" w:rsidTr="0045442E">
        <w:tc>
          <w:tcPr>
            <w:tcW w:w="2122" w:type="dxa"/>
            <w:shd w:val="clear" w:color="auto" w:fill="E7E6E6" w:themeFill="background2"/>
          </w:tcPr>
          <w:p w14:paraId="5ED7882D" w14:textId="77777777" w:rsidR="002E3D72" w:rsidRPr="0045442E" w:rsidRDefault="002E3D72" w:rsidP="0045442E">
            <w:pPr>
              <w:pStyle w:val="GazetteTableHeading"/>
            </w:pPr>
            <w:r w:rsidRPr="0045442E">
              <w:t>Manufacturer</w:t>
            </w:r>
            <w:r w:rsidRPr="0045442E">
              <w:t>’</w:t>
            </w:r>
            <w:r w:rsidRPr="0045442E">
              <w:t>s codes</w:t>
            </w:r>
          </w:p>
        </w:tc>
        <w:tc>
          <w:tcPr>
            <w:tcW w:w="7506" w:type="dxa"/>
          </w:tcPr>
          <w:p w14:paraId="0D901DDD" w14:textId="77777777" w:rsidR="002E3D72" w:rsidRPr="000766D8" w:rsidRDefault="002E3D72" w:rsidP="001177C6">
            <w:pPr>
              <w:pStyle w:val="GazetteTableText"/>
              <w:rPr>
                <w:lang w:val="de-CH"/>
              </w:rPr>
            </w:pPr>
            <w:r w:rsidRPr="000766D8">
              <w:rPr>
                <w:lang w:val="de-CH"/>
              </w:rPr>
              <w:t>3411067, LY3411067, LSN3411067, E4003631, C16042526-H,  LEMA-04, SF7, Swift, Zenrelia</w:t>
            </w:r>
          </w:p>
        </w:tc>
      </w:tr>
      <w:tr w:rsidR="002E3D72" w14:paraId="01C7CBF5" w14:textId="77777777" w:rsidTr="0045442E">
        <w:tc>
          <w:tcPr>
            <w:tcW w:w="2122" w:type="dxa"/>
            <w:shd w:val="clear" w:color="auto" w:fill="E7E6E6" w:themeFill="background2"/>
          </w:tcPr>
          <w:p w14:paraId="74C3EF43" w14:textId="77777777" w:rsidR="002E3D72" w:rsidRPr="0045442E" w:rsidRDefault="002E3D72" w:rsidP="0045442E">
            <w:pPr>
              <w:pStyle w:val="GazetteTableHeading"/>
            </w:pPr>
            <w:r w:rsidRPr="0045442E">
              <w:t>Minimum purity</w:t>
            </w:r>
          </w:p>
        </w:tc>
        <w:tc>
          <w:tcPr>
            <w:tcW w:w="7506" w:type="dxa"/>
          </w:tcPr>
          <w:p w14:paraId="1BBECCE9" w14:textId="77777777" w:rsidR="002E3D72" w:rsidRDefault="002E3D72" w:rsidP="001177C6">
            <w:pPr>
              <w:pStyle w:val="GazetteTableText"/>
            </w:pPr>
            <w:r w:rsidRPr="00E72425">
              <w:t>98-102% (as is)</w:t>
            </w:r>
          </w:p>
        </w:tc>
      </w:tr>
      <w:tr w:rsidR="002E3D72" w14:paraId="54FBBD77" w14:textId="77777777" w:rsidTr="0045442E">
        <w:tc>
          <w:tcPr>
            <w:tcW w:w="2122" w:type="dxa"/>
            <w:shd w:val="clear" w:color="auto" w:fill="E7E6E6" w:themeFill="background2"/>
          </w:tcPr>
          <w:p w14:paraId="68E82A27" w14:textId="77777777" w:rsidR="002E3D72" w:rsidRPr="0045442E" w:rsidRDefault="002E3D72" w:rsidP="0045442E">
            <w:pPr>
              <w:pStyle w:val="GazetteTableHeading"/>
            </w:pPr>
            <w:r w:rsidRPr="0045442E">
              <w:t>Molecular formula</w:t>
            </w:r>
          </w:p>
        </w:tc>
        <w:tc>
          <w:tcPr>
            <w:tcW w:w="7506" w:type="dxa"/>
          </w:tcPr>
          <w:p w14:paraId="2DA60432" w14:textId="77777777" w:rsidR="002E3D72" w:rsidRDefault="002E3D72" w:rsidP="001177C6">
            <w:pPr>
              <w:pStyle w:val="GazetteTableText"/>
            </w:pPr>
            <w:r w:rsidRPr="00E72425">
              <w:t>C</w:t>
            </w:r>
            <w:r w:rsidRPr="00E72425">
              <w:rPr>
                <w:vertAlign w:val="subscript"/>
              </w:rPr>
              <w:t>17</w:t>
            </w:r>
            <w:r w:rsidRPr="00E72425">
              <w:t>H</w:t>
            </w:r>
            <w:r w:rsidRPr="00E72425">
              <w:rPr>
                <w:vertAlign w:val="subscript"/>
              </w:rPr>
              <w:t>17</w:t>
            </w:r>
            <w:r w:rsidRPr="00E72425">
              <w:t>N</w:t>
            </w:r>
            <w:r w:rsidRPr="00E72425">
              <w:rPr>
                <w:vertAlign w:val="subscript"/>
              </w:rPr>
              <w:t>7</w:t>
            </w:r>
            <w:r w:rsidRPr="00E72425">
              <w:t>O</w:t>
            </w:r>
            <w:r w:rsidRPr="00E72425">
              <w:rPr>
                <w:vertAlign w:val="subscript"/>
              </w:rPr>
              <w:t>2</w:t>
            </w:r>
            <w:r w:rsidRPr="00E72425">
              <w:t>S</w:t>
            </w:r>
          </w:p>
        </w:tc>
      </w:tr>
      <w:tr w:rsidR="002E3D72" w14:paraId="67773848" w14:textId="77777777" w:rsidTr="0045442E">
        <w:tc>
          <w:tcPr>
            <w:tcW w:w="2122" w:type="dxa"/>
            <w:shd w:val="clear" w:color="auto" w:fill="E7E6E6" w:themeFill="background2"/>
          </w:tcPr>
          <w:p w14:paraId="58A06D20" w14:textId="77777777" w:rsidR="002E3D72" w:rsidRPr="0045442E" w:rsidRDefault="002E3D72" w:rsidP="0045442E">
            <w:pPr>
              <w:pStyle w:val="GazetteTableHeading"/>
            </w:pPr>
            <w:r w:rsidRPr="0045442E">
              <w:t>Molecular weight</w:t>
            </w:r>
          </w:p>
        </w:tc>
        <w:tc>
          <w:tcPr>
            <w:tcW w:w="7506" w:type="dxa"/>
          </w:tcPr>
          <w:p w14:paraId="1D8737DF" w14:textId="77777777" w:rsidR="002E3D72" w:rsidRDefault="002E3D72" w:rsidP="001177C6">
            <w:pPr>
              <w:pStyle w:val="GazetteTableText"/>
            </w:pPr>
            <w:r w:rsidRPr="00E72425">
              <w:t>383.43 g/mol</w:t>
            </w:r>
          </w:p>
        </w:tc>
      </w:tr>
      <w:tr w:rsidR="002E3D72" w14:paraId="34B2818A" w14:textId="77777777" w:rsidTr="0045442E">
        <w:trPr>
          <w:trHeight w:val="2565"/>
        </w:trPr>
        <w:tc>
          <w:tcPr>
            <w:tcW w:w="2122" w:type="dxa"/>
            <w:shd w:val="clear" w:color="auto" w:fill="E7E6E6" w:themeFill="background2"/>
          </w:tcPr>
          <w:p w14:paraId="63B70CED" w14:textId="77777777" w:rsidR="002E3D72" w:rsidRPr="0045442E" w:rsidRDefault="002E3D72" w:rsidP="0045442E">
            <w:pPr>
              <w:pStyle w:val="GazetteTableHeading"/>
            </w:pPr>
            <w:r w:rsidRPr="0045442E">
              <w:t>Structure</w:t>
            </w:r>
          </w:p>
        </w:tc>
        <w:tc>
          <w:tcPr>
            <w:tcW w:w="7506" w:type="dxa"/>
          </w:tcPr>
          <w:p w14:paraId="0077DA16" w14:textId="77777777" w:rsidR="002E3D72" w:rsidRDefault="00000000" w:rsidP="001177C6">
            <w:pPr>
              <w:pStyle w:val="GazetteTableText"/>
            </w:pPr>
            <w:r>
              <w:rPr>
                <w:noProof/>
                <w:bdr w:val="none" w:sz="0" w:space="0" w:color="auto"/>
              </w:rPr>
              <w:object w:dxaOrig="1440" w:dyaOrig="1440" w14:anchorId="2B7A8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05pt;margin-top:6.2pt;width:94.5pt;height:121.5pt;z-index:251661312;mso-position-horizontal-relative:text;mso-position-vertical-relative:text">
                  <v:imagedata r:id="rId28" o:title=""/>
                  <w10:wrap type="square"/>
                </v:shape>
                <o:OLEObject Type="Embed" ProgID="ChemDraw.Document.6.0" ShapeID="_x0000_s2050" DrawAspect="Content" ObjectID="_1817039640" r:id="rId29"/>
              </w:object>
            </w:r>
          </w:p>
          <w:p w14:paraId="10F62662" w14:textId="77777777" w:rsidR="002E3D72" w:rsidRDefault="002E3D72" w:rsidP="001177C6">
            <w:pPr>
              <w:pStyle w:val="GazetteTableText"/>
            </w:pPr>
          </w:p>
          <w:p w14:paraId="4E2B2D68" w14:textId="77777777" w:rsidR="002E3D72" w:rsidRDefault="002E3D72" w:rsidP="001177C6">
            <w:pPr>
              <w:pStyle w:val="GazetteTableText"/>
            </w:pPr>
          </w:p>
          <w:p w14:paraId="6979CFC6" w14:textId="77777777" w:rsidR="002E3D72" w:rsidRDefault="002E3D72" w:rsidP="001177C6">
            <w:pPr>
              <w:pStyle w:val="GazetteTableText"/>
            </w:pPr>
          </w:p>
          <w:p w14:paraId="0124D120" w14:textId="77777777" w:rsidR="002E3D72" w:rsidRDefault="002E3D72" w:rsidP="001177C6">
            <w:pPr>
              <w:pStyle w:val="GazetteTableText"/>
            </w:pPr>
          </w:p>
          <w:p w14:paraId="7C776534" w14:textId="77777777" w:rsidR="002E3D72" w:rsidRDefault="002E3D72" w:rsidP="001177C6">
            <w:pPr>
              <w:pStyle w:val="GazetteTableText"/>
            </w:pPr>
          </w:p>
          <w:p w14:paraId="0B727F05" w14:textId="77777777" w:rsidR="002E3D72" w:rsidRDefault="002E3D72" w:rsidP="001177C6">
            <w:pPr>
              <w:pStyle w:val="GazetteTableText"/>
            </w:pPr>
          </w:p>
          <w:p w14:paraId="427F9CE3" w14:textId="77777777" w:rsidR="002E3D72" w:rsidRDefault="002E3D72" w:rsidP="001177C6">
            <w:pPr>
              <w:pStyle w:val="GazetteTableText"/>
            </w:pPr>
          </w:p>
        </w:tc>
      </w:tr>
      <w:tr w:rsidR="002E3D72" w14:paraId="7E203765" w14:textId="77777777" w:rsidTr="0045442E">
        <w:tc>
          <w:tcPr>
            <w:tcW w:w="2122" w:type="dxa"/>
            <w:shd w:val="clear" w:color="auto" w:fill="E7E6E6" w:themeFill="background2"/>
          </w:tcPr>
          <w:p w14:paraId="3F205324" w14:textId="77777777" w:rsidR="002E3D72" w:rsidRDefault="002E3D72" w:rsidP="001177C6">
            <w:pPr>
              <w:pStyle w:val="GazetteTableHeading"/>
            </w:pPr>
            <w:r>
              <w:t>Chemical family</w:t>
            </w:r>
          </w:p>
        </w:tc>
        <w:tc>
          <w:tcPr>
            <w:tcW w:w="7506" w:type="dxa"/>
          </w:tcPr>
          <w:p w14:paraId="562254E8" w14:textId="77777777" w:rsidR="002E3D72" w:rsidRDefault="002E3D72" w:rsidP="001177C6">
            <w:pPr>
              <w:pStyle w:val="GazetteTableText"/>
            </w:pPr>
            <w:r>
              <w:t>J</w:t>
            </w:r>
            <w:r w:rsidRPr="00364671">
              <w:t xml:space="preserve">anus kinase </w:t>
            </w:r>
            <w:r>
              <w:t xml:space="preserve">(JAK) </w:t>
            </w:r>
            <w:r w:rsidRPr="00364671">
              <w:t>inhibitor</w:t>
            </w:r>
          </w:p>
        </w:tc>
      </w:tr>
      <w:tr w:rsidR="002E3D72" w14:paraId="78A663BB" w14:textId="77777777" w:rsidTr="0045442E">
        <w:tc>
          <w:tcPr>
            <w:tcW w:w="2122" w:type="dxa"/>
            <w:shd w:val="clear" w:color="auto" w:fill="E7E6E6" w:themeFill="background2"/>
          </w:tcPr>
          <w:p w14:paraId="34FA2C35" w14:textId="77777777" w:rsidR="002E3D72" w:rsidRDefault="002E3D72" w:rsidP="001177C6">
            <w:pPr>
              <w:pStyle w:val="GazetteTableHeading"/>
            </w:pPr>
            <w:r>
              <w:t>Mode of action</w:t>
            </w:r>
          </w:p>
        </w:tc>
        <w:tc>
          <w:tcPr>
            <w:tcW w:w="7506" w:type="dxa"/>
          </w:tcPr>
          <w:p w14:paraId="7C7EB34F" w14:textId="77777777" w:rsidR="002E3D72" w:rsidRDefault="002E3D72" w:rsidP="001177C6">
            <w:pPr>
              <w:pStyle w:val="GazetteTableText"/>
            </w:pPr>
            <w:proofErr w:type="spellStart"/>
            <w:r>
              <w:t>Ilunocitinib</w:t>
            </w:r>
            <w:proofErr w:type="spellEnd"/>
            <w:r>
              <w:t xml:space="preserve"> primarily functions as a </w:t>
            </w:r>
            <w:proofErr w:type="spellStart"/>
            <w:r>
              <w:t>janus</w:t>
            </w:r>
            <w:proofErr w:type="spellEnd"/>
            <w:r>
              <w:t xml:space="preserve"> kinases inhibitor (</w:t>
            </w:r>
            <w:proofErr w:type="spellStart"/>
            <w:r>
              <w:t>JAKi</w:t>
            </w:r>
            <w:proofErr w:type="spellEnd"/>
            <w:r>
              <w:t xml:space="preserve">). </w:t>
            </w:r>
            <w:proofErr w:type="spellStart"/>
            <w:r>
              <w:t>JAKi</w:t>
            </w:r>
            <w:proofErr w:type="spellEnd"/>
            <w:r>
              <w:t xml:space="preserve"> are a class of medications that target Janus kinases (JAKs), a family of enzymes involved in immune and inflammatory signalling pathways.</w:t>
            </w:r>
          </w:p>
          <w:p w14:paraId="23B1D789" w14:textId="77777777" w:rsidR="002E3D72" w:rsidRDefault="002E3D72" w:rsidP="001177C6">
            <w:pPr>
              <w:pStyle w:val="GazetteTableText"/>
            </w:pPr>
            <w:proofErr w:type="spellStart"/>
            <w:r>
              <w:t>Ilunocitinib</w:t>
            </w:r>
            <w:proofErr w:type="spellEnd"/>
            <w:r>
              <w:t xml:space="preserve"> is a non-selective </w:t>
            </w:r>
            <w:proofErr w:type="spellStart"/>
            <w:r>
              <w:t>JAKi</w:t>
            </w:r>
            <w:proofErr w:type="spellEnd"/>
            <w:r>
              <w:t xml:space="preserve"> that inhibits the function of a variety of pruritogenic, pro-inflammatory, and allergy-related cytokines that are dependent upon JAK enzymes. </w:t>
            </w:r>
            <w:proofErr w:type="spellStart"/>
            <w:r w:rsidRPr="000D63C4">
              <w:t>Ilunocitinib</w:t>
            </w:r>
            <w:proofErr w:type="spellEnd"/>
            <w:r w:rsidRPr="000D63C4">
              <w:t xml:space="preserve"> has a high potency for JAK1, JAK2, and tyrosine kinase 2 (TYK2) inhibition.</w:t>
            </w:r>
          </w:p>
        </w:tc>
      </w:tr>
    </w:tbl>
    <w:p w14:paraId="0631EB35" w14:textId="77777777" w:rsidR="0045442E" w:rsidRDefault="0045442E" w:rsidP="002E3D72">
      <w:pPr>
        <w:pStyle w:val="GazetteHeading2"/>
      </w:pPr>
      <w:r>
        <w:br w:type="page"/>
      </w:r>
    </w:p>
    <w:p w14:paraId="224CE948" w14:textId="51E676DA" w:rsidR="002E3D72" w:rsidRPr="00003555" w:rsidRDefault="002E3D72" w:rsidP="002E3D72">
      <w:pPr>
        <w:pStyle w:val="GazetteHeading2"/>
        <w:rPr>
          <w:iCs w:val="0"/>
        </w:rPr>
      </w:pPr>
      <w:r>
        <w:lastRenderedPageBreak/>
        <w:t xml:space="preserve">Summary of the APVMA’s evaluation of </w:t>
      </w:r>
      <w:proofErr w:type="spellStart"/>
      <w:r>
        <w:t>i</w:t>
      </w:r>
      <w:r w:rsidRPr="00E72425">
        <w:t>lunocitinib</w:t>
      </w:r>
      <w:proofErr w:type="spellEnd"/>
      <w:r>
        <w:t xml:space="preserve"> active constituent</w:t>
      </w:r>
    </w:p>
    <w:p w14:paraId="7B9E3BCE" w14:textId="77777777" w:rsidR="002E3D72" w:rsidRDefault="002E3D72" w:rsidP="002E3D72">
      <w:pPr>
        <w:pStyle w:val="GazetteNormalText"/>
        <w:rPr>
          <w:lang w:val="en-AU"/>
        </w:rPr>
      </w:pPr>
      <w:r w:rsidRPr="00284018">
        <w:rPr>
          <w:lang w:val="en-AU"/>
        </w:rPr>
        <w:t>A summary of the APVMA</w:t>
      </w:r>
      <w:r w:rsidRPr="00284018">
        <w:rPr>
          <w:lang w:val="en-AU"/>
        </w:rPr>
        <w:t>’</w:t>
      </w:r>
      <w:r w:rsidRPr="00284018">
        <w:rPr>
          <w:lang w:val="en-AU"/>
        </w:rPr>
        <w:t xml:space="preserve">s evaluation of </w:t>
      </w:r>
      <w:proofErr w:type="spellStart"/>
      <w:r>
        <w:t>i</w:t>
      </w:r>
      <w:r w:rsidRPr="00E72425">
        <w:t>lunocitinib</w:t>
      </w:r>
      <w:proofErr w:type="spellEnd"/>
      <w:r w:rsidRPr="00284018">
        <w:rPr>
          <w:lang w:val="en-AU"/>
        </w:rPr>
        <w:t xml:space="preserve"> in accordance with the requirements of section 14(1)(</w:t>
      </w:r>
      <w:r>
        <w:rPr>
          <w:lang w:val="en-AU"/>
        </w:rPr>
        <w:t>b</w:t>
      </w:r>
      <w:r w:rsidRPr="00284018">
        <w:rPr>
          <w:lang w:val="en-AU"/>
        </w:rPr>
        <w:t xml:space="preserve">) of the Agricultural and Veterinary Chemicals Code (the </w:t>
      </w:r>
      <w:r w:rsidRPr="00284018">
        <w:rPr>
          <w:lang w:val="en-AU"/>
        </w:rPr>
        <w:t>‘</w:t>
      </w:r>
      <w:proofErr w:type="spellStart"/>
      <w:r w:rsidRPr="00284018">
        <w:rPr>
          <w:lang w:val="en-AU"/>
        </w:rPr>
        <w:t>Agvet</w:t>
      </w:r>
      <w:proofErr w:type="spellEnd"/>
      <w:r w:rsidRPr="00284018">
        <w:rPr>
          <w:lang w:val="en-AU"/>
        </w:rPr>
        <w:t xml:space="preserve"> Code</w:t>
      </w:r>
      <w:r w:rsidRPr="00284018">
        <w:rPr>
          <w:lang w:val="en-AU"/>
        </w:rPr>
        <w:t>’</w:t>
      </w:r>
      <w:r w:rsidRPr="00284018">
        <w:rPr>
          <w:lang w:val="en-AU"/>
        </w:rPr>
        <w:t xml:space="preserve">), scheduled to the </w:t>
      </w:r>
      <w:r w:rsidRPr="00284018">
        <w:rPr>
          <w:i/>
          <w:iCs/>
          <w:lang w:val="en-AU"/>
        </w:rPr>
        <w:t>Agricultural and Veterinary Chemicals Code Act 1994</w:t>
      </w:r>
      <w:r>
        <w:rPr>
          <w:lang w:val="en-AU"/>
        </w:rPr>
        <w:t>:</w:t>
      </w:r>
    </w:p>
    <w:p w14:paraId="00694713" w14:textId="77777777" w:rsidR="002E3D72" w:rsidRDefault="002E3D72" w:rsidP="00FA310A">
      <w:pPr>
        <w:pStyle w:val="GazetteNormalText"/>
        <w:numPr>
          <w:ilvl w:val="0"/>
          <w:numId w:val="26"/>
        </w:numPr>
        <w:ind w:left="360"/>
        <w:rPr>
          <w:lang w:val="en-AU"/>
        </w:rPr>
      </w:pPr>
      <w:r>
        <w:rPr>
          <w:lang w:val="en-AU"/>
        </w:rPr>
        <w:t>Th</w:t>
      </w:r>
      <w:r w:rsidRPr="00D64453">
        <w:rPr>
          <w:lang w:val="en-AU"/>
        </w:rPr>
        <w:t>e APVMA has evaluated the</w:t>
      </w:r>
      <w:r>
        <w:rPr>
          <w:lang w:val="en-AU"/>
        </w:rPr>
        <w:t xml:space="preserve"> application and in its assessment, </w:t>
      </w:r>
      <w:r w:rsidRPr="00284018">
        <w:rPr>
          <w:lang w:val="en-AU"/>
        </w:rPr>
        <w:t xml:space="preserve">in relation to whether the safety criteria have been met in accordance with the definition set out in section 5A of the </w:t>
      </w:r>
      <w:proofErr w:type="spellStart"/>
      <w:r w:rsidRPr="00284018">
        <w:rPr>
          <w:lang w:val="en-AU"/>
        </w:rPr>
        <w:t>Agvet</w:t>
      </w:r>
      <w:proofErr w:type="spellEnd"/>
      <w:r w:rsidRPr="00284018">
        <w:rPr>
          <w:lang w:val="en-AU"/>
        </w:rPr>
        <w:t xml:space="preserve"> Code</w:t>
      </w:r>
      <w:r>
        <w:rPr>
          <w:lang w:val="en-AU"/>
        </w:rPr>
        <w:t xml:space="preserve">, </w:t>
      </w:r>
      <w:r w:rsidRPr="00284018">
        <w:rPr>
          <w:lang w:val="en-AU"/>
        </w:rPr>
        <w:t>proposes to determine that:</w:t>
      </w:r>
    </w:p>
    <w:p w14:paraId="61D8537B" w14:textId="42C0D8CF" w:rsidR="002E3D72" w:rsidRPr="00D64453" w:rsidRDefault="002E3D72" w:rsidP="00FA310A">
      <w:pPr>
        <w:pStyle w:val="GazetteNormalText"/>
        <w:numPr>
          <w:ilvl w:val="1"/>
          <w:numId w:val="26"/>
        </w:numPr>
        <w:ind w:left="643"/>
        <w:rPr>
          <w:lang w:val="en-AU"/>
        </w:rPr>
      </w:pPr>
      <w:r w:rsidRPr="00284018">
        <w:rPr>
          <w:lang w:val="en-AU"/>
        </w:rPr>
        <w:t xml:space="preserve">The APVMA </w:t>
      </w:r>
      <w:r>
        <w:rPr>
          <w:lang w:val="en-AU"/>
        </w:rPr>
        <w:t>i</w:t>
      </w:r>
      <w:bookmarkStart w:id="22" w:name="_Hlk205128705"/>
      <w:r>
        <w:rPr>
          <w:lang w:val="en-AU"/>
        </w:rPr>
        <w:t xml:space="preserve">s satisfied that the </w:t>
      </w:r>
      <w:r w:rsidRPr="00D64453">
        <w:rPr>
          <w:lang w:val="en-AU"/>
        </w:rPr>
        <w:t>chemistry aspects</w:t>
      </w:r>
      <w:bookmarkEnd w:id="22"/>
      <w:r w:rsidRPr="00D64453">
        <w:rPr>
          <w:lang w:val="en-AU"/>
        </w:rPr>
        <w:t xml:space="preserve"> of </w:t>
      </w:r>
      <w:proofErr w:type="spellStart"/>
      <w:r w:rsidRPr="00D64453">
        <w:t>ilunocitinib</w:t>
      </w:r>
      <w:proofErr w:type="spellEnd"/>
      <w:r w:rsidRPr="00D64453">
        <w:t xml:space="preserve"> </w:t>
      </w:r>
      <w:r w:rsidRPr="00D64453">
        <w:rPr>
          <w:lang w:val="en-AU"/>
        </w:rPr>
        <w:t>active constituent (</w:t>
      </w:r>
      <w:proofErr w:type="spellStart"/>
      <w:r w:rsidRPr="00D64453">
        <w:rPr>
          <w:lang w:val="en-AU"/>
        </w:rPr>
        <w:t>physico</w:t>
      </w:r>
      <w:proofErr w:type="spellEnd"/>
      <w:r w:rsidRPr="00D64453">
        <w:rPr>
          <w:lang w:val="en-AU"/>
        </w:rPr>
        <w:t xml:space="preserve">-chemical properties, identification, </w:t>
      </w:r>
      <w:r>
        <w:rPr>
          <w:lang w:val="en-AU"/>
        </w:rPr>
        <w:t xml:space="preserve">stability, </w:t>
      </w:r>
      <w:r w:rsidRPr="00D64453">
        <w:rPr>
          <w:lang w:val="en-AU"/>
        </w:rPr>
        <w:t>manufacturing process, quality control procedures, batch analysis results</w:t>
      </w:r>
      <w:r>
        <w:rPr>
          <w:lang w:val="en-AU"/>
        </w:rPr>
        <w:t>,</w:t>
      </w:r>
      <w:r w:rsidRPr="00D64453">
        <w:rPr>
          <w:lang w:val="en-AU"/>
        </w:rPr>
        <w:t xml:space="preserve"> and analytical methods</w:t>
      </w:r>
      <w:r>
        <w:rPr>
          <w:lang w:val="en-AU"/>
        </w:rPr>
        <w:t>) are acceptable.</w:t>
      </w:r>
    </w:p>
    <w:p w14:paraId="43077CA3" w14:textId="2F905AD3" w:rsidR="002E3D72" w:rsidRPr="00D64453" w:rsidRDefault="002E3D72" w:rsidP="00FA310A">
      <w:pPr>
        <w:pStyle w:val="GazetteNormalText"/>
        <w:numPr>
          <w:ilvl w:val="1"/>
          <w:numId w:val="26"/>
        </w:numPr>
        <w:ind w:left="643"/>
        <w:rPr>
          <w:lang w:val="en-AU"/>
        </w:rPr>
      </w:pPr>
      <w:r w:rsidRPr="00D64453">
        <w:rPr>
          <w:lang w:val="en-AU"/>
        </w:rPr>
        <w:t xml:space="preserve">The APVMA </w:t>
      </w:r>
      <w:r>
        <w:rPr>
          <w:lang w:val="en-AU"/>
        </w:rPr>
        <w:t>is</w:t>
      </w:r>
      <w:r w:rsidRPr="00213D9F">
        <w:rPr>
          <w:lang w:val="en-AU"/>
        </w:rPr>
        <w:t xml:space="preserve"> satisfied that the </w:t>
      </w:r>
      <w:r>
        <w:rPr>
          <w:lang w:val="en-AU"/>
        </w:rPr>
        <w:t xml:space="preserve">toxicological and human health aspects </w:t>
      </w:r>
      <w:r w:rsidRPr="00D64453">
        <w:rPr>
          <w:lang w:val="en-AU"/>
        </w:rPr>
        <w:t xml:space="preserve">of </w:t>
      </w:r>
      <w:proofErr w:type="spellStart"/>
      <w:r w:rsidRPr="00D64453">
        <w:t>ilunocitinib</w:t>
      </w:r>
      <w:proofErr w:type="spellEnd"/>
      <w:r w:rsidRPr="00D64453">
        <w:t xml:space="preserve"> </w:t>
      </w:r>
      <w:r w:rsidRPr="00D64453">
        <w:rPr>
          <w:lang w:val="en-AU"/>
        </w:rPr>
        <w:t>active constituent</w:t>
      </w:r>
      <w:r>
        <w:rPr>
          <w:lang w:val="en-AU"/>
        </w:rPr>
        <w:t xml:space="preserve"> are acceptable.</w:t>
      </w:r>
    </w:p>
    <w:p w14:paraId="1145511C" w14:textId="65F0A575" w:rsidR="002E3D72" w:rsidRPr="00D64453" w:rsidRDefault="002E3D72" w:rsidP="00FA310A">
      <w:pPr>
        <w:pStyle w:val="GazetteNormalText"/>
        <w:numPr>
          <w:ilvl w:val="2"/>
          <w:numId w:val="26"/>
        </w:numPr>
        <w:ind w:left="1030"/>
        <w:rPr>
          <w:lang w:val="en-AU"/>
        </w:rPr>
      </w:pPr>
      <w:r w:rsidRPr="00D64453">
        <w:rPr>
          <w:lang w:val="en-AU"/>
        </w:rPr>
        <w:t>Neither an Acceptable Daily Intake (ADI) nor an Acute Reference Dose (</w:t>
      </w:r>
      <w:proofErr w:type="spellStart"/>
      <w:r w:rsidRPr="00D64453">
        <w:rPr>
          <w:lang w:val="en-AU"/>
        </w:rPr>
        <w:t>ARfD</w:t>
      </w:r>
      <w:proofErr w:type="spellEnd"/>
      <w:r w:rsidRPr="00D64453">
        <w:rPr>
          <w:lang w:val="en-AU"/>
        </w:rPr>
        <w:t>) have been established, as no uses in food producing species are currently proposed.</w:t>
      </w:r>
    </w:p>
    <w:p w14:paraId="2B45551F" w14:textId="77777777" w:rsidR="002E3D72" w:rsidRPr="00D64453" w:rsidRDefault="002E3D72" w:rsidP="00FA310A">
      <w:pPr>
        <w:pStyle w:val="GazetteNormalText"/>
        <w:numPr>
          <w:ilvl w:val="2"/>
          <w:numId w:val="26"/>
        </w:numPr>
        <w:ind w:left="1030"/>
        <w:rPr>
          <w:lang w:val="en-AU"/>
        </w:rPr>
      </w:pPr>
      <w:r>
        <w:t xml:space="preserve">Noting that the proposed products are to be supplied by veterinarians under prescription, </w:t>
      </w:r>
      <w:r>
        <w:rPr>
          <w:lang w:val="en-AU"/>
        </w:rPr>
        <w:t xml:space="preserve">the Scheduling Delegate has included </w:t>
      </w:r>
      <w:proofErr w:type="spellStart"/>
      <w:r>
        <w:rPr>
          <w:lang w:val="en-AU"/>
        </w:rPr>
        <w:t>ilunocitinib</w:t>
      </w:r>
      <w:proofErr w:type="spellEnd"/>
      <w:r w:rsidRPr="00D64453">
        <w:rPr>
          <w:lang w:val="en-AU"/>
        </w:rPr>
        <w:t xml:space="preserve"> in </w:t>
      </w:r>
      <w:r w:rsidRPr="00D64453">
        <w:rPr>
          <w:b/>
          <w:bCs/>
          <w:lang w:val="en-AU"/>
        </w:rPr>
        <w:t>Schedule 4</w:t>
      </w:r>
      <w:r w:rsidRPr="00D64453">
        <w:rPr>
          <w:lang w:val="en-AU"/>
        </w:rPr>
        <w:t xml:space="preserve"> of the Poisons Standard, with no exceptions or cut-offs.</w:t>
      </w:r>
    </w:p>
    <w:p w14:paraId="1DDF57B6" w14:textId="77777777" w:rsidR="002E3D72" w:rsidRPr="00D64453" w:rsidRDefault="002E3D72" w:rsidP="00FA310A">
      <w:pPr>
        <w:pStyle w:val="GazetteNormalText"/>
        <w:numPr>
          <w:ilvl w:val="2"/>
          <w:numId w:val="26"/>
        </w:numPr>
        <w:ind w:left="1030"/>
        <w:rPr>
          <w:lang w:val="en-AU"/>
        </w:rPr>
      </w:pPr>
      <w:r w:rsidRPr="00D64453">
        <w:rPr>
          <w:lang w:val="en-AU"/>
        </w:rPr>
        <w:t xml:space="preserve">Impurities are not expected to be present in </w:t>
      </w:r>
      <w:proofErr w:type="spellStart"/>
      <w:r w:rsidRPr="00D64453">
        <w:t>ilunocitinib</w:t>
      </w:r>
      <w:proofErr w:type="spellEnd"/>
      <w:r w:rsidRPr="00D64453">
        <w:t xml:space="preserve"> </w:t>
      </w:r>
      <w:r w:rsidRPr="00D64453">
        <w:rPr>
          <w:lang w:val="en-AU"/>
        </w:rPr>
        <w:t>at toxicologically significant levels.</w:t>
      </w:r>
    </w:p>
    <w:p w14:paraId="1C34A59B" w14:textId="29B9375A" w:rsidR="002E3D72" w:rsidRPr="00D64453" w:rsidRDefault="002E3D72" w:rsidP="00FA310A">
      <w:pPr>
        <w:pStyle w:val="GazetteNormalText"/>
        <w:numPr>
          <w:ilvl w:val="2"/>
          <w:numId w:val="26"/>
        </w:numPr>
        <w:ind w:left="1030"/>
        <w:rPr>
          <w:lang w:val="en-AU"/>
        </w:rPr>
      </w:pPr>
      <w:r w:rsidRPr="00D64453">
        <w:rPr>
          <w:lang w:val="en-AU"/>
        </w:rPr>
        <w:t xml:space="preserve">The health and toxicology assessment has indicated that there are no objections on toxicological grounds to the approval of the active constituent </w:t>
      </w:r>
      <w:proofErr w:type="spellStart"/>
      <w:r w:rsidRPr="00D64453">
        <w:t>ilunocitinib</w:t>
      </w:r>
      <w:proofErr w:type="spellEnd"/>
      <w:r w:rsidRPr="00D64453">
        <w:t>.</w:t>
      </w:r>
    </w:p>
    <w:p w14:paraId="6AA95565" w14:textId="2E4FF606" w:rsidR="002E3D72" w:rsidRDefault="002E3D72" w:rsidP="002E3D72">
      <w:pPr>
        <w:pStyle w:val="GazetteNormalText"/>
        <w:numPr>
          <w:ilvl w:val="1"/>
          <w:numId w:val="26"/>
        </w:numPr>
        <w:ind w:left="643"/>
      </w:pPr>
      <w:r w:rsidRPr="00FA310A">
        <w:rPr>
          <w:lang w:val="en-AU"/>
        </w:rPr>
        <w:t xml:space="preserve">The APVMA is satisfied that the proposed importation and use of </w:t>
      </w:r>
      <w:proofErr w:type="spellStart"/>
      <w:r w:rsidRPr="00D64453">
        <w:t>ilunocitinib</w:t>
      </w:r>
      <w:proofErr w:type="spellEnd"/>
      <w:r w:rsidRPr="00D64453">
        <w:t xml:space="preserve"> </w:t>
      </w:r>
      <w:r w:rsidRPr="00FA310A">
        <w:rPr>
          <w:lang w:val="en-AU"/>
        </w:rPr>
        <w:t>would not be an undue toxicological hazard to the safety of people exposed to it during its handling and use, nor would it be likely to have an unintended effect that is harmful to human beings, animals, plants or things or to the environment.</w:t>
      </w:r>
      <w:r>
        <w:br w:type="page"/>
      </w:r>
    </w:p>
    <w:p w14:paraId="7D3E0098" w14:textId="77777777" w:rsidR="002E3D72" w:rsidRDefault="002E3D72" w:rsidP="002E3D72">
      <w:pPr>
        <w:pStyle w:val="GazetteHeading2"/>
      </w:pPr>
      <w:proofErr w:type="spellStart"/>
      <w:r w:rsidRPr="00E64E7B">
        <w:lastRenderedPageBreak/>
        <w:t>Zenrelia</w:t>
      </w:r>
      <w:proofErr w:type="spellEnd"/>
      <w:r w:rsidRPr="00E64E7B">
        <w:t xml:space="preserve"> Tablets for Dogs containing </w:t>
      </w:r>
      <w:proofErr w:type="spellStart"/>
      <w:r w:rsidRPr="00E64E7B">
        <w:t>ilunocitinib</w:t>
      </w:r>
      <w:proofErr w:type="spellEnd"/>
    </w:p>
    <w:p w14:paraId="4EA9BF8E" w14:textId="77777777" w:rsidR="002E3D72" w:rsidRDefault="002E3D72" w:rsidP="002E3D72">
      <w:pPr>
        <w:pStyle w:val="GazetteNormalText"/>
      </w:pPr>
      <w:r>
        <w:t xml:space="preserve">In addition to the application to approve the new active constituent </w:t>
      </w:r>
      <w:proofErr w:type="spellStart"/>
      <w:r w:rsidRPr="00E64E7B">
        <w:t>ilunocitinib</w:t>
      </w:r>
      <w:proofErr w:type="spellEnd"/>
      <w:r>
        <w:t>, t</w:t>
      </w:r>
      <w:r w:rsidRPr="00A93D2B">
        <w:t>he APVMA</w:t>
      </w:r>
      <w:r>
        <w:t xml:space="preserve"> has under consideration applications to register a suite of four new products</w:t>
      </w:r>
      <w:r w:rsidRPr="00A93D2B">
        <w:t xml:space="preserve"> containing </w:t>
      </w:r>
      <w:proofErr w:type="spellStart"/>
      <w:r w:rsidRPr="00E64E7B">
        <w:t>ilunocitinib</w:t>
      </w:r>
      <w:proofErr w:type="spellEnd"/>
      <w:r>
        <w:t xml:space="preserve">, </w:t>
      </w:r>
      <w:proofErr w:type="spellStart"/>
      <w:r w:rsidRPr="00ED5195">
        <w:t>Zenrelia</w:t>
      </w:r>
      <w:proofErr w:type="spellEnd"/>
      <w:r w:rsidRPr="00ED5195">
        <w:t xml:space="preserve"> [4.8 mg, 6.4 mg, 8.5 mg, 15 mg] Tablets for Dogs.</w:t>
      </w:r>
    </w:p>
    <w:p w14:paraId="612679A2" w14:textId="7EC9F3A6" w:rsidR="002E3D72" w:rsidRDefault="002E3D72" w:rsidP="002E3D72">
      <w:pPr>
        <w:pStyle w:val="Caption"/>
      </w:pPr>
      <w:r>
        <w:t xml:space="preserve">Table </w:t>
      </w:r>
      <w:r>
        <w:fldChar w:fldCharType="begin"/>
      </w:r>
      <w:r>
        <w:instrText xml:space="preserve"> SEQ Table \* ARABIC </w:instrText>
      </w:r>
      <w:r>
        <w:fldChar w:fldCharType="separate"/>
      </w:r>
      <w:r w:rsidR="00365304">
        <w:rPr>
          <w:noProof/>
        </w:rPr>
        <w:t>8</w:t>
      </w:r>
      <w:r>
        <w:rPr>
          <w:noProof/>
        </w:rPr>
        <w:fldChar w:fldCharType="end"/>
      </w:r>
      <w:r>
        <w:t>: Particulars of the product/s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420"/>
        <w:gridCol w:w="7208"/>
      </w:tblGrid>
      <w:tr w:rsidR="002E3D72" w14:paraId="3A4CDC88" w14:textId="77777777" w:rsidTr="00FA310A">
        <w:trPr>
          <w:trHeight w:val="139"/>
          <w:tblHeader/>
        </w:trPr>
        <w:tc>
          <w:tcPr>
            <w:tcW w:w="3397" w:type="dxa"/>
            <w:vMerge w:val="restart"/>
            <w:shd w:val="clear" w:color="auto" w:fill="E7E6E6" w:themeFill="background2"/>
          </w:tcPr>
          <w:p w14:paraId="1C152DE5" w14:textId="77777777" w:rsidR="002E3D72" w:rsidRDefault="002E3D72" w:rsidP="001177C6">
            <w:pPr>
              <w:pStyle w:val="GazetteTableHeading"/>
            </w:pPr>
            <w:r>
              <w:t>Proposed product name/s</w:t>
            </w:r>
          </w:p>
        </w:tc>
        <w:tc>
          <w:tcPr>
            <w:tcW w:w="6231" w:type="dxa"/>
          </w:tcPr>
          <w:p w14:paraId="738E6F33" w14:textId="77777777" w:rsidR="002E3D72" w:rsidRDefault="002E3D72" w:rsidP="001177C6">
            <w:pPr>
              <w:pStyle w:val="GazetteTableText"/>
            </w:pPr>
            <w:proofErr w:type="spellStart"/>
            <w:r w:rsidRPr="009F2A00">
              <w:t>Zenrelia</w:t>
            </w:r>
            <w:proofErr w:type="spellEnd"/>
            <w:r w:rsidRPr="009F2A00">
              <w:t xml:space="preserve"> 15 mg Tablets for Dogs</w:t>
            </w:r>
          </w:p>
        </w:tc>
      </w:tr>
      <w:tr w:rsidR="002E3D72" w14:paraId="612370A6" w14:textId="77777777" w:rsidTr="00FA310A">
        <w:trPr>
          <w:trHeight w:val="138"/>
          <w:tblHeader/>
        </w:trPr>
        <w:tc>
          <w:tcPr>
            <w:tcW w:w="3397" w:type="dxa"/>
            <w:vMerge/>
            <w:shd w:val="clear" w:color="auto" w:fill="E7E6E6" w:themeFill="background2"/>
          </w:tcPr>
          <w:p w14:paraId="31B5218D" w14:textId="77777777" w:rsidR="002E3D72" w:rsidRDefault="002E3D72" w:rsidP="001177C6">
            <w:pPr>
              <w:pStyle w:val="GazetteTableHeading"/>
            </w:pPr>
          </w:p>
        </w:tc>
        <w:tc>
          <w:tcPr>
            <w:tcW w:w="6231" w:type="dxa"/>
          </w:tcPr>
          <w:p w14:paraId="0CD4F764" w14:textId="77777777" w:rsidR="002E3D72" w:rsidRDefault="002E3D72" w:rsidP="001177C6">
            <w:pPr>
              <w:pStyle w:val="GazetteTableText"/>
            </w:pPr>
            <w:proofErr w:type="spellStart"/>
            <w:r w:rsidRPr="009F2A00">
              <w:t>Zenrelia</w:t>
            </w:r>
            <w:proofErr w:type="spellEnd"/>
            <w:r w:rsidRPr="009F2A00">
              <w:t xml:space="preserve"> 8.5 mg</w:t>
            </w:r>
            <w:r>
              <w:t xml:space="preserve"> </w:t>
            </w:r>
            <w:r w:rsidRPr="009F2A00">
              <w:t>Tablets for Dogs</w:t>
            </w:r>
          </w:p>
        </w:tc>
      </w:tr>
      <w:tr w:rsidR="002E3D72" w14:paraId="1859B171" w14:textId="77777777" w:rsidTr="00FA310A">
        <w:trPr>
          <w:trHeight w:val="138"/>
          <w:tblHeader/>
        </w:trPr>
        <w:tc>
          <w:tcPr>
            <w:tcW w:w="3397" w:type="dxa"/>
            <w:vMerge/>
            <w:shd w:val="clear" w:color="auto" w:fill="E7E6E6" w:themeFill="background2"/>
          </w:tcPr>
          <w:p w14:paraId="27A5686C" w14:textId="77777777" w:rsidR="002E3D72" w:rsidRDefault="002E3D72" w:rsidP="001177C6">
            <w:pPr>
              <w:pStyle w:val="GazetteTableHeading"/>
            </w:pPr>
          </w:p>
        </w:tc>
        <w:tc>
          <w:tcPr>
            <w:tcW w:w="6231" w:type="dxa"/>
          </w:tcPr>
          <w:p w14:paraId="0FA3C217" w14:textId="77777777" w:rsidR="002E3D72" w:rsidRDefault="002E3D72" w:rsidP="001177C6">
            <w:pPr>
              <w:pStyle w:val="GazetteTableText"/>
            </w:pPr>
            <w:proofErr w:type="spellStart"/>
            <w:r w:rsidRPr="009F2A00">
              <w:t>Zenrelia</w:t>
            </w:r>
            <w:proofErr w:type="spellEnd"/>
            <w:r>
              <w:t xml:space="preserve"> 6</w:t>
            </w:r>
            <w:r w:rsidRPr="009F2A00">
              <w:t>.4 mg</w:t>
            </w:r>
            <w:r>
              <w:t xml:space="preserve"> </w:t>
            </w:r>
            <w:r w:rsidRPr="009F2A00">
              <w:t>Tablets for Dogs</w:t>
            </w:r>
          </w:p>
        </w:tc>
      </w:tr>
      <w:tr w:rsidR="002E3D72" w14:paraId="1468626A" w14:textId="77777777" w:rsidTr="00FA310A">
        <w:trPr>
          <w:trHeight w:val="138"/>
          <w:tblHeader/>
        </w:trPr>
        <w:tc>
          <w:tcPr>
            <w:tcW w:w="3397" w:type="dxa"/>
            <w:vMerge/>
            <w:shd w:val="clear" w:color="auto" w:fill="E7E6E6" w:themeFill="background2"/>
          </w:tcPr>
          <w:p w14:paraId="43F901A9" w14:textId="77777777" w:rsidR="002E3D72" w:rsidRDefault="002E3D72" w:rsidP="001177C6">
            <w:pPr>
              <w:pStyle w:val="GazetteTableHeading"/>
            </w:pPr>
          </w:p>
        </w:tc>
        <w:tc>
          <w:tcPr>
            <w:tcW w:w="6231" w:type="dxa"/>
          </w:tcPr>
          <w:p w14:paraId="42C1806B" w14:textId="77777777" w:rsidR="002E3D72" w:rsidRPr="009F2A00" w:rsidRDefault="002E3D72" w:rsidP="001177C6">
            <w:pPr>
              <w:pStyle w:val="GazetteTableText"/>
            </w:pPr>
            <w:proofErr w:type="spellStart"/>
            <w:r w:rsidRPr="009F2A00">
              <w:t>Zenrelia</w:t>
            </w:r>
            <w:proofErr w:type="spellEnd"/>
            <w:r w:rsidRPr="009F2A00">
              <w:t xml:space="preserve"> 4.8 mg Tablets for Dogs</w:t>
            </w:r>
          </w:p>
        </w:tc>
      </w:tr>
      <w:tr w:rsidR="002E3D72" w14:paraId="20261859" w14:textId="77777777" w:rsidTr="00FA310A">
        <w:tc>
          <w:tcPr>
            <w:tcW w:w="3397" w:type="dxa"/>
            <w:shd w:val="clear" w:color="auto" w:fill="E7E6E6" w:themeFill="background2"/>
          </w:tcPr>
          <w:p w14:paraId="0394324F" w14:textId="77777777" w:rsidR="002E3D72" w:rsidRDefault="002E3D72" w:rsidP="001177C6">
            <w:pPr>
              <w:pStyle w:val="GazetteTableHeading"/>
            </w:pPr>
            <w:r>
              <w:t>Applicant company</w:t>
            </w:r>
          </w:p>
        </w:tc>
        <w:tc>
          <w:tcPr>
            <w:tcW w:w="6231" w:type="dxa"/>
          </w:tcPr>
          <w:p w14:paraId="675AC435" w14:textId="77777777" w:rsidR="002E3D72" w:rsidRDefault="002E3D72" w:rsidP="001177C6">
            <w:pPr>
              <w:pStyle w:val="GazetteTableText"/>
            </w:pPr>
            <w:r w:rsidRPr="009F2A00">
              <w:t>ELANCO AUSTRALASIA PTY LTD</w:t>
            </w:r>
          </w:p>
        </w:tc>
      </w:tr>
      <w:tr w:rsidR="002E3D72" w14:paraId="5E738B8D" w14:textId="77777777" w:rsidTr="00FA310A">
        <w:tc>
          <w:tcPr>
            <w:tcW w:w="3397" w:type="dxa"/>
            <w:shd w:val="clear" w:color="auto" w:fill="E7E6E6" w:themeFill="background2"/>
          </w:tcPr>
          <w:p w14:paraId="7080C1CE" w14:textId="77777777" w:rsidR="002E3D72" w:rsidRDefault="002E3D72" w:rsidP="001177C6">
            <w:pPr>
              <w:pStyle w:val="GazetteTableHeading"/>
            </w:pPr>
            <w:r>
              <w:t>Name of active constituent</w:t>
            </w:r>
          </w:p>
        </w:tc>
        <w:tc>
          <w:tcPr>
            <w:tcW w:w="6231" w:type="dxa"/>
          </w:tcPr>
          <w:p w14:paraId="1697F3E0" w14:textId="77777777" w:rsidR="002E3D72" w:rsidRDefault="002E3D72" w:rsidP="001177C6">
            <w:pPr>
              <w:pStyle w:val="GazetteTableText"/>
            </w:pPr>
            <w:proofErr w:type="spellStart"/>
            <w:r w:rsidRPr="00E64E7B">
              <w:t>ilunocitinib</w:t>
            </w:r>
            <w:proofErr w:type="spellEnd"/>
          </w:p>
        </w:tc>
      </w:tr>
      <w:tr w:rsidR="002E3D72" w14:paraId="632E060C" w14:textId="77777777" w:rsidTr="00FA310A">
        <w:tc>
          <w:tcPr>
            <w:tcW w:w="3397" w:type="dxa"/>
            <w:shd w:val="clear" w:color="auto" w:fill="E7E6E6" w:themeFill="background2"/>
          </w:tcPr>
          <w:p w14:paraId="11BD7C63" w14:textId="77777777" w:rsidR="002E3D72" w:rsidRDefault="002E3D72" w:rsidP="001177C6">
            <w:pPr>
              <w:pStyle w:val="GazetteTableHeading"/>
            </w:pPr>
            <w:r>
              <w:t>Signal heading</w:t>
            </w:r>
          </w:p>
        </w:tc>
        <w:tc>
          <w:tcPr>
            <w:tcW w:w="6231" w:type="dxa"/>
          </w:tcPr>
          <w:p w14:paraId="2D59A57A" w14:textId="77777777" w:rsidR="002E3D72" w:rsidRDefault="002E3D72" w:rsidP="001177C6">
            <w:pPr>
              <w:pStyle w:val="GazetteTableText"/>
            </w:pPr>
            <w:r>
              <w:t>Schedule 4</w:t>
            </w:r>
          </w:p>
        </w:tc>
      </w:tr>
      <w:tr w:rsidR="002E3D72" w14:paraId="6C59F869" w14:textId="77777777" w:rsidTr="00FA310A">
        <w:tc>
          <w:tcPr>
            <w:tcW w:w="3397" w:type="dxa"/>
            <w:shd w:val="clear" w:color="auto" w:fill="E7E6E6" w:themeFill="background2"/>
          </w:tcPr>
          <w:p w14:paraId="77AAD432" w14:textId="77777777" w:rsidR="002E3D72" w:rsidRDefault="002E3D72" w:rsidP="001177C6">
            <w:pPr>
              <w:pStyle w:val="GazetteTableHeading"/>
            </w:pPr>
            <w:r>
              <w:t xml:space="preserve">Summary of proposed use </w:t>
            </w:r>
          </w:p>
        </w:tc>
        <w:tc>
          <w:tcPr>
            <w:tcW w:w="6231" w:type="dxa"/>
          </w:tcPr>
          <w:p w14:paraId="6F9B7A32" w14:textId="4A550F98" w:rsidR="002E3D72" w:rsidRDefault="002E3D72" w:rsidP="001177C6">
            <w:pPr>
              <w:pStyle w:val="GazetteTableText"/>
              <w:rPr>
                <w:lang w:val="en-AU"/>
              </w:rPr>
            </w:pPr>
            <w:proofErr w:type="spellStart"/>
            <w:r>
              <w:t>Zenerelia</w:t>
            </w:r>
            <w:proofErr w:type="spellEnd"/>
            <w:r>
              <w:t xml:space="preserve"> </w:t>
            </w:r>
            <w:r w:rsidRPr="009F2A00">
              <w:t>Tablets for Dogs</w:t>
            </w:r>
            <w:r>
              <w:t xml:space="preserve"> contains </w:t>
            </w:r>
            <w:proofErr w:type="spellStart"/>
            <w:r w:rsidRPr="009F2A00">
              <w:rPr>
                <w:lang w:val="en-AU"/>
              </w:rPr>
              <w:t>Ilunocitinib</w:t>
            </w:r>
            <w:proofErr w:type="spellEnd"/>
            <w:r>
              <w:rPr>
                <w:lang w:val="en-AU"/>
              </w:rPr>
              <w:t xml:space="preserve">, </w:t>
            </w:r>
            <w:r w:rsidRPr="009F2A00">
              <w:rPr>
                <w:lang w:val="en-AU"/>
              </w:rPr>
              <w:t xml:space="preserve">a synthetic Janus Kinase (JAK) inhibitor. </w:t>
            </w:r>
            <w:proofErr w:type="spellStart"/>
            <w:r w:rsidRPr="009F2A00">
              <w:rPr>
                <w:lang w:val="en-AU"/>
              </w:rPr>
              <w:t>Ilunocitinib</w:t>
            </w:r>
            <w:proofErr w:type="spellEnd"/>
            <w:r w:rsidRPr="009F2A00">
              <w:rPr>
                <w:lang w:val="en-AU"/>
              </w:rPr>
              <w:t xml:space="preserve"> is a member of the</w:t>
            </w:r>
            <w:r>
              <w:rPr>
                <w:lang w:val="en-AU"/>
              </w:rPr>
              <w:t xml:space="preserve"> </w:t>
            </w:r>
            <w:r w:rsidRPr="009F2A00">
              <w:rPr>
                <w:lang w:val="en-AU"/>
              </w:rPr>
              <w:t>pyrimidines class of JAK inhibitors and is an immunomodulator.</w:t>
            </w:r>
          </w:p>
          <w:p w14:paraId="3AABD011" w14:textId="4DDA1AD7" w:rsidR="002E3D72" w:rsidRPr="00111E5A" w:rsidRDefault="002E3D72" w:rsidP="001177C6">
            <w:pPr>
              <w:pStyle w:val="GazetteTableText"/>
            </w:pPr>
            <w:proofErr w:type="spellStart"/>
            <w:r>
              <w:t>Zenerelia</w:t>
            </w:r>
            <w:proofErr w:type="spellEnd"/>
            <w:r>
              <w:t xml:space="preserve"> </w:t>
            </w:r>
            <w:r w:rsidRPr="009F2A00">
              <w:t>Tablets for Dogs</w:t>
            </w:r>
            <w:r>
              <w:t xml:space="preserve"> is for the reduction of pruritus associated with allergic dermatitis and reduction of clinical signs of atopic dermatitis in dogs.</w:t>
            </w:r>
          </w:p>
        </w:tc>
      </w:tr>
      <w:tr w:rsidR="002E3D72" w14:paraId="1AE9838E" w14:textId="77777777" w:rsidTr="00FA310A">
        <w:tc>
          <w:tcPr>
            <w:tcW w:w="3397" w:type="dxa"/>
            <w:shd w:val="clear" w:color="auto" w:fill="E7E6E6" w:themeFill="background2"/>
          </w:tcPr>
          <w:p w14:paraId="529BC4FC" w14:textId="77777777" w:rsidR="002E3D72" w:rsidRDefault="002E3D72" w:rsidP="001177C6">
            <w:pPr>
              <w:pStyle w:val="GazetteTableHeading"/>
            </w:pPr>
            <w:r>
              <w:t>Dose rate</w:t>
            </w:r>
          </w:p>
        </w:tc>
        <w:tc>
          <w:tcPr>
            <w:tcW w:w="6231" w:type="dxa"/>
          </w:tcPr>
          <w:p w14:paraId="3CE0E6AB" w14:textId="77777777" w:rsidR="002E3D72" w:rsidRDefault="002E3D72" w:rsidP="001177C6">
            <w:pPr>
              <w:pStyle w:val="GazetteTableText"/>
            </w:pPr>
            <w:r w:rsidRPr="005A2681">
              <w:t xml:space="preserve">0.6 to 0.8 mg </w:t>
            </w:r>
            <w:proofErr w:type="spellStart"/>
            <w:r w:rsidRPr="005A2681">
              <w:t>ilunocitinib</w:t>
            </w:r>
            <w:proofErr w:type="spellEnd"/>
            <w:r w:rsidRPr="005A2681">
              <w:t>/kg body weight administered orally, once daily.</w:t>
            </w:r>
          </w:p>
          <w:p w14:paraId="1AFDEFE9" w14:textId="77777777" w:rsidR="002E3D72" w:rsidRPr="005A2681" w:rsidRDefault="002E3D72" w:rsidP="001177C6">
            <w:pPr>
              <w:pStyle w:val="GazetteTableText"/>
              <w:rPr>
                <w:lang w:val="en-AU"/>
              </w:rPr>
            </w:pPr>
            <w:r>
              <w:rPr>
                <w:noProof/>
              </w:rPr>
              <w:drawing>
                <wp:anchor distT="0" distB="0" distL="114300" distR="114300" simplePos="0" relativeHeight="251662336" behindDoc="0" locked="0" layoutInCell="1" allowOverlap="1" wp14:anchorId="2F1C003E" wp14:editId="60421B4B">
                  <wp:simplePos x="0" y="0"/>
                  <wp:positionH relativeFrom="column">
                    <wp:posOffset>-65405</wp:posOffset>
                  </wp:positionH>
                  <wp:positionV relativeFrom="paragraph">
                    <wp:posOffset>551180</wp:posOffset>
                  </wp:positionV>
                  <wp:extent cx="4439983" cy="3000375"/>
                  <wp:effectExtent l="0" t="0" r="0" b="0"/>
                  <wp:wrapTopAndBottom/>
                  <wp:docPr id="1248751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51681" name=""/>
                          <pic:cNvPicPr/>
                        </pic:nvPicPr>
                        <pic:blipFill>
                          <a:blip r:embed="rId30">
                            <a:extLst>
                              <a:ext uri="{28A0092B-C50C-407E-A947-70E740481C1C}">
                                <a14:useLocalDpi xmlns:a14="http://schemas.microsoft.com/office/drawing/2010/main" val="0"/>
                              </a:ext>
                            </a:extLst>
                          </a:blip>
                          <a:stretch>
                            <a:fillRect/>
                          </a:stretch>
                        </pic:blipFill>
                        <pic:spPr>
                          <a:xfrm>
                            <a:off x="0" y="0"/>
                            <a:ext cx="4439983" cy="3000375"/>
                          </a:xfrm>
                          <a:prstGeom prst="rect">
                            <a:avLst/>
                          </a:prstGeom>
                        </pic:spPr>
                      </pic:pic>
                    </a:graphicData>
                  </a:graphic>
                  <wp14:sizeRelH relativeFrom="margin">
                    <wp14:pctWidth>0</wp14:pctWidth>
                  </wp14:sizeRelH>
                  <wp14:sizeRelV relativeFrom="margin">
                    <wp14:pctHeight>0</wp14:pctHeight>
                  </wp14:sizeRelV>
                </wp:anchor>
              </w:drawing>
            </w:r>
            <w:r w:rsidRPr="005A2681">
              <w:rPr>
                <w:lang w:val="en-AU"/>
              </w:rPr>
              <w:t>The dosing table below shows the number of tablets required. For dogs weighing between</w:t>
            </w:r>
            <w:r>
              <w:rPr>
                <w:lang w:val="en-AU"/>
              </w:rPr>
              <w:t xml:space="preserve"> </w:t>
            </w:r>
            <w:r w:rsidRPr="005A2681">
              <w:rPr>
                <w:lang w:val="en-AU"/>
              </w:rPr>
              <w:t>3 and 75 kg, an appropriate combination of complete or halved tablets may also be used,</w:t>
            </w:r>
            <w:r>
              <w:rPr>
                <w:lang w:val="en-AU"/>
              </w:rPr>
              <w:t xml:space="preserve"> </w:t>
            </w:r>
            <w:r w:rsidRPr="005A2681">
              <w:rPr>
                <w:lang w:val="en-AU"/>
              </w:rPr>
              <w:t xml:space="preserve">provided the dose rate of 0.6 to 0.8 mg </w:t>
            </w:r>
            <w:proofErr w:type="spellStart"/>
            <w:r w:rsidRPr="005A2681">
              <w:rPr>
                <w:lang w:val="en-AU"/>
              </w:rPr>
              <w:t>ilunocitinib</w:t>
            </w:r>
            <w:proofErr w:type="spellEnd"/>
            <w:r w:rsidRPr="005A2681">
              <w:rPr>
                <w:lang w:val="en-AU"/>
              </w:rPr>
              <w:t>/kg body weight is maintained. The</w:t>
            </w:r>
            <w:r>
              <w:rPr>
                <w:lang w:val="en-AU"/>
              </w:rPr>
              <w:t xml:space="preserve"> </w:t>
            </w:r>
            <w:r w:rsidRPr="005A2681">
              <w:rPr>
                <w:lang w:val="en-AU"/>
              </w:rPr>
              <w:t>tablets may be halved along the score line.</w:t>
            </w:r>
          </w:p>
        </w:tc>
      </w:tr>
      <w:tr w:rsidR="002E3D72" w14:paraId="0AE2BDB1" w14:textId="77777777" w:rsidTr="00FA310A">
        <w:tc>
          <w:tcPr>
            <w:tcW w:w="3397" w:type="dxa"/>
            <w:shd w:val="clear" w:color="auto" w:fill="E7E6E6" w:themeFill="background2"/>
          </w:tcPr>
          <w:p w14:paraId="0B68A41F" w14:textId="77777777" w:rsidR="002E3D72" w:rsidRDefault="002E3D72" w:rsidP="001177C6">
            <w:pPr>
              <w:pStyle w:val="GazetteTableHeading"/>
            </w:pPr>
            <w:r>
              <w:t>Pack sizes</w:t>
            </w:r>
          </w:p>
        </w:tc>
        <w:tc>
          <w:tcPr>
            <w:tcW w:w="6231" w:type="dxa"/>
          </w:tcPr>
          <w:p w14:paraId="7F5C16C7" w14:textId="6869CE81" w:rsidR="002E3D72" w:rsidRDefault="002E3D72" w:rsidP="00FA310A">
            <w:pPr>
              <w:pStyle w:val="GazetteTableText"/>
            </w:pPr>
            <w:r>
              <w:t>10 count tablets</w:t>
            </w:r>
            <w:r w:rsidR="00FA310A">
              <w:br/>
            </w:r>
            <w:r>
              <w:t>30 count tablets</w:t>
            </w:r>
            <w:r w:rsidR="00FA310A">
              <w:br/>
            </w:r>
            <w:r>
              <w:t>90 count tablets</w:t>
            </w:r>
          </w:p>
        </w:tc>
      </w:tr>
      <w:tr w:rsidR="002E3D72" w14:paraId="5058E330" w14:textId="77777777" w:rsidTr="00FA310A">
        <w:tc>
          <w:tcPr>
            <w:tcW w:w="3397" w:type="dxa"/>
            <w:shd w:val="clear" w:color="auto" w:fill="E7E6E6" w:themeFill="background2"/>
          </w:tcPr>
          <w:p w14:paraId="3793EA45" w14:textId="77777777" w:rsidR="002E3D72" w:rsidRDefault="002E3D72" w:rsidP="001177C6">
            <w:pPr>
              <w:pStyle w:val="GazetteTableHeading"/>
            </w:pPr>
            <w:r>
              <w:t>Withholding period</w:t>
            </w:r>
          </w:p>
        </w:tc>
        <w:tc>
          <w:tcPr>
            <w:tcW w:w="6231" w:type="dxa"/>
          </w:tcPr>
          <w:p w14:paraId="408F3108" w14:textId="77777777" w:rsidR="002E3D72" w:rsidRDefault="002E3D72" w:rsidP="001177C6">
            <w:pPr>
              <w:pStyle w:val="GazetteTableText"/>
            </w:pPr>
            <w:r>
              <w:t>N/A</w:t>
            </w:r>
          </w:p>
        </w:tc>
      </w:tr>
    </w:tbl>
    <w:p w14:paraId="7D1075C3" w14:textId="77777777" w:rsidR="002E3D72" w:rsidRDefault="002E3D72" w:rsidP="002E3D72">
      <w:pPr>
        <w:pStyle w:val="GazetteNormalText"/>
        <w:rPr>
          <w:i/>
        </w:rPr>
      </w:pPr>
      <w:r>
        <w:t>A summary of the APVMA</w:t>
      </w:r>
      <w:r>
        <w:t>’</w:t>
      </w:r>
      <w:r>
        <w:t xml:space="preserve">s evaluation of </w:t>
      </w:r>
      <w:proofErr w:type="spellStart"/>
      <w:r w:rsidRPr="00ED5195">
        <w:t>Zenrelia</w:t>
      </w:r>
      <w:proofErr w:type="spellEnd"/>
      <w:r w:rsidRPr="00ED5195">
        <w:t xml:space="preserve"> [4.8 mg, 6.4 mg, 8.5 mg, 15 mg] Tablets for Dogs</w:t>
      </w:r>
      <w:r>
        <w:t xml:space="preserve"> in accordance with the requirements of section 14(1)(c) of the </w:t>
      </w:r>
      <w:proofErr w:type="spellStart"/>
      <w:r>
        <w:t>Agvet</w:t>
      </w:r>
      <w:proofErr w:type="spellEnd"/>
      <w:r>
        <w:t xml:space="preserve"> Code:</w:t>
      </w:r>
    </w:p>
    <w:p w14:paraId="7B82A50F" w14:textId="77777777" w:rsidR="002E3D72" w:rsidRDefault="002E3D72" w:rsidP="002E3D72">
      <w:pPr>
        <w:pStyle w:val="GazetteListNumbered"/>
      </w:pPr>
      <w:r>
        <w:t xml:space="preserve">The APVMA has evaluated the application and in its assessment in relation to whether the </w:t>
      </w:r>
      <w:r w:rsidRPr="00B907D3">
        <w:rPr>
          <w:b/>
          <w:bCs/>
        </w:rPr>
        <w:t>safety criteria</w:t>
      </w:r>
      <w:r>
        <w:t xml:space="preserve"> have been met in accordance with the definition set out in section 5A of the </w:t>
      </w:r>
      <w:proofErr w:type="spellStart"/>
      <w:r>
        <w:t>Agvet</w:t>
      </w:r>
      <w:proofErr w:type="spellEnd"/>
      <w:r>
        <w:t xml:space="preserve"> Code, proposes to determine that:</w:t>
      </w:r>
    </w:p>
    <w:p w14:paraId="5E032DF4" w14:textId="20A2286F" w:rsidR="002E3D72" w:rsidRDefault="002E3D72" w:rsidP="00EB564D">
      <w:pPr>
        <w:pStyle w:val="GazetteListRomanNumeral"/>
        <w:tabs>
          <w:tab w:val="clear" w:pos="720"/>
          <w:tab w:val="left" w:pos="993"/>
        </w:tabs>
        <w:ind w:left="927" w:hanging="360"/>
      </w:pPr>
      <w:r w:rsidRPr="00877732">
        <w:lastRenderedPageBreak/>
        <w:t xml:space="preserve">The APVMA is satisfied that proposed use of </w:t>
      </w:r>
      <w:proofErr w:type="spellStart"/>
      <w:r w:rsidRPr="00ED5195">
        <w:t>Zenrelia</w:t>
      </w:r>
      <w:proofErr w:type="spellEnd"/>
      <w:r w:rsidRPr="00ED5195">
        <w:t xml:space="preserve"> [4.8 mg, 6.4 mg, 8.5 mg, 15 mg] Tablets for Dogs</w:t>
      </w:r>
      <w:r w:rsidRPr="00877732">
        <w:t xml:space="preserve"> would not be an undue hazard to the </w:t>
      </w:r>
      <w:r w:rsidRPr="00B641E4">
        <w:t>safety of people</w:t>
      </w:r>
      <w:r w:rsidRPr="00877732">
        <w:t xml:space="preserve"> exposed to </w:t>
      </w:r>
      <w:r>
        <w:t>it</w:t>
      </w:r>
      <w:r w:rsidRPr="00877732">
        <w:t xml:space="preserve"> dur</w:t>
      </w:r>
      <w:r>
        <w:t xml:space="preserve">ing its </w:t>
      </w:r>
      <w:r w:rsidRPr="00B641E4">
        <w:rPr>
          <w:b/>
          <w:bCs/>
        </w:rPr>
        <w:t>handling and use.</w:t>
      </w:r>
    </w:p>
    <w:p w14:paraId="3B06CD12" w14:textId="77777777" w:rsidR="002E3D72" w:rsidRPr="00413D86" w:rsidRDefault="002E3D72" w:rsidP="00EB564D">
      <w:pPr>
        <w:pStyle w:val="GazetteListRomanNumeral"/>
        <w:numPr>
          <w:ilvl w:val="1"/>
          <w:numId w:val="4"/>
        </w:numPr>
        <w:ind w:left="1494"/>
        <w:rPr>
          <w:lang w:val="en-AU"/>
        </w:rPr>
      </w:pPr>
      <w:r>
        <w:rPr>
          <w:lang w:val="en-AU"/>
        </w:rPr>
        <w:t>A</w:t>
      </w:r>
      <w:r w:rsidRPr="007965CC">
        <w:rPr>
          <w:lang w:val="en-AU"/>
        </w:rPr>
        <w:t xml:space="preserve"> quantitative user safety risk assessment </w:t>
      </w:r>
      <w:r>
        <w:rPr>
          <w:lang w:val="en-AU"/>
        </w:rPr>
        <w:t xml:space="preserve">was provided </w:t>
      </w:r>
      <w:r w:rsidRPr="007965CC">
        <w:rPr>
          <w:lang w:val="en-AU"/>
        </w:rPr>
        <w:t xml:space="preserve">addressing the risk </w:t>
      </w:r>
      <w:r>
        <w:rPr>
          <w:lang w:val="en-AU"/>
        </w:rPr>
        <w:t>to</w:t>
      </w:r>
      <w:r w:rsidRPr="007965CC">
        <w:rPr>
          <w:lang w:val="en-AU"/>
        </w:rPr>
        <w:t xml:space="preserve"> adults (including </w:t>
      </w:r>
      <w:r>
        <w:rPr>
          <w:lang w:val="en-AU"/>
        </w:rPr>
        <w:t>persons</w:t>
      </w:r>
      <w:r w:rsidRPr="007965CC">
        <w:rPr>
          <w:lang w:val="en-AU"/>
        </w:rPr>
        <w:t xml:space="preserve"> of childbearing potential) administering the product to dogs</w:t>
      </w:r>
      <w:r>
        <w:rPr>
          <w:lang w:val="en-AU"/>
        </w:rPr>
        <w:t>. This was evaluated for the purpose of the A</w:t>
      </w:r>
      <w:r w:rsidRPr="00413D86">
        <w:rPr>
          <w:lang w:val="en-AU"/>
        </w:rPr>
        <w:t>PVMA</w:t>
      </w:r>
      <w:r w:rsidRPr="00413D86">
        <w:rPr>
          <w:lang w:val="en-AU"/>
        </w:rPr>
        <w:t>’</w:t>
      </w:r>
      <w:r w:rsidRPr="00413D86">
        <w:rPr>
          <w:lang w:val="en-AU"/>
        </w:rPr>
        <w:t>s user risk assessment</w:t>
      </w:r>
      <w:r>
        <w:rPr>
          <w:lang w:val="en-AU"/>
        </w:rPr>
        <w:t xml:space="preserve">. The APVMA </w:t>
      </w:r>
      <w:r w:rsidRPr="007965CC">
        <w:rPr>
          <w:lang w:val="en-AU"/>
        </w:rPr>
        <w:t>deemed there was sufficient information to inform a user risk assessment for a tablet formulation administered orally to dogs by owners for the medium- to long-term, under the direction of a veterinarian</w:t>
      </w:r>
      <w:r>
        <w:rPr>
          <w:lang w:val="en-AU"/>
        </w:rPr>
        <w:t xml:space="preserve">. </w:t>
      </w:r>
      <w:r w:rsidRPr="00413D86">
        <w:rPr>
          <w:rFonts w:cs="Times New Roman"/>
          <w:szCs w:val="24"/>
        </w:rPr>
        <w:t>There was a large margin of exposure without PPE</w:t>
      </w:r>
      <w:r>
        <w:rPr>
          <w:rFonts w:cs="Times New Roman"/>
          <w:szCs w:val="24"/>
        </w:rPr>
        <w:t>.</w:t>
      </w:r>
      <w:r w:rsidRPr="00413D86">
        <w:rPr>
          <w:lang w:val="en-AU"/>
        </w:rPr>
        <w:t xml:space="preserve"> Management of health risks is achieved primarily via label directions, established from a consideration of the acute hazards of the product in conjunction with possible adverse health effects from repeated exposure to both workers and the general public</w:t>
      </w:r>
      <w:r>
        <w:rPr>
          <w:lang w:val="en-AU"/>
        </w:rPr>
        <w:t>. The risk management outcomes are as follows:</w:t>
      </w:r>
    </w:p>
    <w:p w14:paraId="0EF606CE" w14:textId="77777777" w:rsidR="002E3D72" w:rsidRPr="005D2C9D" w:rsidRDefault="002E3D72" w:rsidP="00EB564D">
      <w:pPr>
        <w:pStyle w:val="GazetteListRomanNumeral"/>
        <w:numPr>
          <w:ilvl w:val="2"/>
          <w:numId w:val="4"/>
        </w:numPr>
        <w:ind w:left="2344" w:hanging="360"/>
        <w:rPr>
          <w:lang w:val="en-AU"/>
        </w:rPr>
      </w:pPr>
      <w:proofErr w:type="spellStart"/>
      <w:r>
        <w:t>I</w:t>
      </w:r>
      <w:r w:rsidRPr="005A2681">
        <w:t>lunocitinib</w:t>
      </w:r>
      <w:proofErr w:type="spellEnd"/>
      <w:r w:rsidRPr="005D2C9D">
        <w:rPr>
          <w:lang w:val="en-AU"/>
        </w:rPr>
        <w:t xml:space="preserve"> is currently included in Schedule 4 of the Poisons Standard (Health, 202</w:t>
      </w:r>
      <w:r>
        <w:rPr>
          <w:lang w:val="en-AU"/>
        </w:rPr>
        <w:t>5</w:t>
      </w:r>
      <w:r w:rsidRPr="005D2C9D">
        <w:rPr>
          <w:lang w:val="en-AU"/>
        </w:rPr>
        <w:t>). This is considered</w:t>
      </w:r>
      <w:r>
        <w:rPr>
          <w:lang w:val="en-AU"/>
        </w:rPr>
        <w:t xml:space="preserve"> </w:t>
      </w:r>
      <w:r w:rsidRPr="005D2C9D">
        <w:rPr>
          <w:lang w:val="en-AU"/>
        </w:rPr>
        <w:t>appropriate for the proposed use of this veterinary medicine. None of the excipients in the product are listed</w:t>
      </w:r>
      <w:r>
        <w:rPr>
          <w:lang w:val="en-AU"/>
        </w:rPr>
        <w:t xml:space="preserve"> </w:t>
      </w:r>
      <w:r w:rsidRPr="005D2C9D">
        <w:rPr>
          <w:lang w:val="en-AU"/>
        </w:rPr>
        <w:t xml:space="preserve">or require listing in the Standard for the Uniform Scheduling of Medicines and Poisons (SUSMP). As </w:t>
      </w:r>
      <w:proofErr w:type="spellStart"/>
      <w:r w:rsidRPr="00ED5195">
        <w:t>Zenrelia</w:t>
      </w:r>
      <w:proofErr w:type="spellEnd"/>
      <w:r w:rsidRPr="00ED5195">
        <w:t xml:space="preserve"> [4.8 mg, 6.4 mg, 8.5 mg, 15 mg] Tablets for Dogs</w:t>
      </w:r>
      <w:r w:rsidRPr="005D2C9D">
        <w:rPr>
          <w:lang w:val="en-AU"/>
        </w:rPr>
        <w:t xml:space="preserve"> contain a Schedule 4 substance, it will require the signal heading</w:t>
      </w:r>
      <w:r>
        <w:rPr>
          <w:lang w:val="en-AU"/>
        </w:rPr>
        <w:t xml:space="preserve"> </w:t>
      </w:r>
      <w:r w:rsidRPr="005D2C9D">
        <w:rPr>
          <w:lang w:val="en-AU"/>
        </w:rPr>
        <w:t>‘</w:t>
      </w:r>
      <w:r w:rsidRPr="005D2C9D">
        <w:rPr>
          <w:lang w:val="en-AU"/>
        </w:rPr>
        <w:t>PRESCRIPTION ANIMAL REMEDY</w:t>
      </w:r>
      <w:r w:rsidRPr="005D2C9D">
        <w:rPr>
          <w:lang w:val="en-AU"/>
        </w:rPr>
        <w:t>’</w:t>
      </w:r>
      <w:r w:rsidRPr="005D2C9D">
        <w:rPr>
          <w:lang w:val="en-AU"/>
        </w:rPr>
        <w:t>.</w:t>
      </w:r>
    </w:p>
    <w:p w14:paraId="0F6FC975" w14:textId="04258BBE" w:rsidR="002E3D72" w:rsidRDefault="002E3D72" w:rsidP="00EB564D">
      <w:pPr>
        <w:pStyle w:val="GazetteListRomanNumeral"/>
        <w:numPr>
          <w:ilvl w:val="2"/>
          <w:numId w:val="4"/>
        </w:numPr>
        <w:ind w:left="2344" w:hanging="360"/>
      </w:pPr>
      <w:r w:rsidRPr="00ED5195">
        <w:t>The product</w:t>
      </w:r>
      <w:r>
        <w:t xml:space="preserve"> (</w:t>
      </w:r>
      <w:r w:rsidRPr="000D63C4">
        <w:t>fi</w:t>
      </w:r>
      <w:r>
        <w:t>l</w:t>
      </w:r>
      <w:r w:rsidRPr="000D63C4">
        <w:t>m</w:t>
      </w:r>
      <w:r>
        <w:t>-</w:t>
      </w:r>
      <w:r w:rsidRPr="000D63C4">
        <w:t>coated tablet</w:t>
      </w:r>
      <w:r>
        <w:t>)</w:t>
      </w:r>
      <w:r w:rsidRPr="00ED5195">
        <w:t xml:space="preserve"> is intended for </w:t>
      </w:r>
      <w:r>
        <w:t>use by or</w:t>
      </w:r>
      <w:r w:rsidRPr="00ED5195">
        <w:t xml:space="preserve"> under </w:t>
      </w:r>
      <w:r>
        <w:t>the direction of veterinarian. The level of permitted dispensing and relevant disclaimer statement is to appear on the label as the first statement above the claim statement.</w:t>
      </w:r>
    </w:p>
    <w:p w14:paraId="4E903EF5" w14:textId="77777777" w:rsidR="002E3D72" w:rsidRDefault="002E3D72" w:rsidP="00EB564D">
      <w:pPr>
        <w:pStyle w:val="GazetteListRomanNumeral"/>
        <w:numPr>
          <w:ilvl w:val="2"/>
          <w:numId w:val="4"/>
        </w:numPr>
        <w:ind w:left="2344" w:hanging="360"/>
      </w:pPr>
      <w:r w:rsidRPr="000D63C4">
        <w:t xml:space="preserve">The </w:t>
      </w:r>
      <w:r>
        <w:t>individual administering the product</w:t>
      </w:r>
      <w:r w:rsidRPr="000D63C4">
        <w:t xml:space="preserve"> (vet or pet owner) may need to split tablets to </w:t>
      </w:r>
      <w:r>
        <w:t>achieve</w:t>
      </w:r>
      <w:r w:rsidRPr="000D63C4">
        <w:t xml:space="preserve"> the appropriate dosing. The use pattern is likely to be long-term and exposure will be mainly via the dermal route. The occupational exposure and risks </w:t>
      </w:r>
      <w:r>
        <w:t xml:space="preserve">for veterinarians </w:t>
      </w:r>
      <w:r w:rsidRPr="000D63C4">
        <w:t>are not expected to be any greater than the risk for pet owners.</w:t>
      </w:r>
      <w:r>
        <w:t xml:space="preserve"> </w:t>
      </w:r>
      <w:r w:rsidRPr="000D63C4">
        <w:t xml:space="preserve">Exposure via inhalation may occur when scoring/breaking tablets but is expected to be minimal. </w:t>
      </w:r>
      <w:r w:rsidRPr="00A8322E">
        <w:t>Based on the ingredients in the formulation, the product is estimated to have low acute oral, dermal and inhalation toxicity</w:t>
      </w:r>
      <w:r>
        <w:t xml:space="preserve">. </w:t>
      </w:r>
      <w:r w:rsidRPr="00E61FD8">
        <w:t xml:space="preserve">It is not a skin or eye irritant and is estimated to not be a skin sensitiser. PPE is not required to mitigate acute hazards. The repeat exposure risk assessment demonstrated acceptable </w:t>
      </w:r>
      <w:r>
        <w:t>margin of exposure</w:t>
      </w:r>
      <w:r w:rsidRPr="00E61FD8">
        <w:t xml:space="preserve"> from repeat dermal exposure without PPE.</w:t>
      </w:r>
    </w:p>
    <w:p w14:paraId="0ECC125A" w14:textId="77777777" w:rsidR="002E3D72" w:rsidRDefault="002E3D72" w:rsidP="00EB564D">
      <w:pPr>
        <w:pStyle w:val="GazetteListRomanNumeral"/>
        <w:numPr>
          <w:ilvl w:val="2"/>
          <w:numId w:val="4"/>
        </w:numPr>
        <w:ind w:left="2344" w:hanging="360"/>
      </w:pPr>
      <w:r>
        <w:rPr>
          <w:rFonts w:cs="Times New Roman"/>
          <w:szCs w:val="24"/>
        </w:rPr>
        <w:t xml:space="preserve">Accidental ingestion by toddlers/children could occur, with possible pharmacological effects. </w:t>
      </w:r>
      <w:r w:rsidRPr="00E61FD8">
        <w:t>These risks can be mitigated with child-resistant packaging</w:t>
      </w:r>
      <w:r>
        <w:t xml:space="preserve"> </w:t>
      </w:r>
      <w:r w:rsidRPr="00E61FD8">
        <w:t xml:space="preserve">and label directions </w:t>
      </w:r>
      <w:r>
        <w:t>i.e.</w:t>
      </w:r>
      <w:r w:rsidRPr="00E61FD8">
        <w:t xml:space="preserve"> Schedule 4 signal heading </w:t>
      </w:r>
      <w:r w:rsidRPr="00E61FD8">
        <w:t>‘</w:t>
      </w:r>
      <w:r w:rsidRPr="00E61FD8">
        <w:t>Keep out of reach of children</w:t>
      </w:r>
      <w:r w:rsidRPr="00E61FD8">
        <w:t>’</w:t>
      </w:r>
      <w:r w:rsidRPr="00E61FD8">
        <w:t xml:space="preserve">. </w:t>
      </w:r>
      <w:r w:rsidRPr="004475A2">
        <w:t xml:space="preserve">The tablets are packaged in child-resistant blister packaging, </w:t>
      </w:r>
      <w:r>
        <w:t xml:space="preserve">which </w:t>
      </w:r>
      <w:r w:rsidRPr="004475A2">
        <w:t>limit</w:t>
      </w:r>
      <w:r>
        <w:t>s availability</w:t>
      </w:r>
      <w:r w:rsidRPr="004475A2">
        <w:t xml:space="preserve">. </w:t>
      </w:r>
      <w:r w:rsidRPr="00E61FD8">
        <w:t xml:space="preserve">The storage statement also includes the instruction </w:t>
      </w:r>
      <w:r w:rsidRPr="00E61FD8">
        <w:t>‘</w:t>
      </w:r>
      <w:r w:rsidRPr="00E61FD8">
        <w:t>Halved tablets should be placed back in the original opened blister and used within 20 days</w:t>
      </w:r>
      <w:r w:rsidRPr="00E61FD8">
        <w:t>’</w:t>
      </w:r>
      <w:r w:rsidRPr="00E61FD8">
        <w:t>.</w:t>
      </w:r>
    </w:p>
    <w:p w14:paraId="45E8B5E6" w14:textId="65AC0A2E" w:rsidR="002E3D72" w:rsidRDefault="002E3D72" w:rsidP="00EB564D">
      <w:pPr>
        <w:pStyle w:val="GazetteListRomanNumeral"/>
        <w:numPr>
          <w:ilvl w:val="1"/>
          <w:numId w:val="4"/>
        </w:numPr>
        <w:ind w:left="1494"/>
        <w:rPr>
          <w:lang w:val="en-AU"/>
        </w:rPr>
      </w:pPr>
      <w:r w:rsidRPr="00ED5195">
        <w:rPr>
          <w:lang w:val="en-AU"/>
        </w:rPr>
        <w:t xml:space="preserve">To mitigate potential risks, the following signal headings, </w:t>
      </w:r>
      <w:r>
        <w:rPr>
          <w:lang w:val="en-AU"/>
        </w:rPr>
        <w:t>statement of claims (</w:t>
      </w:r>
      <w:r w:rsidRPr="006E3894">
        <w:rPr>
          <w:lang w:val="en-AU"/>
        </w:rPr>
        <w:t>class or level of permitted prescribing</w:t>
      </w:r>
      <w:r>
        <w:rPr>
          <w:lang w:val="en-AU"/>
        </w:rPr>
        <w:t xml:space="preserve">), </w:t>
      </w:r>
      <w:r w:rsidRPr="00ED5195">
        <w:rPr>
          <w:lang w:val="en-AU"/>
        </w:rPr>
        <w:t xml:space="preserve">first aid instructions, </w:t>
      </w:r>
      <w:r>
        <w:rPr>
          <w:lang w:val="en-AU"/>
        </w:rPr>
        <w:t xml:space="preserve">and </w:t>
      </w:r>
      <w:r w:rsidRPr="00ED5195">
        <w:rPr>
          <w:lang w:val="en-AU"/>
        </w:rPr>
        <w:t>safety directions statements are to appear on the product label</w:t>
      </w:r>
      <w:r>
        <w:rPr>
          <w:lang w:val="en-AU"/>
        </w:rPr>
        <w:t>s</w:t>
      </w:r>
      <w:r w:rsidRPr="00ED5195">
        <w:rPr>
          <w:lang w:val="en-AU"/>
        </w:rPr>
        <w:t>:</w:t>
      </w:r>
    </w:p>
    <w:p w14:paraId="0B972308" w14:textId="5F503C41" w:rsidR="002E3D72" w:rsidRPr="00284018" w:rsidRDefault="002E3D72" w:rsidP="00EB564D">
      <w:pPr>
        <w:pStyle w:val="GazetteListRomanNumeral"/>
        <w:numPr>
          <w:ilvl w:val="0"/>
          <w:numId w:val="0"/>
        </w:numPr>
        <w:ind w:left="1474"/>
        <w:rPr>
          <w:b/>
          <w:bCs/>
          <w:lang w:val="en-AU"/>
        </w:rPr>
      </w:pPr>
      <w:r w:rsidRPr="00284018">
        <w:rPr>
          <w:b/>
          <w:bCs/>
          <w:lang w:val="en-AU"/>
        </w:rPr>
        <w:t>Signal Heading</w:t>
      </w:r>
    </w:p>
    <w:p w14:paraId="4027A1A7" w14:textId="77777777" w:rsidR="002E3D72" w:rsidRDefault="002E3D72" w:rsidP="00EB564D">
      <w:pPr>
        <w:pStyle w:val="GazetteListRomanNumeral"/>
        <w:numPr>
          <w:ilvl w:val="0"/>
          <w:numId w:val="0"/>
        </w:numPr>
        <w:ind w:left="1474"/>
        <w:rPr>
          <w:lang w:val="en-AU"/>
        </w:rPr>
      </w:pPr>
      <w:r w:rsidRPr="00ED5195">
        <w:rPr>
          <w:lang w:val="en-AU"/>
        </w:rPr>
        <w:t xml:space="preserve">PRESCRIPTION ANIMAL REMEDY </w:t>
      </w:r>
    </w:p>
    <w:p w14:paraId="4B7162E7" w14:textId="77777777" w:rsidR="002E3D72" w:rsidRDefault="002E3D72" w:rsidP="00EB564D">
      <w:pPr>
        <w:pStyle w:val="GazetteListRomanNumeral"/>
        <w:numPr>
          <w:ilvl w:val="0"/>
          <w:numId w:val="0"/>
        </w:numPr>
        <w:ind w:left="1474"/>
        <w:rPr>
          <w:lang w:val="en-AU"/>
        </w:rPr>
      </w:pPr>
      <w:r w:rsidRPr="00ED5195">
        <w:rPr>
          <w:lang w:val="en-AU"/>
        </w:rPr>
        <w:t xml:space="preserve">KEEP OUT OF REACH OF CHILDREN </w:t>
      </w:r>
    </w:p>
    <w:p w14:paraId="57EC0C96" w14:textId="77777777" w:rsidR="002E3D72" w:rsidRDefault="002E3D72" w:rsidP="00EB564D">
      <w:pPr>
        <w:pStyle w:val="GazetteListRomanNumeral"/>
        <w:numPr>
          <w:ilvl w:val="0"/>
          <w:numId w:val="0"/>
        </w:numPr>
        <w:ind w:left="1474"/>
        <w:rPr>
          <w:lang w:val="en-AU"/>
        </w:rPr>
      </w:pPr>
      <w:r w:rsidRPr="00ED5195">
        <w:rPr>
          <w:lang w:val="en-AU"/>
        </w:rPr>
        <w:t xml:space="preserve">FOR ANIMAL TREATMENT ONLY </w:t>
      </w:r>
    </w:p>
    <w:p w14:paraId="15ABBA13" w14:textId="77777777" w:rsidR="002E3D72" w:rsidRDefault="002E3D72" w:rsidP="00EB564D">
      <w:pPr>
        <w:pStyle w:val="GazetteListRomanNumeral"/>
        <w:numPr>
          <w:ilvl w:val="0"/>
          <w:numId w:val="0"/>
        </w:numPr>
        <w:ind w:left="1474"/>
        <w:rPr>
          <w:lang w:val="en-AU"/>
        </w:rPr>
      </w:pPr>
      <w:r w:rsidRPr="00ED5195">
        <w:rPr>
          <w:lang w:val="en-AU"/>
        </w:rPr>
        <w:t>READ SAFETY DIRECTIONS</w:t>
      </w:r>
    </w:p>
    <w:p w14:paraId="07D7361E" w14:textId="77777777" w:rsidR="00C26181" w:rsidRDefault="00C26181" w:rsidP="00EB564D">
      <w:pPr>
        <w:pStyle w:val="GazetteListRomanNumeral"/>
        <w:numPr>
          <w:ilvl w:val="0"/>
          <w:numId w:val="0"/>
        </w:numPr>
        <w:ind w:left="1474"/>
        <w:rPr>
          <w:b/>
          <w:bCs/>
          <w:lang w:val="en-AU"/>
        </w:rPr>
      </w:pPr>
    </w:p>
    <w:p w14:paraId="780E2DBC" w14:textId="4D77CBEE" w:rsidR="002E3D72" w:rsidRPr="000D63C4" w:rsidRDefault="002E3D72" w:rsidP="00EB564D">
      <w:pPr>
        <w:pStyle w:val="GazetteListRomanNumeral"/>
        <w:numPr>
          <w:ilvl w:val="0"/>
          <w:numId w:val="0"/>
        </w:numPr>
        <w:ind w:left="1474"/>
        <w:rPr>
          <w:b/>
          <w:bCs/>
          <w:lang w:val="en-AU"/>
        </w:rPr>
      </w:pPr>
      <w:r w:rsidRPr="000D63C4">
        <w:rPr>
          <w:b/>
          <w:bCs/>
          <w:lang w:val="en-AU"/>
        </w:rPr>
        <w:lastRenderedPageBreak/>
        <w:t>Claims</w:t>
      </w:r>
    </w:p>
    <w:p w14:paraId="52FD8666" w14:textId="77777777" w:rsidR="002E3D72" w:rsidRDefault="002E3D72" w:rsidP="00EB564D">
      <w:pPr>
        <w:pStyle w:val="GazetteListRomanNumeral"/>
        <w:numPr>
          <w:ilvl w:val="0"/>
          <w:numId w:val="0"/>
        </w:numPr>
        <w:ind w:left="1474"/>
        <w:rPr>
          <w:lang w:val="en-AU"/>
        </w:rPr>
      </w:pPr>
      <w:r w:rsidRPr="002A5DE6">
        <w:rPr>
          <w:lang w:val="en-AU"/>
        </w:rPr>
        <w:t>For use by</w:t>
      </w:r>
      <w:r>
        <w:rPr>
          <w:lang w:val="en-AU"/>
        </w:rPr>
        <w:t>,</w:t>
      </w:r>
      <w:r w:rsidRPr="002A5DE6">
        <w:rPr>
          <w:lang w:val="en-AU"/>
        </w:rPr>
        <w:t xml:space="preserve"> or under direction of</w:t>
      </w:r>
      <w:r>
        <w:rPr>
          <w:lang w:val="en-AU"/>
        </w:rPr>
        <w:t>,</w:t>
      </w:r>
      <w:r w:rsidRPr="002A5DE6">
        <w:rPr>
          <w:lang w:val="en-AU"/>
        </w:rPr>
        <w:t xml:space="preserve"> a veterinarian.</w:t>
      </w:r>
    </w:p>
    <w:p w14:paraId="6319CFB1" w14:textId="77777777" w:rsidR="002E3D72" w:rsidRDefault="002E3D72" w:rsidP="00EB564D">
      <w:pPr>
        <w:pStyle w:val="GazetteListRomanNumeral"/>
        <w:numPr>
          <w:ilvl w:val="0"/>
          <w:numId w:val="0"/>
        </w:numPr>
        <w:ind w:left="1474"/>
        <w:rPr>
          <w:b/>
          <w:bCs/>
          <w:lang w:val="en-AU"/>
        </w:rPr>
      </w:pPr>
      <w:r>
        <w:rPr>
          <w:b/>
          <w:bCs/>
          <w:lang w:val="en-AU"/>
        </w:rPr>
        <w:t>Dosage and administration</w:t>
      </w:r>
    </w:p>
    <w:p w14:paraId="7041B4EE" w14:textId="78E13E47" w:rsidR="002E3D72" w:rsidRDefault="002E3D72" w:rsidP="00EB564D">
      <w:pPr>
        <w:pStyle w:val="GazetteListRomanNumeral"/>
        <w:numPr>
          <w:ilvl w:val="0"/>
          <w:numId w:val="0"/>
        </w:numPr>
        <w:ind w:left="1474"/>
        <w:rPr>
          <w:b/>
          <w:bCs/>
          <w:lang w:val="en-AU"/>
        </w:rPr>
      </w:pPr>
      <w:r w:rsidRPr="00E61FD8">
        <w:t>Halved tablets should be placed back in the original opened blister and used within 20 days</w:t>
      </w:r>
      <w:r>
        <w:t>.</w:t>
      </w:r>
    </w:p>
    <w:p w14:paraId="23C7036D" w14:textId="2AB61052" w:rsidR="002E3D72" w:rsidRPr="00284018" w:rsidRDefault="002E3D72" w:rsidP="00EB564D">
      <w:pPr>
        <w:pStyle w:val="GazetteListRomanNumeral"/>
        <w:numPr>
          <w:ilvl w:val="0"/>
          <w:numId w:val="0"/>
        </w:numPr>
        <w:ind w:left="1474"/>
        <w:rPr>
          <w:b/>
          <w:bCs/>
          <w:lang w:val="en-AU"/>
        </w:rPr>
      </w:pPr>
      <w:r w:rsidRPr="00284018">
        <w:rPr>
          <w:b/>
          <w:bCs/>
          <w:lang w:val="en-AU"/>
        </w:rPr>
        <w:t>First aid instructions</w:t>
      </w:r>
    </w:p>
    <w:p w14:paraId="24DB34E8" w14:textId="3EEB2DB1" w:rsidR="002E3D72" w:rsidRDefault="002E3D72" w:rsidP="00EB564D">
      <w:pPr>
        <w:pStyle w:val="GazetteListRomanNumeral"/>
        <w:numPr>
          <w:ilvl w:val="0"/>
          <w:numId w:val="0"/>
        </w:numPr>
        <w:ind w:left="1474"/>
        <w:rPr>
          <w:lang w:val="en-AU"/>
        </w:rPr>
      </w:pPr>
      <w:r w:rsidRPr="00ED5195">
        <w:rPr>
          <w:lang w:val="en-AU"/>
        </w:rPr>
        <w:t>If poisoning occurs, contact a doctor or Poisons Information Centre. Phone Australia 13 11 26.</w:t>
      </w:r>
    </w:p>
    <w:p w14:paraId="088966A0" w14:textId="5EF659DB" w:rsidR="002E3D72" w:rsidRPr="00284018" w:rsidRDefault="002E3D72" w:rsidP="00EB564D">
      <w:pPr>
        <w:pStyle w:val="GazetteListRomanNumeral"/>
        <w:numPr>
          <w:ilvl w:val="0"/>
          <w:numId w:val="0"/>
        </w:numPr>
        <w:ind w:left="1474"/>
        <w:rPr>
          <w:b/>
          <w:bCs/>
          <w:lang w:val="en-AU"/>
        </w:rPr>
      </w:pPr>
      <w:r w:rsidRPr="00284018">
        <w:rPr>
          <w:b/>
          <w:bCs/>
          <w:lang w:val="en-AU"/>
        </w:rPr>
        <w:t>Safety directions</w:t>
      </w:r>
    </w:p>
    <w:p w14:paraId="1A32C066" w14:textId="77777777" w:rsidR="002E3D72" w:rsidRPr="002A5DE6" w:rsidRDefault="002E3D72" w:rsidP="00EB564D">
      <w:pPr>
        <w:pStyle w:val="GazetteListRomanNumeral"/>
        <w:numPr>
          <w:ilvl w:val="0"/>
          <w:numId w:val="0"/>
        </w:numPr>
        <w:ind w:left="1474"/>
        <w:rPr>
          <w:lang w:val="en-AU"/>
        </w:rPr>
      </w:pPr>
      <w:r w:rsidRPr="00ED5195">
        <w:rPr>
          <w:lang w:val="en-AU"/>
        </w:rPr>
        <w:t>Wash hands after use.</w:t>
      </w:r>
    </w:p>
    <w:p w14:paraId="280BCC58" w14:textId="77777777" w:rsidR="002E3D72" w:rsidRPr="005D2C9D" w:rsidRDefault="002E3D72" w:rsidP="00EB564D">
      <w:pPr>
        <w:pStyle w:val="GazetteListRomanNumeral"/>
        <w:numPr>
          <w:ilvl w:val="1"/>
          <w:numId w:val="4"/>
        </w:numPr>
        <w:ind w:left="1494"/>
      </w:pPr>
      <w:r>
        <w:t xml:space="preserve">After consideration of the toxicological profile and likely human exposure associated with the use of </w:t>
      </w:r>
      <w:proofErr w:type="spellStart"/>
      <w:r w:rsidRPr="00ED5195">
        <w:t>Zenrelia</w:t>
      </w:r>
      <w:proofErr w:type="spellEnd"/>
      <w:r w:rsidRPr="00ED5195">
        <w:t xml:space="preserve"> [4.8 mg, 6.4 mg, 8.5 mg, 15 mg] Tablets for Dogs</w:t>
      </w:r>
      <w:r>
        <w:t xml:space="preserve">, the APVMA concludes that the human health risks are acceptable and the safety criteria of section 5A of the </w:t>
      </w:r>
      <w:proofErr w:type="spellStart"/>
      <w:r>
        <w:t>Agvet</w:t>
      </w:r>
      <w:proofErr w:type="spellEnd"/>
      <w:r>
        <w:t xml:space="preserve"> Code </w:t>
      </w:r>
      <w:r w:rsidRPr="002A5DE6">
        <w:t>are met when used in accordance with the directions for use (DFU) and adhering to the recommended safety directions.</w:t>
      </w:r>
    </w:p>
    <w:p w14:paraId="67AB03CA" w14:textId="77777777" w:rsidR="002E3D72" w:rsidRDefault="002E3D72" w:rsidP="00EB564D">
      <w:pPr>
        <w:pStyle w:val="GazetteListRomanNumeral"/>
        <w:tabs>
          <w:tab w:val="clear" w:pos="720"/>
          <w:tab w:val="left" w:pos="993"/>
        </w:tabs>
        <w:ind w:left="927" w:hanging="360"/>
      </w:pPr>
      <w:r>
        <w:t>The APVMA is</w:t>
      </w:r>
      <w:r w:rsidRPr="00485188">
        <w:t xml:space="preserve"> satisfied</w:t>
      </w:r>
      <w:r>
        <w:t xml:space="preserve"> that the proposed use of </w:t>
      </w:r>
      <w:proofErr w:type="spellStart"/>
      <w:r w:rsidRPr="00ED5195">
        <w:t>Zenrelia</w:t>
      </w:r>
      <w:proofErr w:type="spellEnd"/>
      <w:r w:rsidRPr="00ED5195">
        <w:t xml:space="preserve"> [4.8 mg, 6.4 mg, 8.5 mg, 15 mg] Tablets for Dogs</w:t>
      </w:r>
      <w:r>
        <w:t xml:space="preserve"> will not be an undue hazard to the safety of people using anything containing its </w:t>
      </w:r>
      <w:r w:rsidRPr="005D2C9D">
        <w:rPr>
          <w:b/>
          <w:bCs/>
        </w:rPr>
        <w:t>residues.</w:t>
      </w:r>
    </w:p>
    <w:p w14:paraId="26BD4296" w14:textId="77777777" w:rsidR="002E3D72" w:rsidRDefault="002E3D72" w:rsidP="00EB564D">
      <w:pPr>
        <w:pStyle w:val="GazetteListRomanNumeral"/>
        <w:numPr>
          <w:ilvl w:val="1"/>
          <w:numId w:val="4"/>
        </w:numPr>
        <w:ind w:left="1494"/>
      </w:pPr>
      <w:r w:rsidRPr="005D2C9D">
        <w:rPr>
          <w:lang w:val="en-AU"/>
        </w:rPr>
        <w:t xml:space="preserve">The product is for use in companion animals (dogs) only. </w:t>
      </w:r>
      <w:proofErr w:type="spellStart"/>
      <w:r w:rsidRPr="00ED5195">
        <w:t>Zenrelia</w:t>
      </w:r>
      <w:proofErr w:type="spellEnd"/>
      <w:r w:rsidRPr="00ED5195">
        <w:t xml:space="preserve"> [4.8 mg, 6.4 mg, 8.5 mg, 15 mg] Tablets for Dogs</w:t>
      </w:r>
      <w:r w:rsidRPr="005D2C9D">
        <w:rPr>
          <w:lang w:val="en-AU"/>
        </w:rPr>
        <w:t xml:space="preserve"> </w:t>
      </w:r>
      <w:r>
        <w:rPr>
          <w:lang w:val="en-AU"/>
        </w:rPr>
        <w:t>are</w:t>
      </w:r>
      <w:r w:rsidRPr="005D2C9D">
        <w:rPr>
          <w:lang w:val="en-AU"/>
        </w:rPr>
        <w:t xml:space="preserve"> therefore, unlikely to enter the food chain.</w:t>
      </w:r>
    </w:p>
    <w:p w14:paraId="45B0450A" w14:textId="4EFAC04A" w:rsidR="002E3D72" w:rsidRDefault="002E3D72" w:rsidP="00EB564D">
      <w:pPr>
        <w:pStyle w:val="GazetteListRomanNumeral"/>
        <w:ind w:left="927" w:hanging="360"/>
      </w:pPr>
      <w:r>
        <w:t xml:space="preserve">The APVMA is </w:t>
      </w:r>
      <w:r w:rsidRPr="00485188">
        <w:t>satisfied</w:t>
      </w:r>
      <w:r>
        <w:t xml:space="preserve"> that the proposed use of </w:t>
      </w:r>
      <w:proofErr w:type="spellStart"/>
      <w:r w:rsidRPr="00ED5195">
        <w:t>Zenrelia</w:t>
      </w:r>
      <w:proofErr w:type="spellEnd"/>
      <w:r w:rsidRPr="00ED5195">
        <w:t xml:space="preserve"> [4.8 mg, 6.4 mg, 8.5 mg, 15 mg] Tablets</w:t>
      </w:r>
      <w:r>
        <w:t xml:space="preserve"> </w:t>
      </w:r>
      <w:r w:rsidRPr="00ED5195">
        <w:t>for Dogs</w:t>
      </w:r>
      <w:r>
        <w:t xml:space="preserve"> is not likely to have an unintended effect that is harmful to the </w:t>
      </w:r>
      <w:r w:rsidRPr="005D2C9D">
        <w:rPr>
          <w:b/>
          <w:bCs/>
        </w:rPr>
        <w:t>environment</w:t>
      </w:r>
      <w:r>
        <w:t xml:space="preserve"> if used according to the product label directions.</w:t>
      </w:r>
    </w:p>
    <w:p w14:paraId="16557497" w14:textId="77777777" w:rsidR="002E3D72" w:rsidRDefault="002E3D72" w:rsidP="00EB564D">
      <w:pPr>
        <w:pStyle w:val="GazetteListRomanNumeral"/>
        <w:numPr>
          <w:ilvl w:val="1"/>
          <w:numId w:val="4"/>
        </w:numPr>
        <w:ind w:left="1494"/>
      </w:pPr>
      <w:r>
        <w:t xml:space="preserve">Environmental risks of </w:t>
      </w:r>
      <w:proofErr w:type="spellStart"/>
      <w:r w:rsidRPr="00ED5195">
        <w:t>Zenrelia</w:t>
      </w:r>
      <w:proofErr w:type="spellEnd"/>
      <w:r w:rsidRPr="00ED5195">
        <w:t xml:space="preserve"> [4.8 mg, 6.4 mg, 8.5 mg, 15 mg] Tablets</w:t>
      </w:r>
      <w:r w:rsidRPr="006E3894">
        <w:t xml:space="preserve"> </w:t>
      </w:r>
      <w:r w:rsidRPr="00ED5195">
        <w:t>for Dogs</w:t>
      </w:r>
      <w:r>
        <w:t xml:space="preserve"> (containing </w:t>
      </w:r>
      <w:proofErr w:type="spellStart"/>
      <w:r w:rsidRPr="005A2681">
        <w:t>ilunocitinib</w:t>
      </w:r>
      <w:proofErr w:type="spellEnd"/>
      <w:r>
        <w:t xml:space="preserve"> [15 mg, 8.5 mg, 6.4 mg or 4.8mg per tablet) were assessed according to the VICH Phase I decision tree. The assessment determined that the amount of </w:t>
      </w:r>
      <w:proofErr w:type="spellStart"/>
      <w:r w:rsidRPr="005A2681">
        <w:t>ilunocitinib</w:t>
      </w:r>
      <w:proofErr w:type="spellEnd"/>
      <w:r>
        <w:t xml:space="preserve"> introduced to the environment is expected to be negligible based on its uses in non-food animals (dogs). Therefore, the assessment stopped in VICH phase I and no further assessment was required.</w:t>
      </w:r>
    </w:p>
    <w:p w14:paraId="6766842B" w14:textId="77777777" w:rsidR="002E3D72" w:rsidRDefault="002E3D72" w:rsidP="00EB564D">
      <w:pPr>
        <w:pStyle w:val="GazetteListRomanNumeral"/>
        <w:numPr>
          <w:ilvl w:val="1"/>
          <w:numId w:val="4"/>
        </w:numPr>
        <w:ind w:left="1494"/>
      </w:pPr>
      <w:r>
        <w:t>The following mitigation/labelling statement is recommended, based on the outcome of the risk assessment and general labelling requirements:</w:t>
      </w:r>
    </w:p>
    <w:p w14:paraId="62E9521E" w14:textId="77777777" w:rsidR="002E3D72" w:rsidRPr="005D2C9D" w:rsidRDefault="002E3D72" w:rsidP="00EB564D">
      <w:pPr>
        <w:pStyle w:val="GazetteListRomanNumeral"/>
        <w:numPr>
          <w:ilvl w:val="0"/>
          <w:numId w:val="0"/>
        </w:numPr>
        <w:ind w:left="1474"/>
        <w:rPr>
          <w:b/>
          <w:bCs/>
        </w:rPr>
      </w:pPr>
      <w:r w:rsidRPr="005D2C9D">
        <w:rPr>
          <w:b/>
          <w:bCs/>
        </w:rPr>
        <w:t>Disposal</w:t>
      </w:r>
    </w:p>
    <w:p w14:paraId="2C002357" w14:textId="77777777" w:rsidR="002E3D72" w:rsidRDefault="002E3D72" w:rsidP="00EB564D">
      <w:pPr>
        <w:pStyle w:val="GazetteListRomanNumeral"/>
        <w:numPr>
          <w:ilvl w:val="0"/>
          <w:numId w:val="0"/>
        </w:numPr>
        <w:ind w:left="1474"/>
      </w:pPr>
      <w:r>
        <w:t>Dispose of container by wrapping with paper and putting in garbage. Alternatively, empty blister packs can be recycled through an appropriate blister recycling program</w:t>
      </w:r>
    </w:p>
    <w:p w14:paraId="1C587D4D" w14:textId="6F385930" w:rsidR="002E3D72" w:rsidRPr="006E3894" w:rsidRDefault="002E3D72" w:rsidP="00EB564D">
      <w:pPr>
        <w:pStyle w:val="GazetteListRomanNumeral"/>
        <w:ind w:left="927" w:hanging="360"/>
      </w:pPr>
      <w:r w:rsidRPr="005D2C9D">
        <w:rPr>
          <w:lang w:val="en-AU"/>
        </w:rPr>
        <w:t xml:space="preserve">The APVMA is satisfied that the proposed use of </w:t>
      </w:r>
      <w:proofErr w:type="spellStart"/>
      <w:r w:rsidRPr="00ED5195">
        <w:t>Zenrelia</w:t>
      </w:r>
      <w:proofErr w:type="spellEnd"/>
      <w:r w:rsidRPr="00ED5195">
        <w:t xml:space="preserve"> [4.8 mg, 6.4 mg, 8.5 mg, 15 mg] Tablets</w:t>
      </w:r>
      <w:r w:rsidRPr="005D2C9D">
        <w:rPr>
          <w:lang w:val="en-AU"/>
        </w:rPr>
        <w:t xml:space="preserve"> </w:t>
      </w:r>
      <w:r w:rsidRPr="00ED5195">
        <w:t>for Dogs</w:t>
      </w:r>
      <w:r w:rsidRPr="005D2C9D">
        <w:rPr>
          <w:lang w:val="en-AU"/>
        </w:rPr>
        <w:t xml:space="preserve"> containing the active constituent </w:t>
      </w:r>
      <w:proofErr w:type="spellStart"/>
      <w:r w:rsidRPr="005A2681">
        <w:t>ilunocitinib</w:t>
      </w:r>
      <w:proofErr w:type="spellEnd"/>
      <w:r w:rsidRPr="005D2C9D">
        <w:rPr>
          <w:lang w:val="en-AU"/>
        </w:rPr>
        <w:t xml:space="preserve"> would not be </w:t>
      </w:r>
      <w:r w:rsidRPr="00711A37">
        <w:rPr>
          <w:lang w:val="en-AU"/>
        </w:rPr>
        <w:t xml:space="preserve">likely to have an unintended effect that is harmful to </w:t>
      </w:r>
      <w:r w:rsidRPr="00711A37">
        <w:rPr>
          <w:b/>
          <w:bCs/>
          <w:lang w:val="en-AU"/>
        </w:rPr>
        <w:t>animals</w:t>
      </w:r>
      <w:r>
        <w:rPr>
          <w:b/>
          <w:bCs/>
          <w:lang w:val="en-AU"/>
        </w:rPr>
        <w:t xml:space="preserve"> (dogs)</w:t>
      </w:r>
      <w:r w:rsidRPr="00711A37">
        <w:rPr>
          <w:lang w:val="en-AU"/>
        </w:rPr>
        <w:t xml:space="preserve"> </w:t>
      </w:r>
      <w:r w:rsidRPr="005D2C9D">
        <w:rPr>
          <w:lang w:val="en-AU"/>
        </w:rPr>
        <w:t>if used according to the product label directions</w:t>
      </w:r>
      <w:r>
        <w:rPr>
          <w:lang w:val="en-AU"/>
        </w:rPr>
        <w:t>.</w:t>
      </w:r>
    </w:p>
    <w:p w14:paraId="09CBAB66" w14:textId="43F0B19E" w:rsidR="002E3D72" w:rsidRDefault="002E3D72" w:rsidP="00EB564D">
      <w:pPr>
        <w:pStyle w:val="GazetteListRomanNumeral"/>
        <w:numPr>
          <w:ilvl w:val="1"/>
          <w:numId w:val="4"/>
        </w:numPr>
        <w:ind w:left="1494"/>
      </w:pPr>
      <w:r>
        <w:t xml:space="preserve">Three efficacy &amp; target animal (TAS) field studies were conducted in privately-owned dogs in which the proposed product was administered at the proposed dose </w:t>
      </w:r>
      <w:r w:rsidRPr="00EA63FF">
        <w:t xml:space="preserve">0.6 to 0.8 mg </w:t>
      </w:r>
      <w:proofErr w:type="spellStart"/>
      <w:r w:rsidRPr="00EA63FF">
        <w:t>ilunocitinib</w:t>
      </w:r>
      <w:proofErr w:type="spellEnd"/>
      <w:r w:rsidRPr="00EA63FF">
        <w:t>/kg body weight</w:t>
      </w:r>
      <w:r>
        <w:t xml:space="preserve"> once per day. In addition, </w:t>
      </w:r>
      <w:r w:rsidRPr="006E3894">
        <w:rPr>
          <w:lang w:val="en-AU"/>
        </w:rPr>
        <w:t xml:space="preserve">TAS was investigated in </w:t>
      </w:r>
      <w:r>
        <w:t xml:space="preserve">two pivotal Margin of safety studies, one using the </w:t>
      </w:r>
      <w:proofErr w:type="spellStart"/>
      <w:r>
        <w:t>Zenrelia</w:t>
      </w:r>
      <w:proofErr w:type="spellEnd"/>
      <w:r>
        <w:t xml:space="preserve"> tablet product (</w:t>
      </w:r>
      <w:r w:rsidRPr="005650BC">
        <w:rPr>
          <w:lang w:val="en-AU"/>
        </w:rPr>
        <w:t>Investigational Veterinary Product (IVP)</w:t>
      </w:r>
      <w:r>
        <w:t xml:space="preserve">) and second study </w:t>
      </w:r>
      <w:r w:rsidRPr="00F128C5">
        <w:t>us</w:t>
      </w:r>
      <w:r>
        <w:t>ing</w:t>
      </w:r>
      <w:r w:rsidRPr="00F128C5">
        <w:t xml:space="preserve"> 2.4, 3.6, 5.4, and 16 mg</w:t>
      </w:r>
      <w:r>
        <w:t xml:space="preserve"> </w:t>
      </w:r>
      <w:proofErr w:type="spellStart"/>
      <w:r w:rsidRPr="00EA63FF">
        <w:t>ilunocitinib</w:t>
      </w:r>
      <w:proofErr w:type="spellEnd"/>
      <w:r>
        <w:t xml:space="preserve"> tablet strengths</w:t>
      </w:r>
      <w:r w:rsidRPr="00F128C5">
        <w:t xml:space="preserve"> </w:t>
      </w:r>
      <w:r>
        <w:t xml:space="preserve">(dose rate up to 4.0 mg/kg </w:t>
      </w:r>
      <w:r w:rsidRPr="005650BC">
        <w:t xml:space="preserve">per </w:t>
      </w:r>
      <w:proofErr w:type="spellStart"/>
      <w:r w:rsidRPr="005650BC">
        <w:t>os</w:t>
      </w:r>
      <w:proofErr w:type="spellEnd"/>
      <w:r w:rsidRPr="005650BC">
        <w:t xml:space="preserve"> </w:t>
      </w:r>
      <w:r>
        <w:t>(PO) and/or duration of treatment up to 6 months).</w:t>
      </w:r>
    </w:p>
    <w:p w14:paraId="657B12E9" w14:textId="77777777" w:rsidR="002E3D72" w:rsidRDefault="002E3D72" w:rsidP="00EB564D">
      <w:pPr>
        <w:pStyle w:val="GazetteListRomanNumeral"/>
        <w:numPr>
          <w:ilvl w:val="1"/>
          <w:numId w:val="4"/>
        </w:numPr>
        <w:ind w:left="1494"/>
      </w:pPr>
      <w:r>
        <w:t>Based on the Margin of Safety Studies (at 0, 1X, 2X, 3X and 5X the maximum recommended dose of 0.8 mg/kg) (8 per group) for 6 months showed dose-dependent changes as follows:</w:t>
      </w:r>
    </w:p>
    <w:p w14:paraId="3D9170F3" w14:textId="77777777" w:rsidR="002E3D72" w:rsidRDefault="002E3D72" w:rsidP="00EB564D">
      <w:pPr>
        <w:pStyle w:val="GazetteListRomanNumeral"/>
        <w:numPr>
          <w:ilvl w:val="2"/>
          <w:numId w:val="31"/>
        </w:numPr>
        <w:ind w:left="2061"/>
      </w:pPr>
      <w:r>
        <w:lastRenderedPageBreak/>
        <w:t>Increase in the frequency and severity of interdigital furunculosis (cysts), with or without discharge on one or more paws;</w:t>
      </w:r>
    </w:p>
    <w:p w14:paraId="0FA7013B" w14:textId="77777777" w:rsidR="002E3D72" w:rsidRDefault="002E3D72" w:rsidP="00EB564D">
      <w:pPr>
        <w:pStyle w:val="GazetteListRomanNumeral"/>
        <w:numPr>
          <w:ilvl w:val="2"/>
          <w:numId w:val="31"/>
        </w:numPr>
        <w:ind w:left="2061"/>
      </w:pPr>
      <w:r>
        <w:t>Increased paw skin thickening and/or discolouration with swelling and/or scabbing; and</w:t>
      </w:r>
    </w:p>
    <w:p w14:paraId="14E6FDF1" w14:textId="77777777" w:rsidR="002E3D72" w:rsidRDefault="002E3D72" w:rsidP="00EB564D">
      <w:pPr>
        <w:pStyle w:val="GazetteListRomanNumeral"/>
        <w:numPr>
          <w:ilvl w:val="2"/>
          <w:numId w:val="31"/>
        </w:numPr>
        <w:ind w:left="2061"/>
      </w:pPr>
      <w:r>
        <w:t>Minimal to moderate decrease in haematocrit (HCT), haemoglobin (HGB), and red blood cell (RBC) count without a corresponding increase in absolute reticulocyte count.</w:t>
      </w:r>
    </w:p>
    <w:p w14:paraId="7CA8C14B" w14:textId="77777777" w:rsidR="002E3D72" w:rsidRDefault="002E3D72" w:rsidP="00EB564D">
      <w:pPr>
        <w:pStyle w:val="GazetteListRomanNumeral"/>
        <w:numPr>
          <w:ilvl w:val="0"/>
          <w:numId w:val="0"/>
        </w:numPr>
        <w:ind w:left="1701"/>
      </w:pPr>
      <w:r>
        <w:t>Other findings at overdose levels included:</w:t>
      </w:r>
    </w:p>
    <w:p w14:paraId="710C43AB" w14:textId="77777777" w:rsidR="002E3D72" w:rsidRDefault="002E3D72" w:rsidP="00EB564D">
      <w:pPr>
        <w:pStyle w:val="GazetteListRomanNumeral"/>
        <w:numPr>
          <w:ilvl w:val="2"/>
          <w:numId w:val="31"/>
        </w:numPr>
        <w:ind w:left="2061"/>
      </w:pPr>
      <w:r>
        <w:t>A minimal to mild decrease in mean corpuscular haemoglobin (MCH), mean corpuscular haemoglobin concentrations (MCHC), and eosinophil counts;</w:t>
      </w:r>
    </w:p>
    <w:p w14:paraId="7E8CE6D6" w14:textId="77777777" w:rsidR="002E3D72" w:rsidRDefault="002E3D72" w:rsidP="00EB564D">
      <w:pPr>
        <w:pStyle w:val="GazetteListRomanNumeral"/>
        <w:numPr>
          <w:ilvl w:val="2"/>
          <w:numId w:val="31"/>
        </w:numPr>
        <w:ind w:left="2061"/>
      </w:pPr>
      <w:r>
        <w:t>Macro- and microscopic pathology changes of decreased prostate gland weights (in the 5x group males);</w:t>
      </w:r>
    </w:p>
    <w:p w14:paraId="7E809959" w14:textId="77777777" w:rsidR="002E3D72" w:rsidRDefault="002E3D72" w:rsidP="00EB564D">
      <w:pPr>
        <w:pStyle w:val="GazetteListRomanNumeral"/>
        <w:numPr>
          <w:ilvl w:val="2"/>
          <w:numId w:val="31"/>
        </w:numPr>
        <w:ind w:left="2061"/>
      </w:pPr>
      <w:r>
        <w:t xml:space="preserve">Interdigital </w:t>
      </w:r>
      <w:proofErr w:type="spellStart"/>
      <w:r>
        <w:t>papillomas</w:t>
      </w:r>
      <w:proofErr w:type="spellEnd"/>
      <w:r>
        <w:t xml:space="preserve"> and/or dermatitis/furunculosis, predominantly in the 5X group;</w:t>
      </w:r>
    </w:p>
    <w:p w14:paraId="2687E40B" w14:textId="77777777" w:rsidR="002E3D72" w:rsidRDefault="002E3D72" w:rsidP="00EB564D">
      <w:pPr>
        <w:pStyle w:val="GazetteListRomanNumeral"/>
        <w:numPr>
          <w:ilvl w:val="2"/>
          <w:numId w:val="31"/>
        </w:numPr>
        <w:ind w:left="2061"/>
      </w:pPr>
      <w:r>
        <w:t xml:space="preserve">Minimally lower </w:t>
      </w:r>
      <w:proofErr w:type="spellStart"/>
      <w:r>
        <w:t>myeloid:erythroid</w:t>
      </w:r>
      <w:proofErr w:type="spellEnd"/>
      <w:r>
        <w:t xml:space="preserve"> ratios consistent with a physiological bone marrow response to the lower red blood cell mass despite no apparent effect on absolute reticulocytes (5X group);</w:t>
      </w:r>
    </w:p>
    <w:p w14:paraId="46444573" w14:textId="77777777" w:rsidR="002E3D72" w:rsidRDefault="002E3D72" w:rsidP="00EB564D">
      <w:pPr>
        <w:pStyle w:val="GazetteListRomanNumeral"/>
        <w:numPr>
          <w:ilvl w:val="2"/>
          <w:numId w:val="31"/>
        </w:numPr>
        <w:ind w:left="2061"/>
      </w:pPr>
      <w:r>
        <w:t>Abnormal clinical pathology observations (considered secondary to the interdigital furunculosis), which included minimal to moderate increases in fibrinogen concentrations, total protein, C-reactive protein, and globulin, and decreases in albumin, albumin/globulin ratio and calcium levels; and</w:t>
      </w:r>
    </w:p>
    <w:p w14:paraId="4429233F" w14:textId="75BAF0C5" w:rsidR="002E3D72" w:rsidRDefault="002E3D72" w:rsidP="00EB564D">
      <w:pPr>
        <w:pStyle w:val="GazetteListRomanNumeral"/>
        <w:numPr>
          <w:ilvl w:val="2"/>
          <w:numId w:val="31"/>
        </w:numPr>
        <w:ind w:left="2061"/>
      </w:pPr>
      <w:r>
        <w:t>Reactive lymph nodes associated with interdigital furunculosis (5X group).</w:t>
      </w:r>
    </w:p>
    <w:p w14:paraId="7939F2E3" w14:textId="77777777" w:rsidR="002E3D72" w:rsidRDefault="002E3D72" w:rsidP="00EB564D">
      <w:pPr>
        <w:pStyle w:val="GazetteListRomanNumeral"/>
        <w:numPr>
          <w:ilvl w:val="2"/>
          <w:numId w:val="31"/>
        </w:numPr>
        <w:ind w:left="2061"/>
      </w:pPr>
      <w:r>
        <w:t xml:space="preserve">There were no </w:t>
      </w:r>
      <w:proofErr w:type="spellStart"/>
      <w:r>
        <w:t>Zenrelia</w:t>
      </w:r>
      <w:proofErr w:type="spellEnd"/>
      <w:r>
        <w:t>-related effects on lymphocytes, monocytes, and basophils.</w:t>
      </w:r>
    </w:p>
    <w:p w14:paraId="3F27E7D9" w14:textId="2F613314" w:rsidR="002E3D72" w:rsidRDefault="002E3D72" w:rsidP="00EB564D">
      <w:pPr>
        <w:pStyle w:val="GazetteListRomanNumeral"/>
        <w:numPr>
          <w:ilvl w:val="1"/>
          <w:numId w:val="4"/>
        </w:numPr>
        <w:ind w:left="1494"/>
      </w:pPr>
      <w:r w:rsidRPr="006E3894">
        <w:t xml:space="preserve">The typical clinical signs observed </w:t>
      </w:r>
      <w:r>
        <w:t>in the field studies were different from overdose studies, which was due to the study design using privately-owned dogs with investigator and owner-based observations.</w:t>
      </w:r>
    </w:p>
    <w:p w14:paraId="78F6538F" w14:textId="21769852" w:rsidR="002E3D72" w:rsidRDefault="002E3D72" w:rsidP="00EB564D">
      <w:pPr>
        <w:pStyle w:val="GazetteListRomanNumeral"/>
        <w:numPr>
          <w:ilvl w:val="2"/>
          <w:numId w:val="4"/>
        </w:numPr>
        <w:ind w:left="2344" w:hanging="360"/>
      </w:pPr>
      <w:r>
        <w:t xml:space="preserve">Field study evaluating </w:t>
      </w:r>
      <w:proofErr w:type="spellStart"/>
      <w:r>
        <w:t>Zenrelia</w:t>
      </w:r>
      <w:proofErr w:type="spellEnd"/>
      <w:r>
        <w:t xml:space="preserve"> for allergic dermatitis:</w:t>
      </w:r>
    </w:p>
    <w:p w14:paraId="1CF08C16" w14:textId="77777777" w:rsidR="002E3D72" w:rsidRDefault="002E3D72" w:rsidP="00EB564D">
      <w:pPr>
        <w:pStyle w:val="GazetteListRomanNumeral"/>
        <w:numPr>
          <w:ilvl w:val="3"/>
          <w:numId w:val="4"/>
        </w:numPr>
        <w:ind w:left="2628"/>
      </w:pPr>
      <w:r>
        <w:t xml:space="preserve">Serious adverse events (SAEs, as classified by Investigators) were rare, involving one placebo dog (ruptured splenic hemangiosarcoma) and three </w:t>
      </w:r>
      <w:proofErr w:type="spellStart"/>
      <w:r>
        <w:t>Zenrelia</w:t>
      </w:r>
      <w:proofErr w:type="spellEnd"/>
      <w:r>
        <w:t>-treated (IVP) dogs (hypoxic event due to a tight collar, acute renal dysfunction due to toxin or bacterial exposure, and pre-existing renal issues that</w:t>
      </w:r>
      <w:r w:rsidRPr="0041400A">
        <w:t xml:space="preserve"> </w:t>
      </w:r>
      <w:r>
        <w:t>worsened on Day 4).</w:t>
      </w:r>
      <w:r w:rsidRPr="00C339BA">
        <w:t xml:space="preserve"> </w:t>
      </w:r>
      <w:r>
        <w:t xml:space="preserve">These appear to not be related to the product treatment. The frequency of reported adverse events in </w:t>
      </w:r>
      <w:proofErr w:type="spellStart"/>
      <w:r>
        <w:t>Zenrelia</w:t>
      </w:r>
      <w:proofErr w:type="spellEnd"/>
      <w:r>
        <w:t xml:space="preserve"> and placebo treated dogs was comparable and included </w:t>
      </w:r>
      <w:r w:rsidRPr="00C339BA">
        <w:t>systemic disorders, digestive upsets</w:t>
      </w:r>
      <w:r>
        <w:t>,</w:t>
      </w:r>
      <w:r w:rsidRPr="00C339BA">
        <w:t xml:space="preserve"> skin and appendage disorders</w:t>
      </w:r>
      <w:r>
        <w:t>.</w:t>
      </w:r>
      <w:r w:rsidRPr="00A55ED3">
        <w:t xml:space="preserve"> </w:t>
      </w:r>
      <w:r>
        <w:t>A</w:t>
      </w:r>
      <w:r w:rsidRPr="00A55ED3">
        <w:t xml:space="preserve"> small number of </w:t>
      </w:r>
      <w:proofErr w:type="spellStart"/>
      <w:r>
        <w:t>Zenrelia</w:t>
      </w:r>
      <w:proofErr w:type="spellEnd"/>
      <w:r>
        <w:t>-</w:t>
      </w:r>
      <w:r w:rsidRPr="00A55ED3">
        <w:t>treated dogs had reduced white blood cell counts and elevated nucleated red blood cells at various timepoints during the study</w:t>
      </w:r>
      <w:r>
        <w:t>; however</w:t>
      </w:r>
      <w:r w:rsidRPr="00A55ED3">
        <w:t>, group means for all haematology parameters remained within normal ranges at all time points. Of the serum chemistry parameters, mean</w:t>
      </w:r>
      <w:r>
        <w:t xml:space="preserve"> values</w:t>
      </w:r>
      <w:r w:rsidRPr="00A55ED3">
        <w:t xml:space="preserve"> for triglycerides and cholesterol were slightly elevated in the </w:t>
      </w:r>
      <w:proofErr w:type="spellStart"/>
      <w:r>
        <w:t>Zenrelia</w:t>
      </w:r>
      <w:proofErr w:type="spellEnd"/>
      <w:r>
        <w:t>-</w:t>
      </w:r>
      <w:r w:rsidRPr="00A55ED3">
        <w:t>treated group compared to placebo.</w:t>
      </w:r>
    </w:p>
    <w:p w14:paraId="533AFAA3" w14:textId="77777777" w:rsidR="002E3D72" w:rsidRDefault="002E3D72" w:rsidP="00EB564D">
      <w:pPr>
        <w:pStyle w:val="GazetteListRomanNumeral"/>
        <w:numPr>
          <w:ilvl w:val="2"/>
          <w:numId w:val="4"/>
        </w:numPr>
        <w:ind w:left="2344" w:hanging="360"/>
      </w:pPr>
      <w:r>
        <w:t xml:space="preserve">Field study evaluating </w:t>
      </w:r>
      <w:proofErr w:type="spellStart"/>
      <w:r>
        <w:t>Zenrelia</w:t>
      </w:r>
      <w:proofErr w:type="spellEnd"/>
      <w:r>
        <w:t xml:space="preserve"> for atopic dermatitis:</w:t>
      </w:r>
    </w:p>
    <w:p w14:paraId="18AE2678" w14:textId="51C955DF" w:rsidR="002E3D72" w:rsidRDefault="002E3D72" w:rsidP="00EB564D">
      <w:pPr>
        <w:pStyle w:val="GazetteListRomanNumeral"/>
        <w:numPr>
          <w:ilvl w:val="3"/>
          <w:numId w:val="4"/>
        </w:numPr>
        <w:ind w:left="2628"/>
      </w:pPr>
      <w:r>
        <w:t xml:space="preserve">The first field study comparing </w:t>
      </w:r>
      <w:proofErr w:type="spellStart"/>
      <w:r>
        <w:t>Zenrelia</w:t>
      </w:r>
      <w:proofErr w:type="spellEnd"/>
      <w:r>
        <w:t xml:space="preserve"> (IVP) against placebo reported</w:t>
      </w:r>
      <w:r w:rsidRPr="00C339BA">
        <w:t xml:space="preserve"> five </w:t>
      </w:r>
      <w:r>
        <w:t>SAEs; however, none</w:t>
      </w:r>
      <w:r w:rsidRPr="00C339BA">
        <w:t xml:space="preserve"> appear to be</w:t>
      </w:r>
      <w:r>
        <w:t xml:space="preserve"> </w:t>
      </w:r>
      <w:r w:rsidRPr="00C339BA">
        <w:t>treatment</w:t>
      </w:r>
      <w:r>
        <w:t>-</w:t>
      </w:r>
      <w:r w:rsidRPr="00C339BA">
        <w:t>related</w:t>
      </w:r>
      <w:r>
        <w:t xml:space="preserve"> (two </w:t>
      </w:r>
      <w:r w:rsidRPr="00C339BA">
        <w:t>involved placebo dogs (lymphocytosis in one, haemorrhagic gastroenteritis and dehydration in the other) and three</w:t>
      </w:r>
      <w:r>
        <w:t xml:space="preserve"> involved</w:t>
      </w:r>
      <w:r w:rsidRPr="00C339BA">
        <w:t xml:space="preserve"> IVP dogs (ruptured hepatic hemangiosarcoma, trauma-related tendon injury and puncture wound, and neutropenia). As per the previous clinical trial, the </w:t>
      </w:r>
      <w:r>
        <w:t xml:space="preserve">frequency of </w:t>
      </w:r>
      <w:r w:rsidRPr="00C339BA">
        <w:t xml:space="preserve">non-serious </w:t>
      </w:r>
      <w:r>
        <w:t>adverse events</w:t>
      </w:r>
      <w:r w:rsidRPr="00C339BA">
        <w:t xml:space="preserve"> </w:t>
      </w:r>
      <w:r>
        <w:t>in</w:t>
      </w:r>
      <w:r w:rsidRPr="00C339BA">
        <w:t xml:space="preserve"> </w:t>
      </w:r>
      <w:proofErr w:type="spellStart"/>
      <w:r>
        <w:t>Zenrelia</w:t>
      </w:r>
      <w:proofErr w:type="spellEnd"/>
      <w:r>
        <w:t xml:space="preserve"> and placebo treated dogs were comparable and</w:t>
      </w:r>
      <w:r w:rsidRPr="00C339BA">
        <w:t xml:space="preserve"> consist</w:t>
      </w:r>
      <w:r>
        <w:t>ed</w:t>
      </w:r>
      <w:r w:rsidRPr="00C339BA">
        <w:t xml:space="preserve"> of systemic disorders</w:t>
      </w:r>
      <w:r>
        <w:t>,</w:t>
      </w:r>
      <w:r w:rsidRPr="00C339BA">
        <w:t xml:space="preserve"> digestive upsets</w:t>
      </w:r>
      <w:r>
        <w:t xml:space="preserve">, </w:t>
      </w:r>
      <w:r w:rsidRPr="00C339BA">
        <w:t xml:space="preserve">skin and appendage </w:t>
      </w:r>
      <w:r w:rsidRPr="00C339BA">
        <w:lastRenderedPageBreak/>
        <w:t>disorders</w:t>
      </w:r>
      <w:r w:rsidRPr="00C25851">
        <w:t>.</w:t>
      </w:r>
      <w:r>
        <w:t xml:space="preserve"> The treatment </w:t>
      </w:r>
      <w:r w:rsidRPr="00C25851">
        <w:t xml:space="preserve">group means for total </w:t>
      </w:r>
      <w:r>
        <w:t>white blood cell counts</w:t>
      </w:r>
      <w:r w:rsidRPr="00C25851">
        <w:t xml:space="preserve"> and some of the differential (eosinophils, monocytes, neutrophils) decreased by Day 28 and remained lower through the study, although generally the shift </w:t>
      </w:r>
      <w:r>
        <w:t>was not</w:t>
      </w:r>
      <w:r w:rsidRPr="00C25851">
        <w:t xml:space="preserve"> clinically relevant, and means were within normal ranges.</w:t>
      </w:r>
    </w:p>
    <w:p w14:paraId="6C06889B" w14:textId="77777777" w:rsidR="002E3D72" w:rsidRDefault="002E3D72" w:rsidP="00EB564D">
      <w:pPr>
        <w:pStyle w:val="GazetteListRomanNumeral"/>
        <w:numPr>
          <w:ilvl w:val="3"/>
          <w:numId w:val="4"/>
        </w:numPr>
        <w:ind w:left="2628"/>
      </w:pPr>
      <w:r>
        <w:t xml:space="preserve">The second field study compared </w:t>
      </w:r>
      <w:proofErr w:type="spellStart"/>
      <w:r>
        <w:t>Zenrelia</w:t>
      </w:r>
      <w:proofErr w:type="spellEnd"/>
      <w:r>
        <w:t xml:space="preserve"> (IVP) to positive control (</w:t>
      </w:r>
      <w:r w:rsidRPr="002A7253">
        <w:t>Oclacitinib</w:t>
      </w:r>
      <w:r>
        <w:t>). The frequency of adverse events was comparable</w:t>
      </w:r>
      <w:r w:rsidRPr="00C339BA">
        <w:t xml:space="preserve"> between groups throughout the study</w:t>
      </w:r>
      <w:r>
        <w:t xml:space="preserve"> and</w:t>
      </w:r>
      <w:r w:rsidRPr="00C339BA">
        <w:t xml:space="preserve"> primarily</w:t>
      </w:r>
      <w:r>
        <w:t xml:space="preserve"> consisted of</w:t>
      </w:r>
      <w:r w:rsidRPr="00C339BA">
        <w:t xml:space="preserve"> systemic disorders, digestive upsets, skin and appendage disorders. </w:t>
      </w:r>
      <w:r>
        <w:t>Of the</w:t>
      </w:r>
      <w:r w:rsidRPr="00C339BA">
        <w:t xml:space="preserve"> </w:t>
      </w:r>
      <w:r>
        <w:t>four</w:t>
      </w:r>
      <w:r w:rsidRPr="00C339BA">
        <w:t xml:space="preserve"> </w:t>
      </w:r>
      <w:r>
        <w:t xml:space="preserve">SAEs, three were in the control group (traffic accident, </w:t>
      </w:r>
      <w:r w:rsidRPr="002A7253">
        <w:rPr>
          <w:lang w:val="en-AU"/>
        </w:rPr>
        <w:t>mass spread to the mammary gland</w:t>
      </w:r>
      <w:r>
        <w:t xml:space="preserve">, and </w:t>
      </w:r>
      <w:r w:rsidRPr="002A7253">
        <w:rPr>
          <w:lang w:val="en-AU"/>
        </w:rPr>
        <w:t>increased liver parameters</w:t>
      </w:r>
      <w:r>
        <w:rPr>
          <w:lang w:val="en-AU"/>
        </w:rPr>
        <w:t>) and</w:t>
      </w:r>
      <w:r>
        <w:t xml:space="preserve"> one in the treatment group</w:t>
      </w:r>
      <w:r w:rsidRPr="002A7253">
        <w:t xml:space="preserve"> </w:t>
      </w:r>
      <w:r>
        <w:t>(enlarged testis). None of the SAEs</w:t>
      </w:r>
      <w:r w:rsidRPr="00C339BA">
        <w:t xml:space="preserve"> </w:t>
      </w:r>
      <w:r>
        <w:t>were</w:t>
      </w:r>
      <w:r w:rsidRPr="00C339BA">
        <w:t xml:space="preserve"> treatment</w:t>
      </w:r>
      <w:r>
        <w:t xml:space="preserve"> related</w:t>
      </w:r>
      <w:r w:rsidRPr="00C339BA">
        <w:t>.</w:t>
      </w:r>
      <w:r w:rsidRPr="008D5CC7">
        <w:t xml:space="preserve"> </w:t>
      </w:r>
      <w:r>
        <w:t>No notable abnormalities were seen in the serum chemistry results. Decreases in band neutrophils (% and absolute), basophils (absolute), monocytes (absolute), eosinophils (% and absolute) and leucocytes were seen in both treatment groups over the study period; however, most of these remained within normal laboratory reference ranges.</w:t>
      </w:r>
    </w:p>
    <w:p w14:paraId="51B3994B" w14:textId="77777777" w:rsidR="002E3D72" w:rsidRDefault="002E3D72" w:rsidP="00EB564D">
      <w:pPr>
        <w:pStyle w:val="GazetteListRomanNumeral"/>
        <w:numPr>
          <w:ilvl w:val="2"/>
          <w:numId w:val="4"/>
        </w:numPr>
        <w:ind w:left="2061" w:hanging="360"/>
      </w:pPr>
      <w:r>
        <w:t xml:space="preserve">Based on the results of the three field studies and assessment of causality, the relevant adverse events related to </w:t>
      </w:r>
      <w:proofErr w:type="spellStart"/>
      <w:r>
        <w:t>Zenrelia</w:t>
      </w:r>
      <w:proofErr w:type="spellEnd"/>
      <w:r>
        <w:t xml:space="preserve"> treatment are as follows:</w:t>
      </w:r>
    </w:p>
    <w:p w14:paraId="720CBD2B" w14:textId="77777777" w:rsidR="002E3D72" w:rsidRDefault="002E3D72" w:rsidP="00EB564D">
      <w:pPr>
        <w:pStyle w:val="GazetteListRomanNumeral"/>
        <w:numPr>
          <w:ilvl w:val="3"/>
          <w:numId w:val="4"/>
        </w:numPr>
        <w:ind w:left="2628"/>
      </w:pPr>
      <w:r>
        <w:t>D</w:t>
      </w:r>
      <w:r w:rsidRPr="00A374F2">
        <w:t>igestive tract disorders includ</w:t>
      </w:r>
      <w:r>
        <w:t>ed</w:t>
      </w:r>
      <w:r w:rsidRPr="00A374F2">
        <w:t xml:space="preserve"> vomiting/nausea and diarrhoea</w:t>
      </w:r>
      <w:r>
        <w:t xml:space="preserve"> </w:t>
      </w:r>
      <w:r w:rsidRPr="00A374F2">
        <w:t>(&gt;1 animal/10 animals treated)</w:t>
      </w:r>
      <w:r>
        <w:t>.</w:t>
      </w:r>
    </w:p>
    <w:p w14:paraId="6DC1FC2D" w14:textId="77777777" w:rsidR="002E3D72" w:rsidRDefault="002E3D72" w:rsidP="00EB564D">
      <w:pPr>
        <w:pStyle w:val="GazetteListRomanNumeral"/>
        <w:numPr>
          <w:ilvl w:val="3"/>
          <w:numId w:val="4"/>
        </w:numPr>
        <w:ind w:left="2628"/>
      </w:pPr>
      <w:r>
        <w:t>L</w:t>
      </w:r>
      <w:r w:rsidRPr="00F727A4">
        <w:t>ethargy, anorexia, coughing or wheezing, urinary tract infection, dermal growths (including papilloma and histiocytoma), lipoma, sneezing, ocular discharge, elevated liver enzymes, increased serum lipids and weight gain</w:t>
      </w:r>
      <w:r>
        <w:t xml:space="preserve"> </w:t>
      </w:r>
      <w:r w:rsidRPr="00F727A4">
        <w:t>(1 to 10 animals/100 animals treated)</w:t>
      </w:r>
      <w:r>
        <w:t>.</w:t>
      </w:r>
    </w:p>
    <w:p w14:paraId="45F4375E" w14:textId="33BB8766" w:rsidR="002E3D72" w:rsidRDefault="002E3D72" w:rsidP="00EB564D">
      <w:pPr>
        <w:pStyle w:val="GazetteListRomanNumeral"/>
        <w:numPr>
          <w:ilvl w:val="3"/>
          <w:numId w:val="4"/>
        </w:numPr>
        <w:ind w:left="2628"/>
      </w:pPr>
      <w:r>
        <w:t>A</w:t>
      </w:r>
      <w:r w:rsidRPr="00F727A4">
        <w:t>taxia, polyuria, pyoderma, leukopenia, leucocytosis, and increased appetite (1 to 10 animals/1000 animals treated)</w:t>
      </w:r>
      <w:r>
        <w:t>.</w:t>
      </w:r>
    </w:p>
    <w:p w14:paraId="44FCF614" w14:textId="165DEB82" w:rsidR="002E3D72" w:rsidRDefault="002E3D72" w:rsidP="00EB564D">
      <w:pPr>
        <w:pStyle w:val="GazetteListRomanNumeral"/>
        <w:numPr>
          <w:ilvl w:val="1"/>
          <w:numId w:val="4"/>
        </w:numPr>
        <w:ind w:left="1494"/>
      </w:pPr>
      <w:r>
        <w:t xml:space="preserve">The safety of </w:t>
      </w:r>
      <w:proofErr w:type="spellStart"/>
      <w:r w:rsidRPr="00DC76B7">
        <w:t>ilunocitinib</w:t>
      </w:r>
      <w:proofErr w:type="spellEnd"/>
      <w:r w:rsidRPr="00DC76B7">
        <w:t xml:space="preserve"> has </w:t>
      </w:r>
      <w:r>
        <w:t>not</w:t>
      </w:r>
      <w:r w:rsidRPr="00DC76B7">
        <w:t xml:space="preserve"> been studied </w:t>
      </w:r>
      <w:r>
        <w:t>in</w:t>
      </w:r>
      <w:r w:rsidRPr="00DC76B7">
        <w:t xml:space="preserve"> </w:t>
      </w:r>
      <w:r>
        <w:t xml:space="preserve">breeding, </w:t>
      </w:r>
      <w:r w:rsidRPr="00DC76B7">
        <w:t>pregnan</w:t>
      </w:r>
      <w:r>
        <w:t>t,</w:t>
      </w:r>
      <w:r w:rsidRPr="00DC76B7">
        <w:t xml:space="preserve"> </w:t>
      </w:r>
      <w:r>
        <w:t xml:space="preserve">or </w:t>
      </w:r>
      <w:r w:rsidRPr="00DC76B7">
        <w:t>lactati</w:t>
      </w:r>
      <w:r>
        <w:t xml:space="preserve">ng dogs nor in dogs younger than 12 months of age or weighing less than 3 kg. Its </w:t>
      </w:r>
      <w:r w:rsidRPr="0055672B">
        <w:t>use in combination</w:t>
      </w:r>
      <w:r>
        <w:t xml:space="preserve"> with</w:t>
      </w:r>
      <w:r w:rsidRPr="0055672B">
        <w:t xml:space="preserve"> </w:t>
      </w:r>
      <w:r>
        <w:t>glucocorticoids, cyclosporin, or other systemic immunosuppressive agents has also not been evaluated.</w:t>
      </w:r>
    </w:p>
    <w:p w14:paraId="37792A71" w14:textId="77777777" w:rsidR="002E3D72" w:rsidRPr="00DB1BB6" w:rsidRDefault="002E3D72" w:rsidP="00EB564D">
      <w:pPr>
        <w:pStyle w:val="GazetteListRomanNumeral"/>
        <w:numPr>
          <w:ilvl w:val="1"/>
          <w:numId w:val="4"/>
        </w:numPr>
        <w:ind w:left="1494"/>
      </w:pPr>
      <w:r w:rsidRPr="00B21612">
        <w:rPr>
          <w:lang w:val="en-AU"/>
        </w:rPr>
        <w:t xml:space="preserve">The APVMA has concluded that the administration of </w:t>
      </w:r>
      <w:proofErr w:type="spellStart"/>
      <w:r w:rsidRPr="00ED5195">
        <w:t>Zenrelia</w:t>
      </w:r>
      <w:proofErr w:type="spellEnd"/>
      <w:r w:rsidRPr="00ED5195">
        <w:t xml:space="preserve"> [4.8 mg, 6.4 mg, 8.5 mg, 15 mg] Tablets</w:t>
      </w:r>
      <w:r w:rsidRPr="005D2C9D">
        <w:rPr>
          <w:lang w:val="en-AU"/>
        </w:rPr>
        <w:t xml:space="preserve"> </w:t>
      </w:r>
      <w:r w:rsidRPr="00ED5195">
        <w:t>for Dogs</w:t>
      </w:r>
      <w:r w:rsidRPr="00B21612">
        <w:rPr>
          <w:lang w:val="en-AU"/>
        </w:rPr>
        <w:t xml:space="preserve"> is generally well tolerated</w:t>
      </w:r>
      <w:r>
        <w:rPr>
          <w:lang w:val="en-AU"/>
        </w:rPr>
        <w:t xml:space="preserve">. The following </w:t>
      </w:r>
      <w:r w:rsidRPr="00B21612">
        <w:rPr>
          <w:lang w:val="en-AU"/>
        </w:rPr>
        <w:t xml:space="preserve">statements </w:t>
      </w:r>
      <w:r>
        <w:rPr>
          <w:lang w:val="en-AU"/>
        </w:rPr>
        <w:t>must be</w:t>
      </w:r>
      <w:r w:rsidRPr="00B21612">
        <w:rPr>
          <w:lang w:val="en-AU"/>
        </w:rPr>
        <w:t xml:space="preserve"> included on the label to mitigate the risks identified:</w:t>
      </w:r>
    </w:p>
    <w:p w14:paraId="3E5E0E56" w14:textId="77777777" w:rsidR="002E3D72" w:rsidRPr="00DB1BB6" w:rsidRDefault="002E3D72" w:rsidP="00EB564D">
      <w:pPr>
        <w:pStyle w:val="GazetteListRomanNumeral"/>
        <w:numPr>
          <w:ilvl w:val="0"/>
          <w:numId w:val="0"/>
        </w:numPr>
        <w:ind w:left="1474"/>
        <w:rPr>
          <w:b/>
          <w:bCs/>
          <w:lang w:val="en-AU"/>
        </w:rPr>
      </w:pPr>
      <w:r w:rsidRPr="00DB1BB6">
        <w:rPr>
          <w:b/>
          <w:bCs/>
          <w:lang w:val="en-AU"/>
        </w:rPr>
        <w:t>Contraindications</w:t>
      </w:r>
    </w:p>
    <w:p w14:paraId="3958D88D" w14:textId="19EA3A0A" w:rsidR="002E3D72" w:rsidRDefault="002E3D72" w:rsidP="00806D43">
      <w:pPr>
        <w:pStyle w:val="GazetteListRomanNumeral"/>
        <w:numPr>
          <w:ilvl w:val="0"/>
          <w:numId w:val="27"/>
        </w:numPr>
        <w:ind w:left="1834"/>
      </w:pPr>
      <w:r w:rsidRPr="00DB1BB6">
        <w:t>Not to be used in dogs with serious infections.</w:t>
      </w:r>
    </w:p>
    <w:p w14:paraId="207874DD" w14:textId="77777777" w:rsidR="002E3D72" w:rsidRDefault="002E3D72" w:rsidP="00806D43">
      <w:pPr>
        <w:pStyle w:val="GazetteListRomanNumeral"/>
        <w:numPr>
          <w:ilvl w:val="0"/>
          <w:numId w:val="27"/>
        </w:numPr>
        <w:ind w:left="1834"/>
      </w:pPr>
      <w:r w:rsidRPr="00DB1BB6">
        <w:t>Not to be used in dogs with evidence of immunosuppression. The active substance has not been</w:t>
      </w:r>
      <w:r>
        <w:t xml:space="preserve"> </w:t>
      </w:r>
      <w:r w:rsidRPr="00DB1BB6">
        <w:t>evaluated in dogs with evidence of immunosuppression, e.g. hyperadrenocorticism, or</w:t>
      </w:r>
      <w:r>
        <w:t xml:space="preserve"> </w:t>
      </w:r>
      <w:r w:rsidRPr="00DB1BB6">
        <w:t>with proven progressive malignant neoplasia.</w:t>
      </w:r>
    </w:p>
    <w:p w14:paraId="4827FB61" w14:textId="77777777" w:rsidR="002E3D72" w:rsidRDefault="002E3D72" w:rsidP="00806D43">
      <w:pPr>
        <w:pStyle w:val="GazetteListRomanNumeral"/>
        <w:numPr>
          <w:ilvl w:val="0"/>
          <w:numId w:val="27"/>
        </w:numPr>
        <w:ind w:left="1834"/>
        <w:rPr>
          <w:lang w:val="en-AU"/>
        </w:rPr>
      </w:pPr>
      <w:r w:rsidRPr="00DB1BB6">
        <w:rPr>
          <w:lang w:val="en-AU"/>
        </w:rPr>
        <w:t xml:space="preserve">Not to be used in dogs with known hypersensitivity to </w:t>
      </w:r>
      <w:proofErr w:type="spellStart"/>
      <w:r w:rsidRPr="00DB1BB6">
        <w:rPr>
          <w:lang w:val="en-AU"/>
        </w:rPr>
        <w:t>ilunocitinib</w:t>
      </w:r>
      <w:proofErr w:type="spellEnd"/>
      <w:r w:rsidRPr="00DB1BB6">
        <w:rPr>
          <w:lang w:val="en-AU"/>
        </w:rPr>
        <w:t>.</w:t>
      </w:r>
    </w:p>
    <w:p w14:paraId="40E3A1D0" w14:textId="77777777" w:rsidR="002E3D72" w:rsidRDefault="002E3D72" w:rsidP="00EB564D">
      <w:pPr>
        <w:pStyle w:val="GazetteListRomanNumeral"/>
        <w:numPr>
          <w:ilvl w:val="0"/>
          <w:numId w:val="0"/>
        </w:numPr>
        <w:ind w:left="1474"/>
        <w:rPr>
          <w:b/>
          <w:bCs/>
        </w:rPr>
      </w:pPr>
      <w:r w:rsidRPr="00DB1BB6">
        <w:rPr>
          <w:b/>
          <w:bCs/>
        </w:rPr>
        <w:t>Precautions</w:t>
      </w:r>
    </w:p>
    <w:p w14:paraId="77C37FC7" w14:textId="77777777" w:rsidR="002E3D72" w:rsidRPr="00DB1BB6" w:rsidRDefault="002E3D72" w:rsidP="00806D43">
      <w:pPr>
        <w:pStyle w:val="GazetteListRomanNumeral"/>
        <w:numPr>
          <w:ilvl w:val="0"/>
          <w:numId w:val="28"/>
        </w:numPr>
        <w:ind w:left="1834"/>
      </w:pPr>
      <w:r w:rsidRPr="00DB1BB6">
        <w:t xml:space="preserve">The use of </w:t>
      </w:r>
      <w:proofErr w:type="spellStart"/>
      <w:r>
        <w:t>Zenrelia</w:t>
      </w:r>
      <w:proofErr w:type="spellEnd"/>
      <w:r w:rsidRPr="00DB1BB6">
        <w:t xml:space="preserve"> should be based on a risk-benefit assessment for each individual as conducted by the responsible veterinarian.</w:t>
      </w:r>
    </w:p>
    <w:p w14:paraId="2209DF9E" w14:textId="77777777" w:rsidR="002E3D72" w:rsidRPr="00DB1BB6" w:rsidRDefault="002E3D72" w:rsidP="00806D43">
      <w:pPr>
        <w:pStyle w:val="GazetteListRomanNumeral"/>
        <w:numPr>
          <w:ilvl w:val="0"/>
          <w:numId w:val="28"/>
        </w:numPr>
        <w:ind w:left="1834"/>
      </w:pPr>
      <w:r w:rsidRPr="00DB1BB6">
        <w:rPr>
          <w:lang w:val="en-AU"/>
        </w:rPr>
        <w:t>The safety of</w:t>
      </w:r>
      <w:r>
        <w:rPr>
          <w:lang w:val="en-AU"/>
        </w:rPr>
        <w:t xml:space="preserve"> </w:t>
      </w:r>
      <w:proofErr w:type="spellStart"/>
      <w:r>
        <w:rPr>
          <w:lang w:val="en-AU"/>
        </w:rPr>
        <w:t>Zenrelia</w:t>
      </w:r>
      <w:proofErr w:type="spellEnd"/>
      <w:r w:rsidRPr="00DB1BB6">
        <w:rPr>
          <w:lang w:val="en-AU"/>
        </w:rPr>
        <w:t xml:space="preserve"> has not been investigated in dogs younger than 12 months of age or weighing less than 3 kg.</w:t>
      </w:r>
    </w:p>
    <w:p w14:paraId="6FD480A5" w14:textId="77777777" w:rsidR="002E3D72" w:rsidRPr="00DB1BB6" w:rsidRDefault="002E3D72" w:rsidP="00806D43">
      <w:pPr>
        <w:pStyle w:val="GazetteListRomanNumeral"/>
        <w:numPr>
          <w:ilvl w:val="0"/>
          <w:numId w:val="28"/>
        </w:numPr>
        <w:ind w:left="1834"/>
      </w:pPr>
      <w:r w:rsidRPr="00DB1BB6">
        <w:t xml:space="preserve">Use with caution in breeding, pregnant, or lactating dogs as the use of </w:t>
      </w:r>
      <w:proofErr w:type="spellStart"/>
      <w:r>
        <w:t>Zenrelia</w:t>
      </w:r>
      <w:proofErr w:type="spellEnd"/>
      <w:r w:rsidRPr="00DB1BB6">
        <w:t xml:space="preserve"> has not been evaluated in these classes of animals.</w:t>
      </w:r>
    </w:p>
    <w:p w14:paraId="46582863" w14:textId="77777777" w:rsidR="002E3D72" w:rsidRPr="00DB1BB6" w:rsidRDefault="002E3D72" w:rsidP="00806D43">
      <w:pPr>
        <w:pStyle w:val="GazetteListRomanNumeral"/>
        <w:numPr>
          <w:ilvl w:val="0"/>
          <w:numId w:val="28"/>
        </w:numPr>
        <w:ind w:left="1834"/>
      </w:pPr>
      <w:r w:rsidRPr="00DB1BB6">
        <w:lastRenderedPageBreak/>
        <w:t xml:space="preserve">Use with caution in combination with glucocorticoids, cyclosporin, or other systemic immunosuppressive agents, as the use of </w:t>
      </w:r>
      <w:proofErr w:type="spellStart"/>
      <w:r>
        <w:t>Zenrelia</w:t>
      </w:r>
      <w:proofErr w:type="spellEnd"/>
      <w:r w:rsidRPr="00DB1BB6">
        <w:t xml:space="preserve"> in combination with these types of products has not been evaluated.</w:t>
      </w:r>
    </w:p>
    <w:p w14:paraId="3F122DEA" w14:textId="77777777" w:rsidR="002E3D72" w:rsidRPr="00DB1BB6" w:rsidRDefault="002E3D72" w:rsidP="00806D43">
      <w:pPr>
        <w:pStyle w:val="GazetteListRomanNumeral"/>
        <w:numPr>
          <w:ilvl w:val="0"/>
          <w:numId w:val="28"/>
        </w:numPr>
        <w:ind w:left="1834"/>
      </w:pPr>
      <w:proofErr w:type="spellStart"/>
      <w:r>
        <w:t>Zenrelia</w:t>
      </w:r>
      <w:proofErr w:type="spellEnd"/>
      <w:r w:rsidRPr="00DB1BB6">
        <w:rPr>
          <w:lang w:val="en-AU"/>
        </w:rPr>
        <w:t xml:space="preserve"> modulates the immune system and may increase susceptibility to opportunistic infections. Dogs receiving </w:t>
      </w:r>
      <w:proofErr w:type="spellStart"/>
      <w:r>
        <w:t>Zenrelia</w:t>
      </w:r>
      <w:proofErr w:type="spellEnd"/>
      <w:r w:rsidRPr="00DB1BB6">
        <w:rPr>
          <w:lang w:val="en-AU"/>
        </w:rPr>
        <w:t xml:space="preserve"> should therefore be monitored for the development of infections.</w:t>
      </w:r>
    </w:p>
    <w:p w14:paraId="37783C94" w14:textId="77777777" w:rsidR="002E3D72" w:rsidRDefault="002E3D72" w:rsidP="00EB564D">
      <w:pPr>
        <w:pStyle w:val="GazetteListRomanNumeral"/>
        <w:numPr>
          <w:ilvl w:val="0"/>
          <w:numId w:val="0"/>
        </w:numPr>
        <w:ind w:left="1474"/>
        <w:rPr>
          <w:b/>
          <w:bCs/>
        </w:rPr>
      </w:pPr>
      <w:r w:rsidRPr="00DB1BB6">
        <w:rPr>
          <w:b/>
          <w:bCs/>
        </w:rPr>
        <w:t>Side effects</w:t>
      </w:r>
    </w:p>
    <w:p w14:paraId="1AB8DA0D" w14:textId="77777777" w:rsidR="002E3D72" w:rsidRPr="00DB1BB6" w:rsidRDefault="002E3D72" w:rsidP="00806D43">
      <w:pPr>
        <w:pStyle w:val="GazetteListRomanNumeral"/>
        <w:numPr>
          <w:ilvl w:val="0"/>
          <w:numId w:val="29"/>
        </w:numPr>
        <w:ind w:left="1834"/>
      </w:pPr>
      <w:r w:rsidRPr="00DB1BB6">
        <w:t xml:space="preserve">Side effects recorded during the three field studies assessing effectiveness and safety of </w:t>
      </w:r>
      <w:proofErr w:type="spellStart"/>
      <w:r>
        <w:t>Zenrelia</w:t>
      </w:r>
      <w:proofErr w:type="spellEnd"/>
      <w:r w:rsidRPr="00DB1BB6">
        <w:t xml:space="preserve"> in dogs were as follows:</w:t>
      </w:r>
    </w:p>
    <w:p w14:paraId="4091E7DC" w14:textId="77777777" w:rsidR="002E3D72" w:rsidRPr="00DB1BB6" w:rsidRDefault="002E3D72" w:rsidP="00806D43">
      <w:pPr>
        <w:pStyle w:val="GazetteListRomanNumeral"/>
        <w:numPr>
          <w:ilvl w:val="1"/>
          <w:numId w:val="29"/>
        </w:numPr>
        <w:ind w:left="2628"/>
      </w:pPr>
      <w:r w:rsidRPr="00DB1BB6">
        <w:t>The most commonly reported (&gt;1 animal/10 animals treated) side effects were digestive tract disorders including vomiting/nausea and diarrhoea.</w:t>
      </w:r>
    </w:p>
    <w:p w14:paraId="3878B32C" w14:textId="77777777" w:rsidR="002E3D72" w:rsidRPr="00DB1BB6" w:rsidRDefault="002E3D72" w:rsidP="00806D43">
      <w:pPr>
        <w:pStyle w:val="GazetteListRomanNumeral"/>
        <w:numPr>
          <w:ilvl w:val="1"/>
          <w:numId w:val="29"/>
        </w:numPr>
        <w:ind w:left="2628"/>
      </w:pPr>
      <w:r w:rsidRPr="00DB1BB6">
        <w:t>Commonly occurring (1 to 10 animals/100 animals treated) side effects included: lethargy, anorexia, coughing or wheezing, urinary tract infection, dermal growths (including papilloma and histiocytoma), lipoma, sneezing, ocular discharge, elevated liver enzymes, increased serum lipids and weight gain.</w:t>
      </w:r>
    </w:p>
    <w:p w14:paraId="097E6712" w14:textId="77777777" w:rsidR="002E3D72" w:rsidRPr="00DB1BB6" w:rsidRDefault="002E3D72" w:rsidP="00806D43">
      <w:pPr>
        <w:pStyle w:val="GazetteListRomanNumeral"/>
        <w:numPr>
          <w:ilvl w:val="1"/>
          <w:numId w:val="29"/>
        </w:numPr>
        <w:ind w:left="2628"/>
      </w:pPr>
      <w:r w:rsidRPr="00DB1BB6">
        <w:t>Uncommonly occurring (1 to 10 animals/1000 animals treated) side effects included: ataxia, polyuria, pyoderma, leukopenia, leucocytosis, and increased appetite.</w:t>
      </w:r>
    </w:p>
    <w:p w14:paraId="5144C6F9" w14:textId="77777777" w:rsidR="002E3D72" w:rsidRDefault="002E3D72" w:rsidP="00EB564D">
      <w:pPr>
        <w:pStyle w:val="GazetteListRomanNumeral"/>
        <w:numPr>
          <w:ilvl w:val="0"/>
          <w:numId w:val="0"/>
        </w:numPr>
        <w:ind w:left="1474"/>
        <w:rPr>
          <w:b/>
          <w:bCs/>
        </w:rPr>
      </w:pPr>
      <w:r>
        <w:rPr>
          <w:b/>
          <w:bCs/>
        </w:rPr>
        <w:t>Overdose</w:t>
      </w:r>
    </w:p>
    <w:p w14:paraId="56922974" w14:textId="77777777" w:rsidR="002E3D72" w:rsidRPr="00DB1BB6" w:rsidRDefault="002E3D72" w:rsidP="00806D43">
      <w:pPr>
        <w:pStyle w:val="GazetteListRomanNumeral"/>
        <w:numPr>
          <w:ilvl w:val="0"/>
          <w:numId w:val="30"/>
        </w:numPr>
        <w:ind w:left="1834"/>
      </w:pPr>
      <w:proofErr w:type="spellStart"/>
      <w:r w:rsidRPr="00DB1BB6">
        <w:t>Ilunocitinib</w:t>
      </w:r>
      <w:proofErr w:type="spellEnd"/>
      <w:r w:rsidRPr="00DB1BB6">
        <w:t xml:space="preserve"> tablets were administered orally to healthy 11</w:t>
      </w:r>
      <w:r w:rsidRPr="00DB1BB6">
        <w:t>–</w:t>
      </w:r>
      <w:r w:rsidRPr="00DB1BB6">
        <w:t xml:space="preserve">12-month-old Beagle dogs once daily for 6 months at 0.8 mg/kg, 1.6 mg/kg, 2.4 mg/kg and 4.0 mg/kg body weight. Clinical signs that were likely to be related to </w:t>
      </w:r>
      <w:proofErr w:type="spellStart"/>
      <w:r w:rsidRPr="00DB1BB6">
        <w:t>ilunocitinib</w:t>
      </w:r>
      <w:proofErr w:type="spellEnd"/>
      <w:r w:rsidRPr="00DB1BB6">
        <w:t xml:space="preserve"> treatment were classified as a form of interdigital pyoderma (including interdigital cysts with or without discharge, swollen and/or scabs on the paws, and paw thickening and/or discolouration).</w:t>
      </w:r>
    </w:p>
    <w:p w14:paraId="404D2FAA" w14:textId="77777777" w:rsidR="002E3D72" w:rsidRPr="00DB1BB6" w:rsidRDefault="002E3D72" w:rsidP="00806D43">
      <w:pPr>
        <w:pStyle w:val="GazetteListRomanNumeral"/>
        <w:numPr>
          <w:ilvl w:val="0"/>
          <w:numId w:val="30"/>
        </w:numPr>
        <w:ind w:left="1834"/>
      </w:pPr>
      <w:r w:rsidRPr="00DB1BB6">
        <w:t>There was a mild but significant decrease in mean haemoglobin in pooled sexes at 2X and higher the recommended dose, with haematocrit and red blood cell count decreased at doses 3X and higher. This corresponded to a significant decrease in mean corpuscular haemoglobin and mean corpuscular haemoglobin concentration over time.</w:t>
      </w:r>
    </w:p>
    <w:p w14:paraId="6C2A7581" w14:textId="77777777" w:rsidR="002E3D72" w:rsidRPr="00DB1BB6" w:rsidRDefault="002E3D72" w:rsidP="00806D43">
      <w:pPr>
        <w:pStyle w:val="GazetteListRomanNumeral"/>
        <w:numPr>
          <w:ilvl w:val="0"/>
          <w:numId w:val="30"/>
        </w:numPr>
        <w:ind w:left="1834"/>
      </w:pPr>
      <w:r w:rsidRPr="00DB1BB6">
        <w:t>There is no specific antidote and in case of signs of overdose the dog should be treated symptomatically.</w:t>
      </w:r>
    </w:p>
    <w:p w14:paraId="33EAD385" w14:textId="77777777" w:rsidR="002E3D72" w:rsidRPr="00AB2B9A" w:rsidRDefault="002E3D72" w:rsidP="002E3D72">
      <w:pPr>
        <w:pStyle w:val="GazetteListNumbered"/>
      </w:pPr>
      <w:r w:rsidRPr="00AB2B9A">
        <w:t xml:space="preserve">The APVMA has evaluated the application and in its assessment in relation to whether the </w:t>
      </w:r>
      <w:r w:rsidRPr="00AB2B9A">
        <w:rPr>
          <w:b/>
          <w:bCs/>
        </w:rPr>
        <w:t>efficacy criteria</w:t>
      </w:r>
      <w:r w:rsidRPr="00AB2B9A">
        <w:t xml:space="preserve"> have been met in accordance with the definition set out in section 5B of the </w:t>
      </w:r>
      <w:proofErr w:type="spellStart"/>
      <w:r w:rsidRPr="00AB2B9A">
        <w:t>Agvet</w:t>
      </w:r>
      <w:proofErr w:type="spellEnd"/>
      <w:r w:rsidRPr="00AB2B9A">
        <w:t xml:space="preserve"> Code, and proposes to determine that:</w:t>
      </w:r>
    </w:p>
    <w:p w14:paraId="52C16052" w14:textId="77777777" w:rsidR="002E3D72" w:rsidRDefault="002E3D72" w:rsidP="00EB564D">
      <w:pPr>
        <w:pStyle w:val="GazetteListRomanNumeral"/>
        <w:ind w:left="567"/>
      </w:pPr>
      <w:r w:rsidRPr="00877732">
        <w:t>In relation to its assessment of efficacy the APVMA is satisfied that data from trials supporting the efficacy of the product adequately demonstrate that if used according to the product label directions, the product is effective for its proposed uses.</w:t>
      </w:r>
    </w:p>
    <w:p w14:paraId="5F98FCCF" w14:textId="77777777" w:rsidR="002E3D72" w:rsidRDefault="002E3D72" w:rsidP="00EB564D">
      <w:pPr>
        <w:pStyle w:val="GazetteListRomanNumeral"/>
        <w:numPr>
          <w:ilvl w:val="1"/>
          <w:numId w:val="4"/>
        </w:numPr>
        <w:ind w:left="1491" w:hanging="357"/>
      </w:pPr>
      <w:r>
        <w:t>Pharmacokinetics:</w:t>
      </w:r>
    </w:p>
    <w:p w14:paraId="0B2774EF" w14:textId="3197F14B" w:rsidR="002E3D72" w:rsidRDefault="002E3D72" w:rsidP="00EB564D">
      <w:pPr>
        <w:pStyle w:val="GazetteListRomanNumeral"/>
        <w:numPr>
          <w:ilvl w:val="2"/>
          <w:numId w:val="4"/>
        </w:numPr>
        <w:ind w:left="2061" w:hanging="360"/>
      </w:pPr>
      <w:r w:rsidRPr="00A47A65">
        <w:t xml:space="preserve">Nine </w:t>
      </w:r>
      <w:r w:rsidRPr="00A47A65">
        <w:rPr>
          <w:i/>
          <w:iCs/>
        </w:rPr>
        <w:t xml:space="preserve">in vivo </w:t>
      </w:r>
      <w:r w:rsidRPr="00A47A65">
        <w:t xml:space="preserve">studies investigated the pharmacokinetics of </w:t>
      </w:r>
      <w:proofErr w:type="spellStart"/>
      <w:r w:rsidRPr="00A47A65">
        <w:t>ilunocitinib</w:t>
      </w:r>
      <w:proofErr w:type="spellEnd"/>
      <w:r w:rsidRPr="00A47A65">
        <w:t xml:space="preserve"> (phosphate salt or base) in dogs after </w:t>
      </w:r>
      <w:r>
        <w:t>intravenous (</w:t>
      </w:r>
      <w:r w:rsidRPr="00A47A65">
        <w:t>IV</w:t>
      </w:r>
      <w:r>
        <w:t>)</w:t>
      </w:r>
      <w:r w:rsidRPr="00A47A65">
        <w:t xml:space="preserve"> or oral administration (fed or fasted state, solution or tablets) at various doses. Some studies used the final tablet formulation.</w:t>
      </w:r>
    </w:p>
    <w:p w14:paraId="03BD9F3D" w14:textId="77777777" w:rsidR="002E3D72" w:rsidRDefault="002E3D72" w:rsidP="00EB564D">
      <w:pPr>
        <w:pStyle w:val="GazetteListRomanNumeral"/>
        <w:numPr>
          <w:ilvl w:val="2"/>
          <w:numId w:val="4"/>
        </w:numPr>
        <w:ind w:left="2061" w:hanging="360"/>
      </w:pPr>
      <w:r>
        <w:t xml:space="preserve">After oral administration of the tablet at 0.8 mg/kg </w:t>
      </w:r>
      <w:proofErr w:type="spellStart"/>
      <w:r>
        <w:t>ilunocitinib</w:t>
      </w:r>
      <w:proofErr w:type="spellEnd"/>
      <w:r>
        <w:t xml:space="preserve"> in fed dogs, the absolute bioavailability was 80% with a </w:t>
      </w:r>
      <w:proofErr w:type="spellStart"/>
      <w:r>
        <w:t>Cmax</w:t>
      </w:r>
      <w:proofErr w:type="spellEnd"/>
      <w:r>
        <w:t xml:space="preserve"> of 268 ng/</w:t>
      </w:r>
      <w:proofErr w:type="spellStart"/>
      <w:r>
        <w:t>mL.</w:t>
      </w:r>
      <w:proofErr w:type="spellEnd"/>
      <w:r>
        <w:t xml:space="preserve"> The elimination half-life was 5.0 hours. In fasted dogs, oral bioavailability was 58%, with a </w:t>
      </w:r>
      <w:proofErr w:type="spellStart"/>
      <w:r>
        <w:t>Cmax</w:t>
      </w:r>
      <w:proofErr w:type="spellEnd"/>
      <w:r>
        <w:t xml:space="preserve"> of 122 ng/mL and a similar elimination half-life as observed in fed dogs (5.4 hours). Time to peak plasma concentrations (</w:t>
      </w:r>
      <w:proofErr w:type="spellStart"/>
      <w:r>
        <w:t>Tmax</w:t>
      </w:r>
      <w:proofErr w:type="spellEnd"/>
      <w:r>
        <w:t>) was between 1 to 4 hours. After repeated oral administration there was no significant accumulation.</w:t>
      </w:r>
    </w:p>
    <w:p w14:paraId="1C92934C" w14:textId="77777777" w:rsidR="002E3D72" w:rsidRDefault="002E3D72" w:rsidP="00EB564D">
      <w:pPr>
        <w:pStyle w:val="GazetteListRomanNumeral"/>
        <w:numPr>
          <w:ilvl w:val="2"/>
          <w:numId w:val="4"/>
        </w:numPr>
        <w:ind w:left="2061" w:hanging="360"/>
      </w:pPr>
      <w:r>
        <w:lastRenderedPageBreak/>
        <w:t xml:space="preserve">After IV administration of 0.8 mg/kg, </w:t>
      </w:r>
      <w:proofErr w:type="spellStart"/>
      <w:r>
        <w:t>ilunocitinib</w:t>
      </w:r>
      <w:proofErr w:type="spellEnd"/>
      <w:r>
        <w:t xml:space="preserve"> had a low plasma clearance of 437 mL/h/kg. The volume of distribution was 1.58 L/kg and terminal half-life was 4.4 hours.</w:t>
      </w:r>
    </w:p>
    <w:p w14:paraId="3E297D90" w14:textId="77777777" w:rsidR="002E3D72" w:rsidRDefault="002E3D72" w:rsidP="00EB564D">
      <w:pPr>
        <w:pStyle w:val="GazetteListRomanNumeral"/>
        <w:numPr>
          <w:ilvl w:val="1"/>
          <w:numId w:val="4"/>
        </w:numPr>
        <w:ind w:left="1491" w:hanging="357"/>
      </w:pPr>
      <w:r>
        <w:t>D</w:t>
      </w:r>
      <w:r w:rsidRPr="00140CAF">
        <w:t xml:space="preserve">ose </w:t>
      </w:r>
      <w:r w:rsidRPr="00EA63FF">
        <w:t xml:space="preserve">0.6 to 0.8 mg </w:t>
      </w:r>
      <w:proofErr w:type="spellStart"/>
      <w:r w:rsidRPr="00EA63FF">
        <w:t>ilunocitinib</w:t>
      </w:r>
      <w:proofErr w:type="spellEnd"/>
      <w:r w:rsidRPr="00EA63FF">
        <w:t>/kg body weight</w:t>
      </w:r>
      <w:r>
        <w:t xml:space="preserve"> was chosen based on a d</w:t>
      </w:r>
      <w:r w:rsidRPr="00140CAF">
        <w:t>ose confirmation stud</w:t>
      </w:r>
      <w:r>
        <w:t>y</w:t>
      </w:r>
      <w:r w:rsidRPr="00140CAF">
        <w:t xml:space="preserve"> </w:t>
      </w:r>
      <w:r>
        <w:t xml:space="preserve">that </w:t>
      </w:r>
      <w:r w:rsidRPr="00140CAF">
        <w:t xml:space="preserve">investigated doses of </w:t>
      </w:r>
      <w:proofErr w:type="spellStart"/>
      <w:r w:rsidRPr="00140CAF">
        <w:t>ilunocitinib</w:t>
      </w:r>
      <w:proofErr w:type="spellEnd"/>
      <w:r w:rsidRPr="00140CAF">
        <w:t xml:space="preserve"> of 0.1, 0.4, and 0.8 </w:t>
      </w:r>
      <w:r>
        <w:t xml:space="preserve">mg </w:t>
      </w:r>
      <w:proofErr w:type="spellStart"/>
      <w:r w:rsidRPr="00EA63FF">
        <w:t>ilunocitinib</w:t>
      </w:r>
      <w:proofErr w:type="spellEnd"/>
      <w:r w:rsidRPr="00EA63FF">
        <w:t>/kg body weight</w:t>
      </w:r>
      <w:r>
        <w:t xml:space="preserve">. </w:t>
      </w:r>
    </w:p>
    <w:p w14:paraId="58C2C491" w14:textId="77777777" w:rsidR="002E3D72" w:rsidRDefault="002E3D72" w:rsidP="00EB564D">
      <w:pPr>
        <w:pStyle w:val="GazetteListRomanNumeral"/>
        <w:numPr>
          <w:ilvl w:val="1"/>
          <w:numId w:val="4"/>
        </w:numPr>
        <w:ind w:left="1491" w:hanging="357"/>
      </w:pPr>
      <w:r w:rsidRPr="00140CAF">
        <w:t xml:space="preserve">Three </w:t>
      </w:r>
      <w:r>
        <w:t xml:space="preserve">confirmatory/pivotal field </w:t>
      </w:r>
      <w:r w:rsidRPr="00140CAF">
        <w:t>studies were conducted in privately-owned dogs</w:t>
      </w:r>
      <w:r>
        <w:t>.</w:t>
      </w:r>
      <w:r w:rsidRPr="00140CAF">
        <w:t xml:space="preserve"> </w:t>
      </w:r>
      <w:r>
        <w:t>T</w:t>
      </w:r>
      <w:r w:rsidRPr="00140CAF">
        <w:t xml:space="preserve">he proposed product was administered at the </w:t>
      </w:r>
      <w:r>
        <w:t>recommended</w:t>
      </w:r>
      <w:r w:rsidRPr="00140CAF">
        <w:t xml:space="preserve"> dose</w:t>
      </w:r>
      <w:r>
        <w:t xml:space="preserve"> </w:t>
      </w:r>
      <w:r w:rsidRPr="00EA63FF">
        <w:t xml:space="preserve">0.6 to 0.8 mg </w:t>
      </w:r>
      <w:proofErr w:type="spellStart"/>
      <w:r w:rsidRPr="00EA63FF">
        <w:t>ilunocitinib</w:t>
      </w:r>
      <w:proofErr w:type="spellEnd"/>
      <w:r w:rsidRPr="00EA63FF">
        <w:t>/kg body weight</w:t>
      </w:r>
      <w:r>
        <w:t xml:space="preserve"> once per day</w:t>
      </w:r>
      <w:r w:rsidRPr="00140CAF">
        <w:t>.</w:t>
      </w:r>
      <w:r w:rsidRPr="005B4F1C">
        <w:t xml:space="preserve"> Tablets may be administered in the fed or fasted state</w:t>
      </w:r>
      <w:r>
        <w:t>.</w:t>
      </w:r>
      <w:r w:rsidRPr="00140CAF">
        <w:t xml:space="preserve"> </w:t>
      </w:r>
      <w:r>
        <w:t>T</w:t>
      </w:r>
      <w:r w:rsidRPr="00D81B35">
        <w:t>he pivotal study program</w:t>
      </w:r>
      <w:r>
        <w:t xml:space="preserve"> was as follows</w:t>
      </w:r>
      <w:r w:rsidRPr="00D81B35">
        <w:t>:</w:t>
      </w:r>
    </w:p>
    <w:p w14:paraId="42FBE4EA" w14:textId="168F507A" w:rsidR="002E3D72" w:rsidRPr="00806D43" w:rsidRDefault="002E3D72" w:rsidP="00806D43">
      <w:pPr>
        <w:pStyle w:val="ListParagraph"/>
        <w:numPr>
          <w:ilvl w:val="2"/>
          <w:numId w:val="4"/>
        </w:numPr>
        <w:spacing w:after="160" w:line="280" w:lineRule="exact"/>
        <w:ind w:left="2625" w:hanging="357"/>
        <w:rPr>
          <w:rStyle w:val="GazetteNormalTextChar"/>
        </w:rPr>
      </w:pPr>
      <w:r w:rsidRPr="00D81B35">
        <w:rPr>
          <w:rFonts w:eastAsia="Arial Unicode MS" w:hAnsi="Arial Unicode MS" w:cs="Arial Unicode MS"/>
          <w:color w:val="000000"/>
          <w:szCs w:val="18"/>
          <w:u w:color="000000"/>
          <w:bdr w:val="nil"/>
          <w:lang w:val="en-GB" w:eastAsia="en-AU"/>
        </w:rPr>
        <w:t xml:space="preserve">For allergic dermatitis (pruritus), which </w:t>
      </w:r>
      <w:r>
        <w:rPr>
          <w:rFonts w:eastAsia="Arial Unicode MS" w:hAnsi="Arial Unicode MS" w:cs="Arial Unicode MS"/>
          <w:color w:val="000000"/>
          <w:szCs w:val="18"/>
          <w:u w:color="000000"/>
          <w:bdr w:val="nil"/>
          <w:lang w:val="en-GB" w:eastAsia="en-AU"/>
        </w:rPr>
        <w:t>is</w:t>
      </w:r>
      <w:r w:rsidRPr="00D81B35">
        <w:rPr>
          <w:rFonts w:eastAsia="Arial Unicode MS" w:hAnsi="Arial Unicode MS" w:cs="Arial Unicode MS"/>
          <w:color w:val="000000"/>
          <w:szCs w:val="18"/>
          <w:u w:color="000000"/>
          <w:bdr w:val="nil"/>
          <w:lang w:val="en-GB" w:eastAsia="en-AU"/>
        </w:rPr>
        <w:t xml:space="preserve"> considers a shorter-term indication based on the causative allergen, the </w:t>
      </w:r>
      <w:r>
        <w:rPr>
          <w:rFonts w:eastAsia="Arial Unicode MS" w:hAnsi="Arial Unicode MS" w:cs="Arial Unicode MS"/>
          <w:color w:val="000000"/>
          <w:szCs w:val="18"/>
          <w:u w:color="000000"/>
          <w:bdr w:val="nil"/>
          <w:lang w:val="en-GB" w:eastAsia="en-AU"/>
        </w:rPr>
        <w:t xml:space="preserve">therapeutic success </w:t>
      </w:r>
      <w:r w:rsidRPr="00D81B35">
        <w:rPr>
          <w:rFonts w:eastAsia="Arial Unicode MS" w:hAnsi="Arial Unicode MS" w:cs="Arial Unicode MS"/>
          <w:color w:val="000000"/>
          <w:szCs w:val="18"/>
          <w:u w:color="000000"/>
          <w:bdr w:val="nil"/>
          <w:lang w:val="en-GB" w:eastAsia="en-AU"/>
        </w:rPr>
        <w:t xml:space="preserve">requirement was a 50% reduction in </w:t>
      </w:r>
      <w:r w:rsidRPr="00500313">
        <w:rPr>
          <w:rFonts w:eastAsia="Arial Unicode MS" w:hAnsi="Arial Unicode MS" w:cs="Arial Unicode MS"/>
          <w:color w:val="000000"/>
          <w:szCs w:val="18"/>
          <w:u w:color="000000"/>
          <w:bdr w:val="nil"/>
          <w:lang w:eastAsia="en-AU"/>
        </w:rPr>
        <w:t>Owner Pruritus Visual Analog Scale (PVAS</w:t>
      </w:r>
      <w:r w:rsidRPr="00500313">
        <w:rPr>
          <w:rFonts w:eastAsia="Arial Unicode MS" w:hAnsi="Arial Unicode MS" w:cs="Arial Unicode MS"/>
          <w:color w:val="000000"/>
          <w:szCs w:val="18"/>
          <w:u w:color="000000"/>
          <w:bdr w:val="nil"/>
          <w:lang w:val="en-GB" w:eastAsia="en-AU"/>
        </w:rPr>
        <w:t>)</w:t>
      </w:r>
      <w:r w:rsidRPr="00D81B35">
        <w:rPr>
          <w:rFonts w:eastAsia="Arial Unicode MS" w:hAnsi="Arial Unicode MS" w:cs="Arial Unicode MS"/>
          <w:color w:val="000000"/>
          <w:szCs w:val="18"/>
          <w:u w:color="000000"/>
          <w:bdr w:val="nil"/>
          <w:lang w:val="en-GB" w:eastAsia="en-AU"/>
        </w:rPr>
        <w:t xml:space="preserve"> on at least 5 of the first 7 days.</w:t>
      </w:r>
    </w:p>
    <w:p w14:paraId="5489B09C" w14:textId="0C6371B3" w:rsidR="002E3D72" w:rsidRPr="006528CB" w:rsidRDefault="002E3D72" w:rsidP="00806D43">
      <w:pPr>
        <w:pStyle w:val="GazetteNormalText"/>
        <w:ind w:left="2608"/>
      </w:pPr>
      <w:r w:rsidRPr="006528CB">
        <w:t xml:space="preserve">Secondary endpoints: reduction from baseline in </w:t>
      </w:r>
      <w:r w:rsidRPr="00C559A0">
        <w:t>investigator</w:t>
      </w:r>
      <w:r w:rsidRPr="00C559A0">
        <w:t>‐</w:t>
      </w:r>
      <w:r w:rsidRPr="00C559A0">
        <w:t>assessed dermatitis Visual Analog Scale (DVAS)</w:t>
      </w:r>
      <w:r w:rsidRPr="006528CB">
        <w:t xml:space="preserve"> and PVAS, the proportion of dogs with at least a 50% reduction from baseline in PVAS and the proportion of dogs with </w:t>
      </w:r>
      <w:r w:rsidRPr="006528CB">
        <w:t>≥</w:t>
      </w:r>
      <w:r w:rsidRPr="006528CB">
        <w:t>2-unit reduction from baseline in owner PVAS.</w:t>
      </w:r>
    </w:p>
    <w:p w14:paraId="41493513" w14:textId="5F674FE3" w:rsidR="002E3D72" w:rsidRDefault="002E3D72" w:rsidP="00806D43">
      <w:pPr>
        <w:pStyle w:val="GazetteListRomanNumeral"/>
        <w:numPr>
          <w:ilvl w:val="2"/>
          <w:numId w:val="4"/>
        </w:numPr>
        <w:ind w:left="2625" w:hanging="357"/>
      </w:pPr>
      <w:r>
        <w:t xml:space="preserve">For </w:t>
      </w:r>
      <w:r w:rsidRPr="00D81B35">
        <w:t>atopic dermatitis</w:t>
      </w:r>
      <w:r>
        <w:t>,</w:t>
      </w:r>
      <w:r w:rsidRPr="00D81B35">
        <w:t xml:space="preserve"> the </w:t>
      </w:r>
      <w:r>
        <w:t xml:space="preserve">therapeutic success </w:t>
      </w:r>
      <w:r w:rsidRPr="00D81B35">
        <w:t>requirement was</w:t>
      </w:r>
      <w:r>
        <w:t xml:space="preserve"> </w:t>
      </w:r>
      <w:r w:rsidRPr="00D81B35">
        <w:t xml:space="preserve">a 50% reduction from baseline at Day 28 for </w:t>
      </w:r>
      <w:r>
        <w:t>PVAS</w:t>
      </w:r>
      <w:r w:rsidRPr="00D81B35">
        <w:t xml:space="preserve"> and/or Canine Atopic Dermatitis Extent and Severity Index-4 (CADESI-4), compared to placebo</w:t>
      </w:r>
      <w:r>
        <w:t>.</w:t>
      </w:r>
    </w:p>
    <w:p w14:paraId="30860307" w14:textId="77777777" w:rsidR="002E3D72" w:rsidRDefault="002E3D72" w:rsidP="00806D43">
      <w:pPr>
        <w:pStyle w:val="GazetteListRomanNumeral"/>
        <w:numPr>
          <w:ilvl w:val="0"/>
          <w:numId w:val="0"/>
        </w:numPr>
        <w:ind w:left="2608"/>
      </w:pPr>
      <w:r w:rsidRPr="00BE6786">
        <w:t xml:space="preserve">Secondary endpoints: </w:t>
      </w:r>
      <w:r>
        <w:t xml:space="preserve">included </w:t>
      </w:r>
      <w:r w:rsidRPr="00BE6786">
        <w:t xml:space="preserve">proportion of dogs at selected time-points with </w:t>
      </w:r>
      <w:r w:rsidRPr="00BE6786">
        <w:t>≥</w:t>
      </w:r>
      <w:r w:rsidRPr="00BE6786">
        <w:t xml:space="preserve">50% reduction from baseline in PVAS </w:t>
      </w:r>
      <w:r>
        <w:t xml:space="preserve">and </w:t>
      </w:r>
      <w:r w:rsidRPr="00BE6786">
        <w:t xml:space="preserve">CADESI4 and the proportion of dogs with </w:t>
      </w:r>
      <w:r w:rsidRPr="00BE6786">
        <w:t>≥</w:t>
      </w:r>
      <w:r w:rsidRPr="00BE6786">
        <w:t>2-unit reduction from baseline in PVAS and CADESI4.</w:t>
      </w:r>
    </w:p>
    <w:p w14:paraId="202EF751" w14:textId="77777777" w:rsidR="002E3D72" w:rsidRDefault="002E3D72" w:rsidP="00806D43">
      <w:pPr>
        <w:pStyle w:val="GazetteListRomanNumeral"/>
        <w:numPr>
          <w:ilvl w:val="1"/>
          <w:numId w:val="4"/>
        </w:numPr>
        <w:ind w:left="1494"/>
      </w:pPr>
      <w:r>
        <w:t xml:space="preserve">Field study evaluating </w:t>
      </w:r>
      <w:proofErr w:type="spellStart"/>
      <w:r>
        <w:t>Zenrelia</w:t>
      </w:r>
      <w:proofErr w:type="spellEnd"/>
      <w:r>
        <w:t xml:space="preserve"> for allergic dermatitis</w:t>
      </w:r>
      <w:r w:rsidRPr="005E476F">
        <w:t>:</w:t>
      </w:r>
    </w:p>
    <w:p w14:paraId="44D294C0" w14:textId="24A89C54" w:rsidR="002E3D72" w:rsidRDefault="002E3D72" w:rsidP="00806D43">
      <w:pPr>
        <w:pStyle w:val="GazetteListRomanNumeral"/>
        <w:numPr>
          <w:ilvl w:val="2"/>
          <w:numId w:val="4"/>
        </w:numPr>
        <w:ind w:left="2628" w:hanging="360"/>
      </w:pPr>
      <w:r>
        <w:t xml:space="preserve">A double-blind, randomised, placebo-controlled field study was conducted in the US, enrolling 306 client-owned dogs diagnosed with various types of allergic dermatitis. Dogs were randomised to once daily treatment with </w:t>
      </w:r>
      <w:proofErr w:type="spellStart"/>
      <w:r>
        <w:t>Zenrelia</w:t>
      </w:r>
      <w:proofErr w:type="spellEnd"/>
      <w:r>
        <w:t xml:space="preserve"> at 0.6 </w:t>
      </w:r>
      <w:r>
        <w:t>–</w:t>
      </w:r>
      <w:r>
        <w:t xml:space="preserve"> 0.8 mg/kg or placebo, at a ratio of 2:1 respectively. The proportion of </w:t>
      </w:r>
      <w:proofErr w:type="spellStart"/>
      <w:r>
        <w:t>Zenrelia</w:t>
      </w:r>
      <w:proofErr w:type="spellEnd"/>
      <w:r>
        <w:t xml:space="preserve"> treated dogs that were therapeutic successes (25.4%) was statistically significantly different (p=0.006) to the placebo group (7.7%).</w:t>
      </w:r>
    </w:p>
    <w:p w14:paraId="5DA157AD" w14:textId="231289D8" w:rsidR="002E3D72" w:rsidRDefault="002E3D72" w:rsidP="00806D43">
      <w:pPr>
        <w:pStyle w:val="GazetteListRomanNumeral"/>
        <w:numPr>
          <w:ilvl w:val="2"/>
          <w:numId w:val="4"/>
        </w:numPr>
        <w:ind w:left="2628" w:hanging="360"/>
      </w:pPr>
      <w:r>
        <w:t>For DVAS scores: At</w:t>
      </w:r>
      <w:r w:rsidRPr="00653095">
        <w:t xml:space="preserve"> the Day 28 visit </w:t>
      </w:r>
      <w:r>
        <w:t>74.7</w:t>
      </w:r>
      <w:r w:rsidRPr="000B157F">
        <w:t xml:space="preserve">% of </w:t>
      </w:r>
      <w:proofErr w:type="spellStart"/>
      <w:r>
        <w:t>Zenrelia</w:t>
      </w:r>
      <w:proofErr w:type="spellEnd"/>
      <w:r>
        <w:t xml:space="preserve"> (</w:t>
      </w:r>
      <w:r w:rsidRPr="000B157F">
        <w:t>IVP</w:t>
      </w:r>
      <w:r>
        <w:t>)</w:t>
      </w:r>
      <w:r w:rsidRPr="000B157F">
        <w:t xml:space="preserve"> </w:t>
      </w:r>
      <w:r>
        <w:t>treated dogs</w:t>
      </w:r>
      <w:r w:rsidRPr="000B157F">
        <w:t xml:space="preserve"> were in the normal category</w:t>
      </w:r>
      <w:r>
        <w:t xml:space="preserve"> versus</w:t>
      </w:r>
      <w:r w:rsidRPr="000B157F">
        <w:t xml:space="preserve"> </w:t>
      </w:r>
      <w:r>
        <w:t>35.6</w:t>
      </w:r>
      <w:r w:rsidRPr="000B157F">
        <w:t>% in the placebo</w:t>
      </w:r>
      <w:r>
        <w:t xml:space="preserve"> (p&lt;0.001). </w:t>
      </w:r>
      <w:r w:rsidRPr="00653095">
        <w:t xml:space="preserve">At D56, the differences between groups appeared minimal (89.2%IVP, 78.9%Placebo). By Day 84, the placebo group </w:t>
      </w:r>
      <w:r>
        <w:t>exhibited</w:t>
      </w:r>
      <w:r w:rsidRPr="00653095">
        <w:t xml:space="preserve"> higher cases with normal DVAS scores than the treated group (87.9%IVP; 100% Placebo). </w:t>
      </w:r>
      <w:r>
        <w:t xml:space="preserve">Due to the </w:t>
      </w:r>
      <w:r w:rsidRPr="000B157F">
        <w:t>attrition in control dogs</w:t>
      </w:r>
      <w:r>
        <w:t>,</w:t>
      </w:r>
      <w:r w:rsidRPr="000B157F">
        <w:t xml:space="preserve"> interpretation of results after Day 28</w:t>
      </w:r>
      <w:r>
        <w:t xml:space="preserve"> is unclear.</w:t>
      </w:r>
    </w:p>
    <w:p w14:paraId="11AD5E18" w14:textId="4B6319D7" w:rsidR="002E3D72" w:rsidRDefault="002E3D72" w:rsidP="00806D43">
      <w:pPr>
        <w:pStyle w:val="GazetteListRomanNumeral"/>
        <w:numPr>
          <w:ilvl w:val="2"/>
          <w:numId w:val="4"/>
        </w:numPr>
        <w:ind w:left="2628" w:hanging="360"/>
      </w:pPr>
      <w:r>
        <w:t>For P</w:t>
      </w:r>
      <w:r w:rsidRPr="00653095">
        <w:t>VAS</w:t>
      </w:r>
      <w:r>
        <w:t xml:space="preserve"> scores: </w:t>
      </w:r>
      <w:r w:rsidRPr="000B157F">
        <w:t xml:space="preserve">At Day 28, 51.4% of </w:t>
      </w:r>
      <w:proofErr w:type="spellStart"/>
      <w:r>
        <w:t>Zenrelia</w:t>
      </w:r>
      <w:proofErr w:type="spellEnd"/>
      <w:r>
        <w:t xml:space="preserve"> (</w:t>
      </w:r>
      <w:r w:rsidRPr="000B157F">
        <w:t>IVP</w:t>
      </w:r>
      <w:r>
        <w:t>)</w:t>
      </w:r>
      <w:r w:rsidRPr="000B157F">
        <w:t xml:space="preserve"> </w:t>
      </w:r>
      <w:r>
        <w:t xml:space="preserve">treated dogs </w:t>
      </w:r>
      <w:r w:rsidRPr="000B157F">
        <w:t>were in the normal category</w:t>
      </w:r>
      <w:r>
        <w:t xml:space="preserve"> versus</w:t>
      </w:r>
      <w:r w:rsidRPr="000B157F">
        <w:t xml:space="preserve"> 15.3% in the placebo</w:t>
      </w:r>
      <w:r>
        <w:t xml:space="preserve"> (p&lt;0.001)</w:t>
      </w:r>
      <w:r w:rsidRPr="000B157F">
        <w:t>. Thereafter the proportion of IVP cases with normal scores were 58.0%, 69.3% and 79.2% on days 56, 84 and 112 respectively, while the proportion of placebo</w:t>
      </w:r>
      <w:r>
        <w:t xml:space="preserve">-treated dogs </w:t>
      </w:r>
      <w:r w:rsidRPr="000B157F">
        <w:t>with normal scores on the same days were 36.8%, 43.8%, 53.3%.</w:t>
      </w:r>
      <w:r w:rsidRPr="00577939">
        <w:t xml:space="preserve"> </w:t>
      </w:r>
      <w:r>
        <w:t xml:space="preserve">Due to the </w:t>
      </w:r>
      <w:r w:rsidRPr="000B157F">
        <w:t>attrition in control dogs</w:t>
      </w:r>
      <w:r>
        <w:t>,</w:t>
      </w:r>
      <w:r w:rsidRPr="000B157F">
        <w:t xml:space="preserve"> interpretation of results after Day 28</w:t>
      </w:r>
      <w:r>
        <w:t xml:space="preserve"> is unclear.</w:t>
      </w:r>
    </w:p>
    <w:p w14:paraId="42FF74D1" w14:textId="77777777" w:rsidR="002E3D72" w:rsidRDefault="002E3D72" w:rsidP="00806D43">
      <w:pPr>
        <w:pStyle w:val="GazetteListRomanNumeral"/>
        <w:numPr>
          <w:ilvl w:val="1"/>
          <w:numId w:val="4"/>
        </w:numPr>
        <w:ind w:left="1494"/>
      </w:pPr>
      <w:r w:rsidRPr="006528CB">
        <w:t>Field stud</w:t>
      </w:r>
      <w:r>
        <w:t>ies</w:t>
      </w:r>
      <w:r w:rsidRPr="006528CB">
        <w:t xml:space="preserve"> evaluating </w:t>
      </w:r>
      <w:proofErr w:type="spellStart"/>
      <w:r>
        <w:t>Zenrelia</w:t>
      </w:r>
      <w:proofErr w:type="spellEnd"/>
      <w:r w:rsidRPr="006528CB">
        <w:t xml:space="preserve"> for atopic dermatitis:</w:t>
      </w:r>
    </w:p>
    <w:p w14:paraId="5D31554F" w14:textId="43AD29E5" w:rsidR="002E3D72" w:rsidRPr="000B157F" w:rsidRDefault="002E3D72" w:rsidP="00806D43">
      <w:pPr>
        <w:pStyle w:val="GazetteListRomanNumeral"/>
        <w:numPr>
          <w:ilvl w:val="2"/>
          <w:numId w:val="4"/>
        </w:numPr>
        <w:ind w:left="2268" w:hanging="360"/>
        <w:rPr>
          <w:lang w:val="en-AU"/>
        </w:rPr>
      </w:pPr>
      <w:r w:rsidRPr="00436E80">
        <w:t>A double</w:t>
      </w:r>
      <w:r>
        <w:t xml:space="preserve">-blind, randomised, placebo-controlled field study was conducted in the US and Canada, enrolling 268 client-owned dogs diagnosed with atopic dermatitis. Dogs were </w:t>
      </w:r>
      <w:r>
        <w:lastRenderedPageBreak/>
        <w:t xml:space="preserve">randomised to once daily treatment with </w:t>
      </w:r>
      <w:proofErr w:type="spellStart"/>
      <w:r>
        <w:t>Zenrelia</w:t>
      </w:r>
      <w:proofErr w:type="spellEnd"/>
      <w:r>
        <w:t xml:space="preserve"> at 0.6</w:t>
      </w:r>
      <w:r>
        <w:t>–</w:t>
      </w:r>
      <w:r>
        <w:t xml:space="preserve">0.8 mg/kg or placebo, at a ratio of 2:1 respectively. The proportion of dogs in the </w:t>
      </w:r>
      <w:proofErr w:type="spellStart"/>
      <w:r>
        <w:t>Zenrelia</w:t>
      </w:r>
      <w:proofErr w:type="spellEnd"/>
      <w:r>
        <w:t>-treated group that were therapeutic successes (82.9%) was significantly different (p &lt;0.001) to the placebo group (30.9%) on day 28.</w:t>
      </w:r>
    </w:p>
    <w:p w14:paraId="48A29A4E" w14:textId="77777777" w:rsidR="002E3D72" w:rsidRPr="00C52CA9" w:rsidRDefault="002E3D72" w:rsidP="00806D43">
      <w:pPr>
        <w:pStyle w:val="GazetteListRomanNumeral"/>
        <w:ind w:left="2268" w:hanging="360"/>
        <w:rPr>
          <w:lang w:val="en-AU"/>
        </w:rPr>
      </w:pPr>
      <w:r w:rsidRPr="00436E80">
        <w:t>For PVAS</w:t>
      </w:r>
      <w:r>
        <w:t xml:space="preserve"> scores: </w:t>
      </w:r>
      <w:r w:rsidRPr="00C52CA9">
        <w:t xml:space="preserve">PVAS scores shifted from moderate/severe (at least 6) at baseline toward the mild (4) to normal (&lt;2) categories over time in both groups. </w:t>
      </w:r>
      <w:r w:rsidRPr="000B157F">
        <w:rPr>
          <w:lang w:val="en-AU"/>
        </w:rPr>
        <w:t xml:space="preserve">The percentages of </w:t>
      </w:r>
      <w:proofErr w:type="spellStart"/>
      <w:r>
        <w:rPr>
          <w:lang w:val="en-AU"/>
        </w:rPr>
        <w:t>Zenrelia</w:t>
      </w:r>
      <w:proofErr w:type="spellEnd"/>
      <w:r>
        <w:rPr>
          <w:lang w:val="en-AU"/>
        </w:rPr>
        <w:t xml:space="preserve"> (</w:t>
      </w:r>
      <w:r w:rsidRPr="000B157F">
        <w:rPr>
          <w:lang w:val="en-AU"/>
        </w:rPr>
        <w:t>IVP</w:t>
      </w:r>
      <w:r>
        <w:rPr>
          <w:lang w:val="en-AU"/>
        </w:rPr>
        <w:t>) treated</w:t>
      </w:r>
      <w:r w:rsidRPr="000B157F">
        <w:rPr>
          <w:lang w:val="en-AU"/>
        </w:rPr>
        <w:t xml:space="preserve"> dogs with scores of normal were 32.7%, 43.5% and 47.1% at days 14, 28 and 56 respectively, vs 9.6%, 7.4% and 10.8 % respectively in the placebo group</w:t>
      </w:r>
      <w:r>
        <w:rPr>
          <w:lang w:val="en-AU"/>
        </w:rPr>
        <w:t xml:space="preserve">. </w:t>
      </w:r>
      <w:r w:rsidRPr="000B157F">
        <w:rPr>
          <w:lang w:val="en-AU"/>
        </w:rPr>
        <w:t xml:space="preserve">While the percentages of </w:t>
      </w:r>
      <w:proofErr w:type="spellStart"/>
      <w:r>
        <w:rPr>
          <w:lang w:val="en-AU"/>
        </w:rPr>
        <w:t>Zenrelia</w:t>
      </w:r>
      <w:proofErr w:type="spellEnd"/>
      <w:r>
        <w:rPr>
          <w:lang w:val="en-AU"/>
        </w:rPr>
        <w:t xml:space="preserve"> (IVP) treated</w:t>
      </w:r>
      <w:r w:rsidRPr="000B157F">
        <w:rPr>
          <w:lang w:val="en-AU"/>
        </w:rPr>
        <w:t xml:space="preserve"> dogs with scores of very mild to normal were 60.2%, 66.7%, 77.1% at days 14, 28 and 56 respectively, vs 16.4%, 24.1% and 35.1 % respectively in the placebo group</w:t>
      </w:r>
      <w:r>
        <w:rPr>
          <w:lang w:val="en-AU"/>
        </w:rPr>
        <w:t>.</w:t>
      </w:r>
      <w:r w:rsidRPr="000B157F">
        <w:rPr>
          <w:lang w:val="en-AU"/>
        </w:rPr>
        <w:t xml:space="preserve"> By Day 84, over 85% of the dogs treated with </w:t>
      </w:r>
      <w:proofErr w:type="spellStart"/>
      <w:r>
        <w:rPr>
          <w:lang w:val="en-AU"/>
        </w:rPr>
        <w:t>Zenrelia</w:t>
      </w:r>
      <w:proofErr w:type="spellEnd"/>
      <w:r w:rsidRPr="000B157F">
        <w:rPr>
          <w:lang w:val="en-AU"/>
        </w:rPr>
        <w:t xml:space="preserve"> and 57% of the placebo animals were assessed by their owners as normal or having very mild pruritus</w:t>
      </w:r>
      <w:r>
        <w:rPr>
          <w:lang w:val="en-AU"/>
        </w:rPr>
        <w:t>.</w:t>
      </w:r>
      <w:r w:rsidRPr="006131B7">
        <w:t xml:space="preserve"> </w:t>
      </w:r>
      <w:r w:rsidRPr="006131B7">
        <w:rPr>
          <w:lang w:val="en-AU"/>
        </w:rPr>
        <w:t xml:space="preserve">Statistically, </w:t>
      </w:r>
      <w:r>
        <w:rPr>
          <w:lang w:val="en-AU"/>
        </w:rPr>
        <w:t xml:space="preserve">overall, </w:t>
      </w:r>
      <w:r w:rsidRPr="006131B7">
        <w:rPr>
          <w:lang w:val="en-AU"/>
        </w:rPr>
        <w:t xml:space="preserve">the </w:t>
      </w:r>
      <w:r>
        <w:rPr>
          <w:lang w:val="en-AU"/>
        </w:rPr>
        <w:t xml:space="preserve">differences in PAS scores between </w:t>
      </w:r>
      <w:proofErr w:type="spellStart"/>
      <w:r>
        <w:rPr>
          <w:lang w:val="en-AU"/>
        </w:rPr>
        <w:t>Zenrelia</w:t>
      </w:r>
      <w:proofErr w:type="spellEnd"/>
      <w:r>
        <w:rPr>
          <w:lang w:val="en-AU"/>
        </w:rPr>
        <w:t xml:space="preserve"> (</w:t>
      </w:r>
      <w:r w:rsidRPr="006131B7">
        <w:rPr>
          <w:lang w:val="en-AU"/>
        </w:rPr>
        <w:t>IVP</w:t>
      </w:r>
      <w:r>
        <w:rPr>
          <w:lang w:val="en-AU"/>
        </w:rPr>
        <w:t>)</w:t>
      </w:r>
      <w:r w:rsidRPr="006131B7">
        <w:rPr>
          <w:lang w:val="en-AU"/>
        </w:rPr>
        <w:t xml:space="preserve"> </w:t>
      </w:r>
      <w:r>
        <w:rPr>
          <w:lang w:val="en-AU"/>
        </w:rPr>
        <w:t xml:space="preserve">and placebo treated dogs were </w:t>
      </w:r>
      <w:r w:rsidRPr="006131B7">
        <w:rPr>
          <w:lang w:val="en-AU"/>
        </w:rPr>
        <w:t>significant (p = 0.006 overall).</w:t>
      </w:r>
    </w:p>
    <w:p w14:paraId="21067DAD" w14:textId="77777777" w:rsidR="002E3D72" w:rsidRPr="000B157F" w:rsidRDefault="002E3D72" w:rsidP="00806D43">
      <w:pPr>
        <w:pStyle w:val="GazetteListRomanNumeral"/>
        <w:numPr>
          <w:ilvl w:val="0"/>
          <w:numId w:val="0"/>
        </w:numPr>
        <w:ind w:left="2268"/>
        <w:rPr>
          <w:lang w:val="en-AU"/>
        </w:rPr>
      </w:pPr>
      <w:r>
        <w:t xml:space="preserve">For </w:t>
      </w:r>
      <w:r w:rsidRPr="000B157F">
        <w:t xml:space="preserve">CADESI4 </w:t>
      </w:r>
      <w:r>
        <w:t>s</w:t>
      </w:r>
      <w:r w:rsidRPr="000B157F">
        <w:t>cores</w:t>
      </w:r>
      <w:r>
        <w:t xml:space="preserve">: </w:t>
      </w:r>
      <w:r>
        <w:rPr>
          <w:lang w:val="en-AU"/>
        </w:rPr>
        <w:t>B</w:t>
      </w:r>
      <w:r w:rsidRPr="000B157F">
        <w:rPr>
          <w:lang w:val="en-AU"/>
        </w:rPr>
        <w:t xml:space="preserve">y Day 28, scores were in the normal range for 32.7% of IVP dogs </w:t>
      </w:r>
      <w:r>
        <w:rPr>
          <w:lang w:val="en-AU"/>
        </w:rPr>
        <w:t>versus</w:t>
      </w:r>
      <w:r w:rsidRPr="000B157F">
        <w:rPr>
          <w:lang w:val="en-AU"/>
        </w:rPr>
        <w:t xml:space="preserve"> 0% for placebo dogs</w:t>
      </w:r>
      <w:r>
        <w:rPr>
          <w:lang w:val="en-AU"/>
        </w:rPr>
        <w:t xml:space="preserve"> (p&lt;0.001)</w:t>
      </w:r>
      <w:r w:rsidRPr="000B157F">
        <w:rPr>
          <w:lang w:val="en-AU"/>
        </w:rPr>
        <w:t xml:space="preserve">. At Day 56 and 84, scores were in the normal range for 50.3% and 54.8% of </w:t>
      </w:r>
      <w:proofErr w:type="spellStart"/>
      <w:r>
        <w:rPr>
          <w:lang w:val="en-AU"/>
        </w:rPr>
        <w:t>Zenrelia</w:t>
      </w:r>
      <w:proofErr w:type="spellEnd"/>
      <w:r>
        <w:rPr>
          <w:lang w:val="en-AU"/>
        </w:rPr>
        <w:t xml:space="preserve"> (</w:t>
      </w:r>
      <w:r w:rsidRPr="000B157F">
        <w:rPr>
          <w:lang w:val="en-AU"/>
        </w:rPr>
        <w:t>IVP</w:t>
      </w:r>
      <w:r>
        <w:rPr>
          <w:lang w:val="en-AU"/>
        </w:rPr>
        <w:t>) treated</w:t>
      </w:r>
      <w:r w:rsidRPr="000B157F">
        <w:rPr>
          <w:lang w:val="en-AU"/>
        </w:rPr>
        <w:t xml:space="preserve"> dogs</w:t>
      </w:r>
      <w:r>
        <w:rPr>
          <w:lang w:val="en-AU"/>
        </w:rPr>
        <w:t xml:space="preserve"> versus 13.5% and 21.4 % placebo treated dogs</w:t>
      </w:r>
      <w:r w:rsidRPr="000B157F">
        <w:rPr>
          <w:lang w:val="en-AU"/>
        </w:rPr>
        <w:t>, respectively</w:t>
      </w:r>
      <w:r>
        <w:rPr>
          <w:lang w:val="en-AU"/>
        </w:rPr>
        <w:t xml:space="preserve"> (p&lt;0.001)</w:t>
      </w:r>
      <w:r w:rsidRPr="000B157F">
        <w:rPr>
          <w:lang w:val="en-AU"/>
        </w:rPr>
        <w:t>.</w:t>
      </w:r>
      <w:r>
        <w:rPr>
          <w:lang w:val="en-AU"/>
        </w:rPr>
        <w:t xml:space="preserve"> </w:t>
      </w:r>
      <w:r w:rsidRPr="00E21C33">
        <w:rPr>
          <w:lang w:val="en-AU"/>
        </w:rPr>
        <w:t xml:space="preserve">While 63.2% of IVP dogs in were in the normal range on </w:t>
      </w:r>
      <w:r>
        <w:rPr>
          <w:lang w:val="en-AU"/>
        </w:rPr>
        <w:t xml:space="preserve">Day </w:t>
      </w:r>
      <w:r w:rsidRPr="00E21C33">
        <w:rPr>
          <w:lang w:val="en-AU"/>
        </w:rPr>
        <w:t>112, 28.6% of placebo dogs were also in the normal range</w:t>
      </w:r>
      <w:r>
        <w:rPr>
          <w:lang w:val="en-AU"/>
        </w:rPr>
        <w:t xml:space="preserve"> (p&lt;0.001)</w:t>
      </w:r>
      <w:r w:rsidRPr="00E21C33">
        <w:rPr>
          <w:lang w:val="en-AU"/>
        </w:rPr>
        <w:t>.</w:t>
      </w:r>
    </w:p>
    <w:p w14:paraId="11101970" w14:textId="77777777" w:rsidR="002E3D72" w:rsidRDefault="002E3D72" w:rsidP="00806D43">
      <w:pPr>
        <w:pStyle w:val="GazetteListRomanNumeral"/>
        <w:numPr>
          <w:ilvl w:val="2"/>
          <w:numId w:val="4"/>
        </w:numPr>
        <w:ind w:left="2268" w:hanging="360"/>
      </w:pPr>
      <w:r w:rsidRPr="00436E80">
        <w:t>Anothe</w:t>
      </w:r>
      <w:r>
        <w:t xml:space="preserve">r double-blind, randomised, positive-controlled, multi-site field study was conducted in the EU. A total of 338 dogs diagnosed with atopic dermatitis were enrolled and randomised in a 1:1 ratio to the </w:t>
      </w:r>
      <w:proofErr w:type="spellStart"/>
      <w:r>
        <w:t>Zenrelia</w:t>
      </w:r>
      <w:proofErr w:type="spellEnd"/>
      <w:r>
        <w:t xml:space="preserve"> group and the positive control group (administered oclacitinib as an alternative JAK inhibitor). Dogs were dosed orally daily for up to 112 days. The evaluable population (334 dogs: 168 </w:t>
      </w:r>
      <w:proofErr w:type="spellStart"/>
      <w:r>
        <w:t>Zenrelia</w:t>
      </w:r>
      <w:proofErr w:type="spellEnd"/>
      <w:r>
        <w:t xml:space="preserve"> and 166 control) was assessed for the percentage reduction from baseline in the owner-assessed pruritus and investigator-assessed lesion score, at day 28. Non-inferiority to the positive control was demonstrated at day 28 (primary endpoint). The </w:t>
      </w:r>
      <w:proofErr w:type="spellStart"/>
      <w:r>
        <w:t>Zenrelia</w:t>
      </w:r>
      <w:proofErr w:type="spellEnd"/>
      <w:r>
        <w:t xml:space="preserve"> group achieved a mean of 67.8% reduction from baseline in pruritus, compared to 59.6% reduction in the oclacitinib group. The difference was statistically significant (p=0.005). The mean percentage reduction from baseline for skin lesions was 73.3% for the </w:t>
      </w:r>
      <w:proofErr w:type="spellStart"/>
      <w:r>
        <w:t>Zenrelia</w:t>
      </w:r>
      <w:proofErr w:type="spellEnd"/>
      <w:r>
        <w:t xml:space="preserve"> group and 68.8% for the oclacitinib group. The difference was statistically significant (p=0.042).</w:t>
      </w:r>
    </w:p>
    <w:p w14:paraId="31AC8B05" w14:textId="0F1F2733" w:rsidR="002E3D72" w:rsidRDefault="002E3D72" w:rsidP="00806D43">
      <w:pPr>
        <w:pStyle w:val="GazetteListRomanNumeral"/>
        <w:numPr>
          <w:ilvl w:val="0"/>
          <w:numId w:val="0"/>
        </w:numPr>
        <w:ind w:left="2268"/>
      </w:pPr>
      <w:r>
        <w:t>For P</w:t>
      </w:r>
      <w:r w:rsidRPr="00653095">
        <w:t>VAS</w:t>
      </w:r>
      <w:r>
        <w:t xml:space="preserve">: </w:t>
      </w:r>
      <w:r w:rsidRPr="000B157F">
        <w:t xml:space="preserve">By Day 28, 41.8% in the CP (Oclacitinib) group and 48.1% in the </w:t>
      </w:r>
      <w:proofErr w:type="spellStart"/>
      <w:r>
        <w:t>Zenerlia</w:t>
      </w:r>
      <w:proofErr w:type="spellEnd"/>
      <w:r>
        <w:t xml:space="preserve"> (</w:t>
      </w:r>
      <w:r w:rsidRPr="000B157F">
        <w:t>IVP</w:t>
      </w:r>
      <w:r>
        <w:t>) treated</w:t>
      </w:r>
      <w:r w:rsidRPr="000B157F">
        <w:t xml:space="preserve"> group were classified as normal. On Day 56 of the study, 62.0% of the dogs in the </w:t>
      </w:r>
      <w:proofErr w:type="spellStart"/>
      <w:r>
        <w:t>Zenrelia</w:t>
      </w:r>
      <w:proofErr w:type="spellEnd"/>
      <w:r>
        <w:t xml:space="preserve"> (</w:t>
      </w:r>
      <w:r w:rsidRPr="000B157F">
        <w:t>IVP</w:t>
      </w:r>
      <w:r>
        <w:t>)</w:t>
      </w:r>
      <w:r w:rsidRPr="000B157F">
        <w:t xml:space="preserve"> treated group were categori</w:t>
      </w:r>
      <w:r>
        <w:t>s</w:t>
      </w:r>
      <w:r w:rsidRPr="000B157F">
        <w:t xml:space="preserve">ed as normal versus 45.0% in the Oclacitinib group. By Day 84, 68.9% of the </w:t>
      </w:r>
      <w:proofErr w:type="spellStart"/>
      <w:r>
        <w:t>Zenrelia</w:t>
      </w:r>
      <w:proofErr w:type="spellEnd"/>
      <w:r>
        <w:t xml:space="preserve"> (</w:t>
      </w:r>
      <w:r w:rsidRPr="000B157F">
        <w:t>IVP</w:t>
      </w:r>
      <w:r>
        <w:t>)</w:t>
      </w:r>
      <w:r w:rsidRPr="000B157F">
        <w:t xml:space="preserve"> treated dogs in the continuation phase were in the normal category, versus 57.3% in the CP treated group. Similarly at Day 112, 77.1% of the </w:t>
      </w:r>
      <w:proofErr w:type="spellStart"/>
      <w:r>
        <w:t>Zenrelia</w:t>
      </w:r>
      <w:proofErr w:type="spellEnd"/>
      <w:r>
        <w:t xml:space="preserve"> (</w:t>
      </w:r>
      <w:r w:rsidRPr="000B157F">
        <w:t>IVP</w:t>
      </w:r>
      <w:r>
        <w:t>)</w:t>
      </w:r>
      <w:r w:rsidRPr="000B157F">
        <w:t xml:space="preserve"> treated were in the normal category, versus 60.6% in the CP treated group.</w:t>
      </w:r>
    </w:p>
    <w:p w14:paraId="435E1489" w14:textId="77777777" w:rsidR="002E3D72" w:rsidRPr="00877732" w:rsidRDefault="002E3D72" w:rsidP="00806D43">
      <w:pPr>
        <w:pStyle w:val="GazetteListRomanNumeral"/>
        <w:numPr>
          <w:ilvl w:val="0"/>
          <w:numId w:val="0"/>
        </w:numPr>
        <w:ind w:left="2268"/>
      </w:pPr>
      <w:r>
        <w:t xml:space="preserve">For </w:t>
      </w:r>
      <w:r w:rsidRPr="000B157F">
        <w:t>CADESI4 Scores</w:t>
      </w:r>
      <w:r>
        <w:t xml:space="preserve">: </w:t>
      </w:r>
      <w:r w:rsidRPr="000B157F">
        <w:t xml:space="preserve">By Day 28, 37.3% and 49.7% of dogs were assessed as </w:t>
      </w:r>
      <w:r w:rsidRPr="000B157F">
        <w:t>“</w:t>
      </w:r>
      <w:r w:rsidRPr="000B157F">
        <w:t>normal</w:t>
      </w:r>
      <w:r w:rsidRPr="000B157F">
        <w:t>”</w:t>
      </w:r>
      <w:r w:rsidRPr="000B157F">
        <w:t xml:space="preserve"> or </w:t>
      </w:r>
      <w:r w:rsidRPr="000B157F">
        <w:t>“</w:t>
      </w:r>
      <w:r w:rsidRPr="000B157F">
        <w:t>mild</w:t>
      </w:r>
      <w:r w:rsidRPr="000B157F">
        <w:t>”</w:t>
      </w:r>
      <w:r w:rsidRPr="000B157F">
        <w:t xml:space="preserve"> in the CP (Oclacitinib) group and 37.8% and 57.7% in the</w:t>
      </w:r>
      <w:r>
        <w:t xml:space="preserve"> </w:t>
      </w:r>
      <w:proofErr w:type="spellStart"/>
      <w:r>
        <w:t>Zenrelia</w:t>
      </w:r>
      <w:proofErr w:type="spellEnd"/>
      <w:r>
        <w:t xml:space="preserve"> (</w:t>
      </w:r>
      <w:r w:rsidRPr="000B157F">
        <w:t>IVP</w:t>
      </w:r>
      <w:r>
        <w:t>) treated</w:t>
      </w:r>
      <w:r w:rsidRPr="000B157F">
        <w:t xml:space="preserve"> group, respectively. The maximum improvement was observed on Day 112 for both treatment groups (CP: 66.7% </w:t>
      </w:r>
      <w:r w:rsidRPr="000B157F">
        <w:t>“</w:t>
      </w:r>
      <w:r w:rsidRPr="000B157F">
        <w:t>normal</w:t>
      </w:r>
      <w:r w:rsidRPr="000B157F">
        <w:t>”</w:t>
      </w:r>
      <w:r w:rsidRPr="000B157F">
        <w:t xml:space="preserve"> and 31.8% </w:t>
      </w:r>
      <w:r w:rsidRPr="000B157F">
        <w:t>“</w:t>
      </w:r>
      <w:r w:rsidRPr="000B157F">
        <w:t>mild</w:t>
      </w:r>
      <w:r w:rsidRPr="000B157F">
        <w:t>”</w:t>
      </w:r>
      <w:r w:rsidRPr="000B157F">
        <w:t xml:space="preserve">; </w:t>
      </w:r>
      <w:proofErr w:type="spellStart"/>
      <w:r>
        <w:t>Zenrelia</w:t>
      </w:r>
      <w:proofErr w:type="spellEnd"/>
      <w:r>
        <w:t xml:space="preserve"> (</w:t>
      </w:r>
      <w:r w:rsidRPr="000B157F">
        <w:t>IVP</w:t>
      </w:r>
      <w:r>
        <w:t>)</w:t>
      </w:r>
      <w:r w:rsidRPr="000B157F">
        <w:t xml:space="preserve">: 65.2% </w:t>
      </w:r>
      <w:r w:rsidRPr="000B157F">
        <w:t>“</w:t>
      </w:r>
      <w:r w:rsidRPr="000B157F">
        <w:t>normal</w:t>
      </w:r>
      <w:r w:rsidRPr="000B157F">
        <w:t>”</w:t>
      </w:r>
      <w:r w:rsidRPr="000B157F">
        <w:t xml:space="preserve"> and 30.4% </w:t>
      </w:r>
      <w:r w:rsidRPr="000B157F">
        <w:t>“</w:t>
      </w:r>
      <w:r w:rsidRPr="000B157F">
        <w:t>mild</w:t>
      </w:r>
      <w:r w:rsidRPr="000B157F">
        <w:t>”</w:t>
      </w:r>
      <w:r w:rsidRPr="000B157F">
        <w:t>).</w:t>
      </w:r>
    </w:p>
    <w:p w14:paraId="0B469DD2" w14:textId="7D511B73" w:rsidR="002E3D72" w:rsidRDefault="002E3D72" w:rsidP="00806D43">
      <w:pPr>
        <w:pStyle w:val="GazetteListRomanNumeral"/>
        <w:ind w:left="643" w:hanging="360"/>
      </w:pPr>
      <w:proofErr w:type="spellStart"/>
      <w:r w:rsidRPr="0041679E">
        <w:t>Zenrelia</w:t>
      </w:r>
      <w:proofErr w:type="spellEnd"/>
      <w:r w:rsidRPr="0041679E">
        <w:t xml:space="preserve"> tablets are designed for direct oral administration to dogs and are not expected to be consumed by voluntary ingestion or as part of a food additive.</w:t>
      </w:r>
      <w:r>
        <w:t xml:space="preserve"> Therefore, no separate palatability studies were conducted.</w:t>
      </w:r>
    </w:p>
    <w:p w14:paraId="2F2130CC" w14:textId="77777777" w:rsidR="002E3D72" w:rsidRDefault="002E3D72" w:rsidP="00806D43">
      <w:pPr>
        <w:pStyle w:val="GazetteListRomanNumeral"/>
        <w:ind w:left="643" w:hanging="360"/>
      </w:pPr>
      <w:r>
        <w:t xml:space="preserve">Compatibility of </w:t>
      </w:r>
      <w:proofErr w:type="spellStart"/>
      <w:r>
        <w:t>Zenrelia</w:t>
      </w:r>
      <w:proofErr w:type="spellEnd"/>
      <w:r>
        <w:t xml:space="preserve"> with several dog vaccines was investigated:</w:t>
      </w:r>
    </w:p>
    <w:p w14:paraId="2759BBBB" w14:textId="77777777" w:rsidR="002E3D72" w:rsidRDefault="002E3D72" w:rsidP="00806D43">
      <w:pPr>
        <w:pStyle w:val="GazetteListRomanNumeral"/>
        <w:numPr>
          <w:ilvl w:val="1"/>
          <w:numId w:val="4"/>
        </w:numPr>
        <w:ind w:left="1494"/>
      </w:pPr>
      <w:r>
        <w:lastRenderedPageBreak/>
        <w:t>Vaccine-na</w:t>
      </w:r>
      <w:r>
        <w:t>ï</w:t>
      </w:r>
      <w:r>
        <w:t xml:space="preserve">ve dogs receiving </w:t>
      </w:r>
      <w:proofErr w:type="spellStart"/>
      <w:r>
        <w:t>Zenrelia</w:t>
      </w:r>
      <w:proofErr w:type="spellEnd"/>
      <w:r>
        <w:t xml:space="preserve"> at 3X label dose were vaccinated with standard modified live virus (MLV) antigens (canine parvovirus (CPV), canine distemper virus (CDV), canine adenovirus-2 (CAV-2), and canine parainfluenza virus (</w:t>
      </w:r>
      <w:proofErr w:type="spellStart"/>
      <w:r>
        <w:t>CPiV</w:t>
      </w:r>
      <w:proofErr w:type="spellEnd"/>
      <w:r>
        <w:t xml:space="preserve">)) to evaluate response to primary vaccination. At 28 days after first vaccination, treated and control dogs showed acceptable immune responses to CPV, CDV, and CAV-2. </w:t>
      </w:r>
      <w:proofErr w:type="spellStart"/>
      <w:r>
        <w:t>CPiV</w:t>
      </w:r>
      <w:proofErr w:type="spellEnd"/>
      <w:r>
        <w:t xml:space="preserve"> response at this timepoint was below the acceptable threshold in 4/6 ZENRELIA-treated dogs and 8/8 control dogs. At 28 days after second vaccination, 2/6 </w:t>
      </w:r>
      <w:proofErr w:type="spellStart"/>
      <w:r>
        <w:t>Zenrelia</w:t>
      </w:r>
      <w:proofErr w:type="spellEnd"/>
      <w:r>
        <w:t xml:space="preserve">-treated dogs and 2/8 control dogs remained below the acceptable threshold for </w:t>
      </w:r>
      <w:proofErr w:type="spellStart"/>
      <w:r>
        <w:t>CPiV</w:t>
      </w:r>
      <w:proofErr w:type="spellEnd"/>
      <w:r>
        <w:t xml:space="preserve">. One </w:t>
      </w:r>
      <w:proofErr w:type="spellStart"/>
      <w:r>
        <w:t>Zenrelia</w:t>
      </w:r>
      <w:proofErr w:type="spellEnd"/>
      <w:r>
        <w:t xml:space="preserve">-treated dog showed a reduced CDV response at 28 days after second vaccination. This study also examined response to inactivated rabies vaccination, which was delayed in </w:t>
      </w:r>
      <w:proofErr w:type="spellStart"/>
      <w:r>
        <w:t>Zenrelia</w:t>
      </w:r>
      <w:proofErr w:type="spellEnd"/>
      <w:r>
        <w:t xml:space="preserve">-treated dogs: 4/6 treated dogs did not achieve acceptable immune response, whereas all control dogs achieved acceptable response by 28 days after vaccination. By 56 days after vaccination, 5/6 </w:t>
      </w:r>
      <w:proofErr w:type="spellStart"/>
      <w:r>
        <w:t>Zenrelia</w:t>
      </w:r>
      <w:proofErr w:type="spellEnd"/>
      <w:r>
        <w:t>-treated dogs achieved acceptable immune response to rabies vaccination. An outbreak of coccidiosis and CAV-1 occurred during this study and the impact of these infections on the immune response to vaccination are unclear.</w:t>
      </w:r>
    </w:p>
    <w:p w14:paraId="3883C28F" w14:textId="77777777" w:rsidR="002E3D72" w:rsidRDefault="002E3D72" w:rsidP="00806D43">
      <w:pPr>
        <w:pStyle w:val="GazetteListRomanNumeral"/>
        <w:numPr>
          <w:ilvl w:val="1"/>
          <w:numId w:val="4"/>
        </w:numPr>
        <w:ind w:left="1494"/>
      </w:pPr>
      <w:r>
        <w:t xml:space="preserve">In a separate study, response to booster vaccinations for CPV, CDV, CAV-2 and rabies were evaluated in dogs receiving 1X and 3X the labelled dose of </w:t>
      </w:r>
      <w:proofErr w:type="spellStart"/>
      <w:r>
        <w:t>Zenrelia</w:t>
      </w:r>
      <w:proofErr w:type="spellEnd"/>
      <w:r>
        <w:t xml:space="preserve">. Responses in treated animals were not statistically significantly different from control animals. All </w:t>
      </w:r>
      <w:proofErr w:type="spellStart"/>
      <w:r>
        <w:t>Zenrelia</w:t>
      </w:r>
      <w:proofErr w:type="spellEnd"/>
      <w:r>
        <w:t xml:space="preserve">-treated and control animals responded with adequate immune responses 15- and 28-days post-booster vaccination for CPV, CAV-2 and rabies. For CDV, the control and 3X groups each had 1 dog not meeting study criteria for acceptable immune response at 15 days post-booster. The 1X group had 100% of dogs achieving an acceptable immune response at 15 days post-booster. Titre levels for CDV in all groups dropped between </w:t>
      </w:r>
      <w:r w:rsidRPr="00B6412A">
        <w:t>15- and 28-days post-booster. This corresponded to 91, 88, and 76% of dogs showing acceptable immune response in the control, 1X and 3X groups respectively, similar to pre</w:t>
      </w:r>
      <w:r>
        <w:t>-</w:t>
      </w:r>
      <w:r w:rsidRPr="00B6412A">
        <w:t>booster results of 91, 75, and 71% of dogs.</w:t>
      </w:r>
    </w:p>
    <w:p w14:paraId="31CBC8AF" w14:textId="77777777" w:rsidR="002E3D72" w:rsidRPr="00362F0C" w:rsidRDefault="002E3D72" w:rsidP="00806D43">
      <w:pPr>
        <w:pStyle w:val="GazetteListRomanNumeral"/>
        <w:ind w:left="643" w:hanging="360"/>
        <w:rPr>
          <w:lang w:val="en-AU"/>
        </w:rPr>
      </w:pPr>
      <w:r w:rsidRPr="00D76978">
        <w:rPr>
          <w:lang w:val="en-AU"/>
        </w:rPr>
        <w:t xml:space="preserve">The APVMA has therefore, concluded that </w:t>
      </w:r>
      <w:proofErr w:type="spellStart"/>
      <w:r w:rsidRPr="00ED5195">
        <w:t>Zenrelia</w:t>
      </w:r>
      <w:proofErr w:type="spellEnd"/>
      <w:r w:rsidRPr="00ED5195">
        <w:t xml:space="preserve"> [4.8 mg, 6.4 mg, 8.5 mg, 15 mg] Tablets</w:t>
      </w:r>
      <w:r w:rsidRPr="005D2C9D">
        <w:rPr>
          <w:lang w:val="en-AU"/>
        </w:rPr>
        <w:t xml:space="preserve"> </w:t>
      </w:r>
      <w:r w:rsidRPr="00ED5195">
        <w:t>for Dog</w:t>
      </w:r>
      <w:r w:rsidRPr="00D76978">
        <w:rPr>
          <w:lang w:val="en-AU"/>
        </w:rPr>
        <w:t xml:space="preserve">, would be effective for the </w:t>
      </w:r>
      <w:r>
        <w:rPr>
          <w:lang w:val="en-AU"/>
        </w:rPr>
        <w:t xml:space="preserve">reduction of </w:t>
      </w:r>
      <w:r w:rsidRPr="00362F0C">
        <w:rPr>
          <w:lang w:val="en-AU"/>
        </w:rPr>
        <w:t>reduction of pruritus associated with allergic dermatitis and clinical signs of atopic dermatitis in dogs.</w:t>
      </w:r>
      <w:r>
        <w:rPr>
          <w:lang w:val="en-AU"/>
        </w:rPr>
        <w:t xml:space="preserve"> R</w:t>
      </w:r>
      <w:r w:rsidRPr="00362F0C">
        <w:rPr>
          <w:lang w:val="en-AU"/>
        </w:rPr>
        <w:t xml:space="preserve">elevant statements to mitigate </w:t>
      </w:r>
      <w:r>
        <w:rPr>
          <w:lang w:val="en-AU"/>
        </w:rPr>
        <w:t>the</w:t>
      </w:r>
      <w:r w:rsidRPr="00362F0C">
        <w:rPr>
          <w:lang w:val="en-AU"/>
        </w:rPr>
        <w:t xml:space="preserve"> risks identified</w:t>
      </w:r>
      <w:r>
        <w:rPr>
          <w:lang w:val="en-AU"/>
        </w:rPr>
        <w:t xml:space="preserve"> will be included on the product label</w:t>
      </w:r>
      <w:r w:rsidRPr="00362F0C">
        <w:rPr>
          <w:lang w:val="en-AU"/>
        </w:rPr>
        <w:t>:</w:t>
      </w:r>
    </w:p>
    <w:p w14:paraId="71DEA827" w14:textId="77777777" w:rsidR="002E3D72" w:rsidRPr="00D76978" w:rsidRDefault="002E3D72" w:rsidP="00806D43">
      <w:pPr>
        <w:pStyle w:val="GazetteListRomanNumeral"/>
        <w:numPr>
          <w:ilvl w:val="0"/>
          <w:numId w:val="0"/>
        </w:numPr>
        <w:ind w:left="624"/>
        <w:rPr>
          <w:b/>
          <w:bCs/>
          <w:lang w:val="en-AU"/>
        </w:rPr>
      </w:pPr>
      <w:r w:rsidRPr="00D76978">
        <w:rPr>
          <w:b/>
          <w:bCs/>
          <w:lang w:val="en-AU"/>
        </w:rPr>
        <w:t>Claims</w:t>
      </w:r>
    </w:p>
    <w:p w14:paraId="05E5E46C" w14:textId="77777777" w:rsidR="002E3D72" w:rsidRDefault="002E3D72" w:rsidP="00806D43">
      <w:pPr>
        <w:pStyle w:val="GazetteListRomanNumeral"/>
        <w:numPr>
          <w:ilvl w:val="0"/>
          <w:numId w:val="33"/>
        </w:numPr>
        <w:ind w:left="1040"/>
      </w:pPr>
      <w:r w:rsidRPr="003E0E7A">
        <w:t>For use by or under direction of a veterinarian.</w:t>
      </w:r>
    </w:p>
    <w:p w14:paraId="5F78A746" w14:textId="77777777" w:rsidR="002E3D72" w:rsidRDefault="002E3D72" w:rsidP="00806D43">
      <w:pPr>
        <w:pStyle w:val="GazetteListRomanNumeral"/>
        <w:numPr>
          <w:ilvl w:val="0"/>
          <w:numId w:val="33"/>
        </w:numPr>
        <w:ind w:left="1040"/>
      </w:pPr>
      <w:r>
        <w:t>For the reduction of pruritus associated with allergic dermatitis and reduction of clinical signs of atopic dermatitis in dogs.</w:t>
      </w:r>
    </w:p>
    <w:p w14:paraId="32B6106E" w14:textId="2C81EB75" w:rsidR="002E3D72" w:rsidRPr="00D76978" w:rsidRDefault="002E3D72" w:rsidP="00806D43">
      <w:pPr>
        <w:pStyle w:val="GazetteListRomanNumeral"/>
        <w:numPr>
          <w:ilvl w:val="0"/>
          <w:numId w:val="0"/>
        </w:numPr>
        <w:ind w:left="624"/>
        <w:rPr>
          <w:b/>
          <w:bCs/>
        </w:rPr>
      </w:pPr>
      <w:r w:rsidRPr="00D76978">
        <w:rPr>
          <w:b/>
          <w:bCs/>
        </w:rPr>
        <w:t>Dosage and administration</w:t>
      </w:r>
    </w:p>
    <w:p w14:paraId="0DA12A4D" w14:textId="77777777" w:rsidR="002E3D72" w:rsidRDefault="002E3D72" w:rsidP="00806D43">
      <w:pPr>
        <w:pStyle w:val="GazetteListRomanNumeral"/>
        <w:numPr>
          <w:ilvl w:val="0"/>
          <w:numId w:val="32"/>
        </w:numPr>
        <w:ind w:left="1040"/>
      </w:pPr>
      <w:r w:rsidRPr="00034C53">
        <w:t>Halved tablets should be placed back in the original opened blister and used within 20 days.</w:t>
      </w:r>
      <w:r>
        <w:t xml:space="preserve"> </w:t>
      </w:r>
      <w:r w:rsidRPr="009B1FD9">
        <w:rPr>
          <w:rStyle w:val="Response"/>
          <w:color w:val="auto"/>
        </w:rPr>
        <w:t>Discard unused tablet portions.</w:t>
      </w:r>
    </w:p>
    <w:p w14:paraId="7AE07362" w14:textId="77777777" w:rsidR="002E3D72" w:rsidRDefault="002E3D72" w:rsidP="00806D43">
      <w:pPr>
        <w:pStyle w:val="GazetteListRomanNumeral"/>
        <w:numPr>
          <w:ilvl w:val="0"/>
          <w:numId w:val="32"/>
        </w:numPr>
        <w:ind w:left="1040"/>
      </w:pPr>
      <w:r>
        <w:t>Regular clinical evaluation and blood tests are recommended to monitor the health and response of the patient. The requirement for long-term maintenance therapy should be based on an individual risk-benefit assessment.</w:t>
      </w:r>
    </w:p>
    <w:p w14:paraId="0FB76546" w14:textId="77777777" w:rsidR="002E3D72" w:rsidRDefault="002E3D72" w:rsidP="00806D43">
      <w:pPr>
        <w:pStyle w:val="GazetteListRomanNumeral"/>
        <w:numPr>
          <w:ilvl w:val="0"/>
          <w:numId w:val="32"/>
        </w:numPr>
        <w:ind w:left="1040"/>
      </w:pPr>
      <w:r>
        <w:t>For oral use only.</w:t>
      </w:r>
    </w:p>
    <w:p w14:paraId="09B4ECD9" w14:textId="77777777" w:rsidR="002E3D72" w:rsidRDefault="002E3D72" w:rsidP="00806D43">
      <w:pPr>
        <w:pStyle w:val="GazetteListRomanNumeral"/>
        <w:numPr>
          <w:ilvl w:val="0"/>
          <w:numId w:val="32"/>
        </w:numPr>
        <w:ind w:left="1040"/>
      </w:pPr>
      <w:r>
        <w:t xml:space="preserve">0.6 to 0.8 mg </w:t>
      </w:r>
      <w:proofErr w:type="spellStart"/>
      <w:r>
        <w:t>ilunocitinib</w:t>
      </w:r>
      <w:proofErr w:type="spellEnd"/>
      <w:r>
        <w:t>/kg body weight administered orally, once daily.</w:t>
      </w:r>
    </w:p>
    <w:p w14:paraId="7CEF0011" w14:textId="77777777" w:rsidR="002E3D72" w:rsidRDefault="002E3D72" w:rsidP="00806D43">
      <w:pPr>
        <w:pStyle w:val="GazetteListRomanNumeral"/>
        <w:numPr>
          <w:ilvl w:val="0"/>
          <w:numId w:val="32"/>
        </w:numPr>
        <w:ind w:left="1040"/>
      </w:pPr>
      <w:r>
        <w:t>Tablets may be administered in the fed or fasted state.</w:t>
      </w:r>
    </w:p>
    <w:p w14:paraId="77E29810" w14:textId="77777777" w:rsidR="002E3D72" w:rsidRDefault="002E3D72" w:rsidP="00806D43">
      <w:pPr>
        <w:pStyle w:val="GazetteListRomanNumeral"/>
        <w:numPr>
          <w:ilvl w:val="0"/>
          <w:numId w:val="32"/>
        </w:numPr>
        <w:ind w:left="1040"/>
      </w:pPr>
      <w:r>
        <w:t>Be certain that the entire dose is consumed; watch your dog for several minutes after dosing to ensure that this is the case.</w:t>
      </w:r>
    </w:p>
    <w:p w14:paraId="4AF0A2CF" w14:textId="77777777" w:rsidR="002E3D72" w:rsidRPr="00362F0C" w:rsidRDefault="002E3D72" w:rsidP="00806D43">
      <w:pPr>
        <w:pStyle w:val="GazetteListRomanNumeral"/>
        <w:numPr>
          <w:ilvl w:val="0"/>
          <w:numId w:val="32"/>
        </w:numPr>
        <w:ind w:left="1040"/>
      </w:pPr>
      <w:r w:rsidRPr="00D76978">
        <w:rPr>
          <w:lang w:val="en-AU"/>
        </w:rPr>
        <w:t xml:space="preserve">The dosing table </w:t>
      </w:r>
      <w:r>
        <w:rPr>
          <w:lang w:val="en-AU"/>
        </w:rPr>
        <w:t xml:space="preserve">(see above Table 2) </w:t>
      </w:r>
      <w:r w:rsidRPr="00D76978">
        <w:rPr>
          <w:lang w:val="en-AU"/>
        </w:rPr>
        <w:t xml:space="preserve">shows the number of tablets required. For dogs weighing between 3 and 75 kg, an appropriate combination of complete or halved tablets may also be used, provided the dose </w:t>
      </w:r>
      <w:r w:rsidRPr="00D76978">
        <w:rPr>
          <w:lang w:val="en-AU"/>
        </w:rPr>
        <w:lastRenderedPageBreak/>
        <w:t xml:space="preserve">rate of 0.6 to 0.8 mg </w:t>
      </w:r>
      <w:proofErr w:type="spellStart"/>
      <w:r w:rsidRPr="00D76978">
        <w:rPr>
          <w:lang w:val="en-AU"/>
        </w:rPr>
        <w:t>ilunocitinib</w:t>
      </w:r>
      <w:proofErr w:type="spellEnd"/>
      <w:r w:rsidRPr="00D76978">
        <w:rPr>
          <w:lang w:val="en-AU"/>
        </w:rPr>
        <w:t>/kg body weight is maintained. The tablets may be halved along the score line.</w:t>
      </w:r>
    </w:p>
    <w:p w14:paraId="0CA2C8ED" w14:textId="77777777" w:rsidR="002E3D72" w:rsidRPr="00087CFF" w:rsidRDefault="002E3D72" w:rsidP="00EE6503">
      <w:pPr>
        <w:pStyle w:val="GazetteListRomanNumeral"/>
        <w:numPr>
          <w:ilvl w:val="0"/>
          <w:numId w:val="0"/>
        </w:numPr>
        <w:ind w:left="624"/>
        <w:rPr>
          <w:b/>
          <w:bCs/>
        </w:rPr>
      </w:pPr>
      <w:r w:rsidRPr="007023D8">
        <w:rPr>
          <w:b/>
          <w:bCs/>
          <w:lang w:val="en-AU"/>
        </w:rPr>
        <w:t>General directions</w:t>
      </w:r>
    </w:p>
    <w:p w14:paraId="5C02EAE3" w14:textId="77777777" w:rsidR="002E3D72" w:rsidRDefault="002E3D72" w:rsidP="00EE6503">
      <w:pPr>
        <w:pStyle w:val="GazetteListRomanNumeral"/>
        <w:numPr>
          <w:ilvl w:val="0"/>
          <w:numId w:val="32"/>
        </w:numPr>
        <w:ind w:left="1040"/>
      </w:pPr>
      <w:r>
        <w:t xml:space="preserve">When treating pruritus associated with allergic dermatitis with </w:t>
      </w:r>
      <w:proofErr w:type="spellStart"/>
      <w:r>
        <w:t>ilunocitinib</w:t>
      </w:r>
      <w:proofErr w:type="spellEnd"/>
      <w:r>
        <w:t>, investigate</w:t>
      </w:r>
      <w:r w:rsidRPr="00034C53">
        <w:t xml:space="preserve"> and treat any underlying causes (e.g. flea allergy dermatitis, contact dermatitis, food hypersensitivity). Furthermore, in cases of allergic dermatitis and atopic dermatitis, it is recommended to investigate and treat complicating factors, such as bacterial, fungal or parasitic infections/infestations (e.g. flea and mange).</w:t>
      </w:r>
    </w:p>
    <w:p w14:paraId="76F9E88B" w14:textId="77777777" w:rsidR="002E3D72" w:rsidRPr="00034C53" w:rsidRDefault="002E3D72" w:rsidP="00EE6503">
      <w:pPr>
        <w:pStyle w:val="GazetteListRomanNumeral"/>
        <w:numPr>
          <w:ilvl w:val="0"/>
          <w:numId w:val="32"/>
        </w:numPr>
        <w:ind w:left="1040"/>
      </w:pPr>
      <w:r w:rsidRPr="00034C53">
        <w:t>Veterinarians should assess the risks and benefits of vaccinating dogs which are receiving an immunomodulator.</w:t>
      </w:r>
    </w:p>
    <w:p w14:paraId="6C5B13C8" w14:textId="77777777" w:rsidR="002E3D72" w:rsidRPr="00877732" w:rsidRDefault="002E3D72" w:rsidP="002E3D72">
      <w:pPr>
        <w:pStyle w:val="GazetteListNumbered"/>
      </w:pPr>
      <w:r w:rsidRPr="00877732">
        <w:t xml:space="preserve">The APVMA has evaluated the application and in its assessment in relation to whether the trade criteria have been met in accordance with the definition set out in section 5C of the </w:t>
      </w:r>
      <w:proofErr w:type="spellStart"/>
      <w:r w:rsidRPr="00877732">
        <w:t>Agvet</w:t>
      </w:r>
      <w:proofErr w:type="spellEnd"/>
      <w:r w:rsidRPr="00877732">
        <w:t xml:space="preserve"> Code, proposes to determine that:</w:t>
      </w:r>
    </w:p>
    <w:p w14:paraId="7D12C016" w14:textId="77777777" w:rsidR="002E3D72" w:rsidRDefault="002E3D72" w:rsidP="002E3D72">
      <w:pPr>
        <w:pStyle w:val="GazetteListRomanNumeral"/>
        <w:numPr>
          <w:ilvl w:val="0"/>
          <w:numId w:val="9"/>
        </w:numPr>
        <w:ind w:left="644" w:hanging="360"/>
      </w:pPr>
      <w:r>
        <w:t xml:space="preserve">The APVMA is satisfied that the proposed use of </w:t>
      </w:r>
      <w:proofErr w:type="spellStart"/>
      <w:r w:rsidRPr="00ED5195">
        <w:t>Zenrelia</w:t>
      </w:r>
      <w:proofErr w:type="spellEnd"/>
      <w:r w:rsidRPr="00ED5195">
        <w:t xml:space="preserve"> [4.8 mg, 6.4 mg, 8.5 mg, 15 mg] Tablets</w:t>
      </w:r>
      <w:r w:rsidRPr="005D2C9D">
        <w:rPr>
          <w:lang w:val="en-AU"/>
        </w:rPr>
        <w:t xml:space="preserve"> </w:t>
      </w:r>
      <w:r w:rsidRPr="00ED5195">
        <w:t>for Dogs</w:t>
      </w:r>
      <w:r>
        <w:t>, would not adversely</w:t>
      </w:r>
      <w:r w:rsidRPr="00F128C5">
        <w:t xml:space="preserve"> affect trade between Australia and places outside Australia. The product is for use </w:t>
      </w:r>
      <w:r>
        <w:t>in</w:t>
      </w:r>
      <w:r w:rsidRPr="00F128C5">
        <w:t xml:space="preserve"> dogs, which are not food</w:t>
      </w:r>
      <w:r>
        <w:t xml:space="preserve"> </w:t>
      </w:r>
      <w:r w:rsidRPr="00F128C5">
        <w:t>producing animals, and which do not produce any major Australian export commodities</w:t>
      </w:r>
      <w:r>
        <w:t>.</w:t>
      </w:r>
    </w:p>
    <w:p w14:paraId="53600381" w14:textId="1CA469DF" w:rsidR="00EE6503" w:rsidRDefault="002E3D72" w:rsidP="002E3D72">
      <w:pPr>
        <w:pStyle w:val="GazetteListRomanNumeral"/>
        <w:ind w:left="568" w:hanging="360"/>
      </w:pPr>
      <w:r>
        <w:t>Therefore, there are no concerns from a trade perspective relating to the registration of this product.</w:t>
      </w:r>
      <w:r w:rsidR="00EE6503">
        <w:br w:type="page"/>
      </w:r>
    </w:p>
    <w:p w14:paraId="25733AEA" w14:textId="77777777" w:rsidR="002E3D72" w:rsidRDefault="002E3D72" w:rsidP="002E3D72">
      <w:pPr>
        <w:pStyle w:val="GazetteHeading2"/>
      </w:pPr>
      <w:r>
        <w:lastRenderedPageBreak/>
        <w:t>Making a submission</w:t>
      </w:r>
    </w:p>
    <w:p w14:paraId="50A7EEAF" w14:textId="77777777" w:rsidR="002E3D72" w:rsidRDefault="002E3D72" w:rsidP="002E3D72">
      <w:pPr>
        <w:pStyle w:val="GazetteNormalText"/>
      </w:pPr>
      <w:r w:rsidRPr="00DB1E90">
        <w:t xml:space="preserve">In accordance with section 12 of the </w:t>
      </w:r>
      <w:proofErr w:type="spellStart"/>
      <w:r w:rsidRPr="00DB1E90">
        <w:t>Agvet</w:t>
      </w:r>
      <w:proofErr w:type="spellEnd"/>
      <w:r w:rsidRPr="00DB1E90">
        <w:t xml:space="preserve"> Code, the APVMA invites any person to submit a relevant written submission as to whether </w:t>
      </w:r>
      <w:proofErr w:type="spellStart"/>
      <w:r w:rsidRPr="00DB1BB6">
        <w:rPr>
          <w:lang w:val="en-AU"/>
        </w:rPr>
        <w:t>ilunocitinib</w:t>
      </w:r>
      <w:proofErr w:type="spellEnd"/>
      <w:r w:rsidRPr="00DB1E90">
        <w:t xml:space="preserve"> should be approved. Submissions should relate only to matters that are considered in determining whether the safety criteria set out in section 5A of the </w:t>
      </w:r>
      <w:proofErr w:type="spellStart"/>
      <w:r w:rsidRPr="00DB1E90">
        <w:t>Agvet</w:t>
      </w:r>
      <w:proofErr w:type="spellEnd"/>
      <w:r w:rsidRPr="00DB1E90">
        <w:t xml:space="preserve"> Code have been met. Submissions should state the grounds on which they are based</w:t>
      </w:r>
      <w:r>
        <w:t>.</w:t>
      </w:r>
    </w:p>
    <w:p w14:paraId="557C9AF2" w14:textId="77777777" w:rsidR="002E3D72" w:rsidRDefault="002E3D72" w:rsidP="002E3D72">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ED5195">
        <w:t>Zenrelia</w:t>
      </w:r>
      <w:proofErr w:type="spellEnd"/>
      <w:r w:rsidRPr="00ED5195">
        <w:t xml:space="preserve"> [4.8 mg, 6.4 mg, 8.5 mg, 15 mg] Tablets</w:t>
      </w:r>
      <w:r w:rsidRPr="005D2C9D">
        <w:rPr>
          <w:lang w:val="en-AU"/>
        </w:rPr>
        <w:t xml:space="preserve"> </w:t>
      </w:r>
      <w:r w:rsidRPr="00ED5195">
        <w:t>for Dogs</w:t>
      </w:r>
      <w:r>
        <w:rPr>
          <w:rFonts w:cs="Arial"/>
        </w:rPr>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8511AEB" w14:textId="77777777" w:rsidR="002E3D72" w:rsidRDefault="002E3D72" w:rsidP="002E3D72">
      <w:pPr>
        <w:pStyle w:val="GazetteNormalText"/>
      </w:pPr>
      <w:r>
        <w:t>Submissions must be received by the APVMA within 28 days of the date of this notice and be directed to the contact listed below. All submissions to the APVMA will be acknowledged in writing via email or by post.</w:t>
      </w:r>
    </w:p>
    <w:p w14:paraId="4A827D84" w14:textId="77777777" w:rsidR="002E3D72" w:rsidRDefault="002E3D72" w:rsidP="002E3D72">
      <w:pPr>
        <w:pStyle w:val="GazetteNormalText"/>
      </w:pPr>
      <w:r>
        <w:t>Relevant comments will be considered by the APVMA in deciding whether the product should be registered and in determining appropriate conditions of registration and product labelling.</w:t>
      </w:r>
    </w:p>
    <w:p w14:paraId="0B160A1F" w14:textId="77777777" w:rsidR="002E3D72" w:rsidRDefault="002E3D72" w:rsidP="002E3D72">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1" w:history="1">
        <w:r>
          <w:rPr>
            <w:rStyle w:val="Hyperlink"/>
          </w:rPr>
          <w:t>public submission coversheet</w:t>
        </w:r>
      </w:hyperlink>
      <w:r>
        <w:t>).</w:t>
      </w:r>
    </w:p>
    <w:p w14:paraId="678F0094" w14:textId="2938013F" w:rsidR="002E3D72" w:rsidRDefault="002E3D72" w:rsidP="002E3D72">
      <w:pPr>
        <w:pStyle w:val="GazetteNormalText"/>
      </w:pPr>
      <w:r>
        <w:t xml:space="preserve">Please lodge your submission with a </w:t>
      </w:r>
      <w:hyperlink r:id="rId32" w:history="1">
        <w:r>
          <w:rPr>
            <w:rStyle w:val="Hyperlink"/>
          </w:rPr>
          <w:t>public submission coversheet</w:t>
        </w:r>
      </w:hyperlink>
      <w:r>
        <w:t>, which provides options for how your submission will be published.</w:t>
      </w:r>
    </w:p>
    <w:p w14:paraId="74162C3E" w14:textId="77777777" w:rsidR="002E3D72" w:rsidRDefault="002E3D72" w:rsidP="002E3D72">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1AC37BE" w14:textId="77777777" w:rsidR="002E3D72" w:rsidRDefault="002E3D72" w:rsidP="002E3D72">
      <w:pPr>
        <w:pStyle w:val="GazetteNormalText"/>
        <w:rPr>
          <w:szCs w:val="24"/>
        </w:rPr>
      </w:pPr>
      <w:r>
        <w:t>Please send your written submission and coversheet by email or post to:</w:t>
      </w:r>
    </w:p>
    <w:p w14:paraId="16E3392F" w14:textId="77777777" w:rsidR="002E3D72" w:rsidRDefault="002E3D72" w:rsidP="002E3D72">
      <w:pPr>
        <w:pStyle w:val="GazetteNormalText"/>
      </w:pPr>
      <w:r>
        <w:t>Email:</w:t>
      </w:r>
      <w:r>
        <w:tab/>
      </w:r>
      <w:hyperlink r:id="rId33" w:history="1">
        <w:r>
          <w:rPr>
            <w:rStyle w:val="Hyperlink"/>
          </w:rPr>
          <w:t>casemanagement@apvma.gov.au</w:t>
        </w:r>
      </w:hyperlink>
    </w:p>
    <w:p w14:paraId="75EF346C" w14:textId="5F5C3D65" w:rsidR="002E3D72" w:rsidRDefault="002E3D72" w:rsidP="002E3D72">
      <w:pPr>
        <w:pStyle w:val="GazetteContact"/>
      </w:pPr>
      <w:r>
        <w:t>Post:</w:t>
      </w:r>
      <w:r w:rsidR="00EE6503">
        <w:br/>
      </w:r>
      <w:r>
        <w:t>Case Management</w:t>
      </w:r>
      <w:r w:rsidR="00EE6503">
        <w:br/>
      </w:r>
      <w:r>
        <w:t>Australian Pesticides and Veterinary Medicines Authority</w:t>
      </w:r>
      <w:r w:rsidR="00EE6503">
        <w:br/>
      </w:r>
      <w:r w:rsidR="00663288" w:rsidRPr="00663288">
        <w:t>GPO Box 574</w:t>
      </w:r>
      <w:r w:rsidR="00663288">
        <w:br/>
      </w:r>
      <w:r w:rsidR="00663288" w:rsidRPr="00663288">
        <w:t>Canberra ACT 2601, Australia</w:t>
      </w:r>
    </w:p>
    <w:p w14:paraId="74BB0832" w14:textId="77777777" w:rsidR="002E3D72" w:rsidRDefault="002E3D72" w:rsidP="002E3D72">
      <w:pPr>
        <w:pStyle w:val="GazetteHeading2"/>
      </w:pPr>
      <w:r>
        <w:t>Privacy</w:t>
      </w:r>
    </w:p>
    <w:p w14:paraId="729105FF" w14:textId="77777777" w:rsidR="00A47B35" w:rsidRDefault="002E3D72" w:rsidP="00EE6503">
      <w:pPr>
        <w:pStyle w:val="GazetteNormalText"/>
        <w:sectPr w:rsidR="00A47B35" w:rsidSect="002E3D72">
          <w:headerReference w:type="even" r:id="rId34"/>
          <w:headerReference w:type="default" r:id="rId35"/>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36" w:history="1">
        <w:r w:rsidRPr="00F8012B">
          <w:rPr>
            <w:rStyle w:val="Hyperlink"/>
          </w:rPr>
          <w:t>Privacy Policy</w:t>
        </w:r>
      </w:hyperlink>
      <w:r>
        <w:t>.</w:t>
      </w:r>
    </w:p>
    <w:p w14:paraId="733F189C" w14:textId="77777777" w:rsidR="00A47B35" w:rsidRDefault="00A47B35" w:rsidP="00A47B35">
      <w:pPr>
        <w:pStyle w:val="GazetteHeading1"/>
      </w:pPr>
      <w:bookmarkStart w:id="23" w:name="_Toc206168165"/>
      <w:proofErr w:type="spellStart"/>
      <w:r>
        <w:lastRenderedPageBreak/>
        <w:t>Agvet</w:t>
      </w:r>
      <w:proofErr w:type="spellEnd"/>
      <w:r>
        <w:t xml:space="preserve"> chemical voluntary recall: </w:t>
      </w:r>
      <w:proofErr w:type="spellStart"/>
      <w:r w:rsidRPr="00454B5F">
        <w:t>Randlab</w:t>
      </w:r>
      <w:proofErr w:type="spellEnd"/>
      <w:r w:rsidRPr="00454B5F">
        <w:t xml:space="preserve"> Gentamicin Injection</w:t>
      </w:r>
      <w:bookmarkEnd w:id="23"/>
    </w:p>
    <w:p w14:paraId="56A01667" w14:textId="77777777" w:rsidR="00A47B35" w:rsidRDefault="00A47B35" w:rsidP="00A47B35">
      <w:pPr>
        <w:pStyle w:val="GazetteNormalText"/>
      </w:pPr>
      <w:r w:rsidRPr="00C00BDF">
        <w:rPr>
          <w:b/>
          <w:bCs/>
        </w:rPr>
        <w:t>Product name</w:t>
      </w:r>
      <w:r>
        <w:t xml:space="preserve">: </w:t>
      </w:r>
      <w:proofErr w:type="spellStart"/>
      <w:r w:rsidRPr="00454B5F">
        <w:t>Randlab</w:t>
      </w:r>
      <w:proofErr w:type="spellEnd"/>
      <w:r w:rsidRPr="00454B5F">
        <w:t xml:space="preserve"> Gentamicin Injection</w:t>
      </w:r>
    </w:p>
    <w:p w14:paraId="56883F77" w14:textId="77777777" w:rsidR="00A47B35" w:rsidRDefault="00A47B35" w:rsidP="00A47B35">
      <w:pPr>
        <w:pStyle w:val="GazetteNormalText"/>
      </w:pPr>
      <w:r w:rsidRPr="00C00BDF">
        <w:rPr>
          <w:b/>
          <w:bCs/>
        </w:rPr>
        <w:t>APVMA registration number</w:t>
      </w:r>
      <w:r>
        <w:t xml:space="preserve">: </w:t>
      </w:r>
      <w:r w:rsidRPr="00454B5F">
        <w:t>90730</w:t>
      </w:r>
    </w:p>
    <w:p w14:paraId="43F78E19" w14:textId="77777777" w:rsidR="00A47B35" w:rsidRDefault="00A47B35" w:rsidP="00A47B35">
      <w:pPr>
        <w:pStyle w:val="GazetteNormalText"/>
      </w:pPr>
      <w:r w:rsidRPr="00C00BDF">
        <w:rPr>
          <w:b/>
          <w:bCs/>
        </w:rPr>
        <w:t>APVMA approved label number</w:t>
      </w:r>
      <w:r>
        <w:t xml:space="preserve">: </w:t>
      </w:r>
      <w:r w:rsidRPr="00454B5F">
        <w:t>143727</w:t>
      </w:r>
    </w:p>
    <w:p w14:paraId="0B133512" w14:textId="77777777" w:rsidR="00A47B35" w:rsidRDefault="00A47B35" w:rsidP="00A47B35">
      <w:pPr>
        <w:pStyle w:val="GazetteNormalText"/>
      </w:pPr>
      <w:r w:rsidRPr="00C00BDF">
        <w:rPr>
          <w:b/>
          <w:bCs/>
        </w:rPr>
        <w:t>Batch numbers</w:t>
      </w:r>
      <w:r>
        <w:t xml:space="preserve">: </w:t>
      </w:r>
      <w:r w:rsidRPr="00454B5F">
        <w:t>24073F, 24074F and 24083F</w:t>
      </w:r>
    </w:p>
    <w:p w14:paraId="7AE79ACC" w14:textId="131B3020" w:rsidR="00A47B35" w:rsidRDefault="00A47B35" w:rsidP="00A47B35">
      <w:pPr>
        <w:pStyle w:val="GazetteNormalText"/>
      </w:pPr>
      <w:r w:rsidRPr="00C00BDF">
        <w:rPr>
          <w:b/>
          <w:bCs/>
        </w:rPr>
        <w:t>Sold by</w:t>
      </w:r>
      <w:r>
        <w:t xml:space="preserve">: </w:t>
      </w:r>
      <w:proofErr w:type="spellStart"/>
      <w:r w:rsidRPr="00B77BC1">
        <w:t>Randlab</w:t>
      </w:r>
      <w:proofErr w:type="spellEnd"/>
      <w:r w:rsidRPr="00B77BC1">
        <w:t xml:space="preserve"> Pty Ltd (on behalf of </w:t>
      </w:r>
      <w:proofErr w:type="spellStart"/>
      <w:r w:rsidRPr="00B77BC1">
        <w:t>Randlab</w:t>
      </w:r>
      <w:proofErr w:type="spellEnd"/>
      <w:r w:rsidRPr="00B77BC1">
        <w:t xml:space="preserve"> Australia Pty Ltd) and veterinary wholesalers nationally between 1</w:t>
      </w:r>
      <w:r>
        <w:t xml:space="preserve"> July </w:t>
      </w:r>
      <w:r w:rsidRPr="00B77BC1">
        <w:t>2024 to 11</w:t>
      </w:r>
      <w:r>
        <w:t xml:space="preserve"> August </w:t>
      </w:r>
      <w:r w:rsidRPr="00B77BC1">
        <w:t>2025</w:t>
      </w:r>
    </w:p>
    <w:p w14:paraId="222A8B35" w14:textId="016B494E" w:rsidR="00A47B35" w:rsidRPr="002F7354" w:rsidRDefault="00A47B35" w:rsidP="00A47B35">
      <w:pPr>
        <w:pStyle w:val="GazetteNormalText"/>
        <w:rPr>
          <w:lang w:val="en-AU"/>
        </w:rPr>
      </w:pPr>
      <w:r w:rsidRPr="00454B5F">
        <w:rPr>
          <w:lang w:val="en-AU"/>
        </w:rPr>
        <w:t>On 11</w:t>
      </w:r>
      <w:r>
        <w:rPr>
          <w:lang w:val="en-AU"/>
        </w:rPr>
        <w:t xml:space="preserve"> August </w:t>
      </w:r>
      <w:r w:rsidRPr="00454B5F">
        <w:rPr>
          <w:lang w:val="en-AU"/>
        </w:rPr>
        <w:t xml:space="preserve">2025, </w:t>
      </w:r>
      <w:proofErr w:type="spellStart"/>
      <w:r w:rsidRPr="00B77BC1">
        <w:rPr>
          <w:lang w:val="en-AU"/>
        </w:rPr>
        <w:t>Randlab</w:t>
      </w:r>
      <w:proofErr w:type="spellEnd"/>
      <w:r w:rsidRPr="00B77BC1">
        <w:rPr>
          <w:lang w:val="en-AU"/>
        </w:rPr>
        <w:t xml:space="preserve"> Australia Pty Ltd (ACN 114 948 837)</w:t>
      </w:r>
      <w:r w:rsidRPr="00454B5F">
        <w:rPr>
          <w:lang w:val="en-AU"/>
        </w:rPr>
        <w:t xml:space="preserve"> initiated a voluntary recall under section 106 of the Agricultural and Veterinary Chemicals Code scheduled to the </w:t>
      </w:r>
      <w:r w:rsidRPr="00454B5F">
        <w:rPr>
          <w:i/>
          <w:iCs/>
          <w:lang w:val="en-AU"/>
        </w:rPr>
        <w:t>Agricultural and Veterinary Chemicals Code Act 1994 (</w:t>
      </w:r>
      <w:proofErr w:type="spellStart"/>
      <w:r w:rsidRPr="00454B5F">
        <w:rPr>
          <w:i/>
          <w:iCs/>
          <w:lang w:val="en-AU"/>
        </w:rPr>
        <w:t>Cth</w:t>
      </w:r>
      <w:proofErr w:type="spellEnd"/>
      <w:r w:rsidRPr="00454B5F">
        <w:rPr>
          <w:i/>
          <w:iCs/>
          <w:lang w:val="en-AU"/>
        </w:rPr>
        <w:t>)</w:t>
      </w:r>
      <w:r w:rsidRPr="00454B5F">
        <w:rPr>
          <w:lang w:val="en-AU"/>
        </w:rPr>
        <w:t xml:space="preserve"> in relation to the chemical product described above</w:t>
      </w:r>
      <w:r w:rsidRPr="002F7354">
        <w:rPr>
          <w:lang w:val="en-AU"/>
        </w:rPr>
        <w:t>.</w:t>
      </w:r>
    </w:p>
    <w:p w14:paraId="552B36E9" w14:textId="77777777" w:rsidR="00A47B35" w:rsidRDefault="00A47B35" w:rsidP="00A47B35">
      <w:pPr>
        <w:pStyle w:val="GazetteHeading2"/>
      </w:pPr>
      <w:r>
        <w:t>Reason for voluntary recall</w:t>
      </w:r>
    </w:p>
    <w:p w14:paraId="75E66D7F" w14:textId="05D80B63" w:rsidR="00A47B35" w:rsidRDefault="00A47B35" w:rsidP="00A47B35">
      <w:pPr>
        <w:pStyle w:val="GazetteNormalText"/>
        <w:rPr>
          <w:bCs/>
          <w:iCs/>
        </w:rPr>
      </w:pPr>
      <w:r w:rsidRPr="00454B5F">
        <w:t>Small number of adverse effects in horses involving mild signs such as pawing, sweating and agitation, lasting for 10</w:t>
      </w:r>
      <w:r>
        <w:t> </w:t>
      </w:r>
      <w:r>
        <w:t>to</w:t>
      </w:r>
      <w:r w:rsidRPr="00454B5F">
        <w:t>15 minutes and self-resolving</w:t>
      </w:r>
      <w:r w:rsidRPr="009D58ED">
        <w:t>.</w:t>
      </w:r>
    </w:p>
    <w:p w14:paraId="24038DB6" w14:textId="77777777" w:rsidR="00A47B35" w:rsidRDefault="00A47B35" w:rsidP="00A47B35">
      <w:pPr>
        <w:pStyle w:val="GazetteHeading2"/>
      </w:pPr>
      <w:r>
        <w:t>Hazard</w:t>
      </w:r>
    </w:p>
    <w:p w14:paraId="37603A3D" w14:textId="17D1D394" w:rsidR="00A47B35" w:rsidRDefault="00A47B35" w:rsidP="00A47B35">
      <w:pPr>
        <w:pStyle w:val="GazetteNormalText"/>
        <w:rPr>
          <w:bCs/>
          <w:iCs/>
        </w:rPr>
      </w:pPr>
      <w:r w:rsidRPr="00454B5F">
        <w:t>Potential adverse effects such as pawing, sweating and agitation, lasting for 10</w:t>
      </w:r>
      <w:r>
        <w:t xml:space="preserve"> to </w:t>
      </w:r>
      <w:r w:rsidRPr="00454B5F">
        <w:t>15 minutes and self-resolving</w:t>
      </w:r>
      <w:r w:rsidRPr="009D58ED">
        <w:t>.</w:t>
      </w:r>
    </w:p>
    <w:p w14:paraId="01A6F5B4" w14:textId="77777777" w:rsidR="00A47B35" w:rsidRDefault="00A47B35" w:rsidP="00A47B35">
      <w:pPr>
        <w:pStyle w:val="GazetteHeading2"/>
      </w:pPr>
      <w:r>
        <w:t>What to do if in possession of this chemical product</w:t>
      </w:r>
    </w:p>
    <w:p w14:paraId="7D2CAF10" w14:textId="5B6B52D1" w:rsidR="00A47B35" w:rsidRDefault="00A47B35" w:rsidP="00A47B35">
      <w:pPr>
        <w:pStyle w:val="GazetteNormalText"/>
        <w:rPr>
          <w:bCs/>
          <w:iCs/>
        </w:rPr>
      </w:pPr>
      <w:r w:rsidRPr="00454B5F">
        <w:t xml:space="preserve">Cease use of </w:t>
      </w:r>
      <w:proofErr w:type="spellStart"/>
      <w:r w:rsidRPr="00454B5F">
        <w:t>Randlab</w:t>
      </w:r>
      <w:proofErr w:type="spellEnd"/>
      <w:r w:rsidRPr="00454B5F">
        <w:t xml:space="preserve"> Gentamicin Injection from above-mentioned batches immediately. Wholesalers should immediately quarantine any stock on hand of the recalled product and contact </w:t>
      </w:r>
      <w:proofErr w:type="spellStart"/>
      <w:r w:rsidRPr="00454B5F">
        <w:t>Randlab</w:t>
      </w:r>
      <w:proofErr w:type="spellEnd"/>
      <w:r w:rsidRPr="00454B5F">
        <w:t xml:space="preserve"> Pty Ltd to arrange return. End users are advised to contact </w:t>
      </w:r>
      <w:proofErr w:type="spellStart"/>
      <w:r w:rsidRPr="00454B5F">
        <w:t>Randlab</w:t>
      </w:r>
      <w:proofErr w:type="spellEnd"/>
      <w:r w:rsidRPr="00454B5F">
        <w:t xml:space="preserve"> Pty Ltd to organise return</w:t>
      </w:r>
      <w:r w:rsidRPr="009D58ED">
        <w:t>.</w:t>
      </w:r>
    </w:p>
    <w:p w14:paraId="3644ED41" w14:textId="77777777" w:rsidR="00A47B35" w:rsidRDefault="00A47B35" w:rsidP="00A47B35">
      <w:pPr>
        <w:pStyle w:val="GazetteHeading2"/>
      </w:pPr>
      <w:r>
        <w:t>More information</w:t>
      </w:r>
    </w:p>
    <w:p w14:paraId="0D4E9FF9" w14:textId="441B548D" w:rsidR="00A47B35" w:rsidRDefault="00A47B35" w:rsidP="00A47B35">
      <w:pPr>
        <w:pStyle w:val="GazetteNormalText"/>
      </w:pPr>
      <w:r>
        <w:t xml:space="preserve">Visit the APVMA website to </w:t>
      </w:r>
      <w:hyperlink r:id="rId37" w:history="1">
        <w:r w:rsidRPr="00A47B35">
          <w:rPr>
            <w:rStyle w:val="Hyperlink"/>
          </w:rPr>
          <w:t>view the notice</w:t>
        </w:r>
      </w:hyperlink>
      <w:r>
        <w:t xml:space="preserve"> of voluntary recall for the chemical product described above.</w:t>
      </w:r>
    </w:p>
    <w:p w14:paraId="1C5BC044" w14:textId="77777777" w:rsidR="00A47B35" w:rsidRPr="0033395A" w:rsidRDefault="00A47B35" w:rsidP="00A47B35">
      <w:pPr>
        <w:pStyle w:val="GazetteNormalText"/>
      </w:pPr>
      <w:r>
        <w:t xml:space="preserve">The APVMA publishes a list of </w:t>
      </w:r>
      <w:hyperlink r:id="rId38" w:history="1">
        <w:proofErr w:type="spellStart"/>
        <w:r w:rsidRPr="00A47B35">
          <w:rPr>
            <w:rStyle w:val="Hyperlink"/>
            <w:color w:val="auto"/>
          </w:rPr>
          <w:t>agvet</w:t>
        </w:r>
        <w:proofErr w:type="spellEnd"/>
        <w:r w:rsidRPr="00A47B35">
          <w:rPr>
            <w:rStyle w:val="Hyperlink"/>
            <w:color w:val="auto"/>
          </w:rPr>
          <w:t xml:space="preserve"> chemical recall notices</w:t>
        </w:r>
      </w:hyperlink>
      <w:r>
        <w:t xml:space="preserve"> on its website and provides a </w:t>
      </w:r>
      <w:hyperlink r:id="rId39" w:history="1">
        <w:r w:rsidRPr="00D30910">
          <w:rPr>
            <w:rStyle w:val="Hyperlink"/>
          </w:rPr>
          <w:t>subscription option</w:t>
        </w:r>
      </w:hyperlink>
      <w:r>
        <w:t xml:space="preserve"> to be notified by email when a new recall notice is published.</w:t>
      </w:r>
    </w:p>
    <w:p w14:paraId="06EBBC03" w14:textId="77777777" w:rsidR="00A47B35" w:rsidRDefault="00A47B35" w:rsidP="00A47B35">
      <w:pPr>
        <w:pStyle w:val="GazetteHeading2"/>
      </w:pPr>
      <w:r>
        <w:t>Contact</w:t>
      </w:r>
    </w:p>
    <w:p w14:paraId="03EFD16D" w14:textId="77777777" w:rsidR="00AB7545" w:rsidRDefault="00A47B35" w:rsidP="00A47B35">
      <w:pPr>
        <w:pStyle w:val="GazetteNormalText"/>
        <w:sectPr w:rsidR="00AB7545" w:rsidSect="002E3D72">
          <w:pgSz w:w="11906" w:h="16838"/>
          <w:pgMar w:top="1440" w:right="1134" w:bottom="1440" w:left="1134" w:header="680" w:footer="737" w:gutter="0"/>
          <w:cols w:space="708"/>
          <w:docGrid w:linePitch="360"/>
        </w:sectPr>
      </w:pPr>
      <w:r w:rsidRPr="00454B5F">
        <w:t xml:space="preserve">Please direct all calls and any queries concerning this voluntary recall to </w:t>
      </w:r>
      <w:proofErr w:type="spellStart"/>
      <w:r w:rsidRPr="00454B5F">
        <w:t>Randlab</w:t>
      </w:r>
      <w:proofErr w:type="spellEnd"/>
      <w:r w:rsidRPr="00454B5F">
        <w:t xml:space="preserve"> Pty Ltd on (02) 9728 3505 or to info@randlab.com.au</w:t>
      </w:r>
      <w:r>
        <w:t>.</w:t>
      </w:r>
    </w:p>
    <w:p w14:paraId="4C8D56D1" w14:textId="77777777" w:rsidR="00AB7545" w:rsidRDefault="00AB7545" w:rsidP="00AB7545">
      <w:pPr>
        <w:pStyle w:val="GazetteHeading1"/>
      </w:pPr>
      <w:bookmarkStart w:id="24" w:name="_Toc206168166"/>
      <w:r w:rsidRPr="008732C5">
        <w:lastRenderedPageBreak/>
        <w:t xml:space="preserve">Notice under section </w:t>
      </w:r>
      <w:r>
        <w:t>34</w:t>
      </w:r>
      <w:r w:rsidRPr="008732C5">
        <w:t>A</w:t>
      </w:r>
      <w:r>
        <w:t>C</w:t>
      </w:r>
      <w:r w:rsidRPr="008732C5">
        <w:t xml:space="preserve"> </w:t>
      </w:r>
      <w:r>
        <w:t xml:space="preserve">of </w:t>
      </w:r>
      <w:r w:rsidRPr="0024030E">
        <w:t>decision on reconsideration</w:t>
      </w:r>
      <w:r>
        <w:t xml:space="preserve"> </w:t>
      </w:r>
      <w:r w:rsidRPr="008732C5">
        <w:t xml:space="preserve">of the Agricultural and Veterinary Chemicals Code: </w:t>
      </w:r>
      <w:r>
        <w:t>fenitrothion</w:t>
      </w:r>
      <w:r w:rsidRPr="008732C5">
        <w:t xml:space="preserve"> reconsideration</w:t>
      </w:r>
      <w:bookmarkEnd w:id="24"/>
      <w:r w:rsidRPr="008732C5">
        <w:t xml:space="preserve"> </w:t>
      </w:r>
    </w:p>
    <w:p w14:paraId="654878F9" w14:textId="1B5287DD" w:rsidR="00AB7545" w:rsidRDefault="00AB7545" w:rsidP="00AB7545">
      <w:pPr>
        <w:pStyle w:val="StatementofReasonsLevel1"/>
        <w:numPr>
          <w:ilvl w:val="0"/>
          <w:numId w:val="35"/>
        </w:numPr>
      </w:pPr>
      <w:r w:rsidRPr="006163DF">
        <w:t>I, Sheila Logan, Executive Director, Risk Assessment Capability, publish</w:t>
      </w:r>
      <w:r>
        <w:t xml:space="preserve"> this</w:t>
      </w:r>
      <w:r w:rsidRPr="006163DF">
        <w:t xml:space="preserve"> notice </w:t>
      </w:r>
      <w:r>
        <w:t>of my decision on the fenitrothion reconsideration</w:t>
      </w:r>
      <w:r w:rsidRPr="006163DF">
        <w:t xml:space="preserve"> pursuant to section 34AC(1)(b) of the Agricultural and Veterinary Chemicals Code scheduled to the </w:t>
      </w:r>
      <w:r w:rsidRPr="00AB7545">
        <w:rPr>
          <w:i/>
          <w:iCs/>
        </w:rPr>
        <w:t>Agricultural and Veterinary Chemicals Code Act 1994</w:t>
      </w:r>
      <w:r w:rsidRPr="00114560">
        <w:t xml:space="preserve"> </w:t>
      </w:r>
      <w:r w:rsidRPr="006163DF">
        <w:t>(</w:t>
      </w:r>
      <w:proofErr w:type="spellStart"/>
      <w:r w:rsidRPr="006163DF">
        <w:t>Agvet</w:t>
      </w:r>
      <w:proofErr w:type="spellEnd"/>
      <w:r w:rsidRPr="006163DF">
        <w:t xml:space="preserve"> Code)</w:t>
      </w:r>
      <w:r>
        <w:t>.</w:t>
      </w:r>
    </w:p>
    <w:p w14:paraId="2855DBA0" w14:textId="3D374C3D" w:rsidR="00AB7545" w:rsidRDefault="00AB7545" w:rsidP="00AB7545">
      <w:pPr>
        <w:pStyle w:val="StatementofReasonsLevel1"/>
        <w:numPr>
          <w:ilvl w:val="0"/>
          <w:numId w:val="35"/>
        </w:numPr>
      </w:pPr>
      <w:r>
        <w:t xml:space="preserve">Pursuant to section 34A(1) of the </w:t>
      </w:r>
      <w:proofErr w:type="spellStart"/>
      <w:r>
        <w:t>Agvet</w:t>
      </w:r>
      <w:proofErr w:type="spellEnd"/>
      <w:r>
        <w:t xml:space="preserve"> Code, I</w:t>
      </w:r>
      <w:r w:rsidRPr="006163DF">
        <w:t xml:space="preserve"> </w:t>
      </w:r>
      <w:r>
        <w:t>have varied the relevant particulars and or conditions of the approvals and registrations</w:t>
      </w:r>
      <w:r w:rsidRPr="000B6203">
        <w:t xml:space="preserve"> </w:t>
      </w:r>
      <w:r w:rsidRPr="006163DF">
        <w:t xml:space="preserve">listed in </w:t>
      </w:r>
      <w:r>
        <w:t>Table 1 in such a way to allow the approvals and registrations to be affirmed.</w:t>
      </w:r>
    </w:p>
    <w:p w14:paraId="00D74393" w14:textId="168883A1" w:rsidR="00AB7545" w:rsidRDefault="00AB7545" w:rsidP="00AB7545">
      <w:pPr>
        <w:pStyle w:val="StatementofReasonsLevel1"/>
        <w:numPr>
          <w:ilvl w:val="0"/>
          <w:numId w:val="35"/>
        </w:numPr>
      </w:pPr>
      <w:r>
        <w:t xml:space="preserve">Pursuant to section 34(1) of the </w:t>
      </w:r>
      <w:proofErr w:type="spellStart"/>
      <w:r>
        <w:t>Agvet</w:t>
      </w:r>
      <w:proofErr w:type="spellEnd"/>
      <w:r>
        <w:t xml:space="preserve"> Code,</w:t>
      </w:r>
      <w:r w:rsidRPr="006163DF">
        <w:t xml:space="preserve"> I </w:t>
      </w:r>
      <w:r>
        <w:t xml:space="preserve">have </w:t>
      </w:r>
      <w:r w:rsidRPr="006163DF">
        <w:t xml:space="preserve">affirmed </w:t>
      </w:r>
      <w:r>
        <w:t>the fenitrothion</w:t>
      </w:r>
      <w:r w:rsidRPr="006163DF">
        <w:t xml:space="preserve"> active constituent approval, product registrations and label approvals listed in </w:t>
      </w:r>
      <w:r>
        <w:t xml:space="preserve">Table 1 </w:t>
      </w:r>
      <w:r w:rsidRPr="006163DF">
        <w:t>of this notice</w:t>
      </w:r>
      <w:r>
        <w:t xml:space="preserve"> as varied.</w:t>
      </w:r>
    </w:p>
    <w:p w14:paraId="5D480597" w14:textId="49A60310" w:rsidR="00AB7545" w:rsidRDefault="00AB7545" w:rsidP="00AB7545">
      <w:pPr>
        <w:pStyle w:val="Caption"/>
      </w:pPr>
      <w:r>
        <w:t xml:space="preserve">Table </w:t>
      </w:r>
      <w:r>
        <w:fldChar w:fldCharType="begin"/>
      </w:r>
      <w:r>
        <w:instrText xml:space="preserve"> SEQ Table_A \* ARABIC </w:instrText>
      </w:r>
      <w:r>
        <w:fldChar w:fldCharType="separate"/>
      </w:r>
      <w:r w:rsidR="00365304">
        <w:rPr>
          <w:noProof/>
        </w:rPr>
        <w:t>1</w:t>
      </w:r>
      <w:r>
        <w:rPr>
          <w:noProof/>
        </w:rPr>
        <w:fldChar w:fldCharType="end"/>
      </w:r>
      <w:r>
        <w:t>:</w:t>
      </w:r>
      <w:r w:rsidRPr="0079326E">
        <w:t xml:space="preserve"> </w:t>
      </w:r>
      <w:r w:rsidRPr="00693ADC">
        <w:t xml:space="preserve">Fenitrothion active constituent approvals, product registrations and label approvals that have been varied and then affirmed pursuant to sections 34(A)1 and 34(1) of the </w:t>
      </w:r>
      <w:proofErr w:type="spellStart"/>
      <w:r w:rsidRPr="00693ADC">
        <w:t>Agvet</w:t>
      </w:r>
      <w:proofErr w:type="spellEnd"/>
      <w:r w:rsidRPr="00693ADC">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414"/>
        <w:gridCol w:w="1134"/>
        <w:gridCol w:w="2268"/>
        <w:gridCol w:w="2694"/>
        <w:gridCol w:w="2118"/>
      </w:tblGrid>
      <w:tr w:rsidR="00AB7545" w14:paraId="091E3559" w14:textId="77777777" w:rsidTr="00AB7545">
        <w:trPr>
          <w:tblHeader/>
        </w:trPr>
        <w:tc>
          <w:tcPr>
            <w:tcW w:w="734" w:type="pct"/>
            <w:shd w:val="clear" w:color="auto" w:fill="E7E6E6" w:themeFill="background2"/>
          </w:tcPr>
          <w:p w14:paraId="2F0B4B9F" w14:textId="77777777" w:rsidR="00AB7545" w:rsidRDefault="00AB7545" w:rsidP="001177C6">
            <w:pPr>
              <w:pStyle w:val="GazetteTableHeading"/>
            </w:pPr>
            <w:r w:rsidRPr="004E2985">
              <w:t>Type of approval or registration</w:t>
            </w:r>
          </w:p>
        </w:tc>
        <w:tc>
          <w:tcPr>
            <w:tcW w:w="589" w:type="pct"/>
            <w:shd w:val="clear" w:color="auto" w:fill="E7E6E6" w:themeFill="background2"/>
          </w:tcPr>
          <w:p w14:paraId="5F60E8ED" w14:textId="77777777" w:rsidR="00AB7545" w:rsidRDefault="00AB7545" w:rsidP="001177C6">
            <w:pPr>
              <w:pStyle w:val="GazetteTableHeading"/>
            </w:pPr>
            <w:r w:rsidRPr="004E2985">
              <w:t xml:space="preserve">Approval or registration </w:t>
            </w:r>
            <w:r>
              <w:t>n</w:t>
            </w:r>
            <w:r w:rsidRPr="004E2985">
              <w:t>umber</w:t>
            </w:r>
          </w:p>
        </w:tc>
        <w:tc>
          <w:tcPr>
            <w:tcW w:w="1178" w:type="pct"/>
            <w:shd w:val="clear" w:color="auto" w:fill="E7E6E6" w:themeFill="background2"/>
          </w:tcPr>
          <w:p w14:paraId="23D4C7F5" w14:textId="77777777" w:rsidR="00AB7545" w:rsidRDefault="00AB7545" w:rsidP="001177C6">
            <w:pPr>
              <w:pStyle w:val="GazetteTableHeading"/>
            </w:pPr>
            <w:r w:rsidRPr="004E2985">
              <w:t>Name</w:t>
            </w:r>
          </w:p>
        </w:tc>
        <w:tc>
          <w:tcPr>
            <w:tcW w:w="1399" w:type="pct"/>
            <w:shd w:val="clear" w:color="auto" w:fill="E7E6E6" w:themeFill="background2"/>
          </w:tcPr>
          <w:p w14:paraId="3507BF25" w14:textId="77777777" w:rsidR="00AB7545" w:rsidRDefault="00AB7545" w:rsidP="001177C6">
            <w:pPr>
              <w:pStyle w:val="GazetteTableHeading"/>
            </w:pPr>
            <w:r w:rsidRPr="004E2985">
              <w:t>Holder</w:t>
            </w:r>
          </w:p>
        </w:tc>
        <w:tc>
          <w:tcPr>
            <w:tcW w:w="1100" w:type="pct"/>
            <w:shd w:val="clear" w:color="auto" w:fill="E7E6E6" w:themeFill="background2"/>
          </w:tcPr>
          <w:p w14:paraId="053CD0AD" w14:textId="77777777" w:rsidR="00AB7545" w:rsidRDefault="00AB7545" w:rsidP="001177C6">
            <w:pPr>
              <w:pStyle w:val="GazetteTableHeading"/>
            </w:pPr>
            <w:r>
              <w:t xml:space="preserve">Affirmed label approval number associated with the product </w:t>
            </w:r>
          </w:p>
        </w:tc>
      </w:tr>
      <w:tr w:rsidR="00AB7545" w14:paraId="0C967AC7" w14:textId="77777777" w:rsidTr="00AB7545">
        <w:tc>
          <w:tcPr>
            <w:tcW w:w="734" w:type="pct"/>
            <w:shd w:val="clear" w:color="auto" w:fill="auto"/>
          </w:tcPr>
          <w:p w14:paraId="66F14928" w14:textId="77777777" w:rsidR="00AB7545" w:rsidRPr="001807DB" w:rsidRDefault="00AB7545" w:rsidP="001177C6">
            <w:pPr>
              <w:pStyle w:val="GazetteTableText"/>
            </w:pPr>
            <w:r>
              <w:t>Active constituent</w:t>
            </w:r>
          </w:p>
        </w:tc>
        <w:tc>
          <w:tcPr>
            <w:tcW w:w="589" w:type="pct"/>
            <w:shd w:val="clear" w:color="auto" w:fill="auto"/>
          </w:tcPr>
          <w:p w14:paraId="51907BB7" w14:textId="77777777" w:rsidR="00AB7545" w:rsidRPr="001807DB" w:rsidRDefault="00AB7545" w:rsidP="001177C6">
            <w:pPr>
              <w:pStyle w:val="GazetteTableText"/>
            </w:pPr>
            <w:r>
              <w:t>44499</w:t>
            </w:r>
          </w:p>
        </w:tc>
        <w:tc>
          <w:tcPr>
            <w:tcW w:w="1178" w:type="pct"/>
            <w:shd w:val="clear" w:color="auto" w:fill="auto"/>
          </w:tcPr>
          <w:p w14:paraId="2EE702CF" w14:textId="77777777" w:rsidR="00AB7545" w:rsidRPr="001807DB" w:rsidRDefault="00AB7545" w:rsidP="001177C6">
            <w:pPr>
              <w:pStyle w:val="GazetteTableText"/>
            </w:pPr>
            <w:r>
              <w:t>Fenitrothion</w:t>
            </w:r>
          </w:p>
        </w:tc>
        <w:tc>
          <w:tcPr>
            <w:tcW w:w="1399" w:type="pct"/>
            <w:shd w:val="clear" w:color="auto" w:fill="auto"/>
          </w:tcPr>
          <w:p w14:paraId="6F63852E" w14:textId="77777777" w:rsidR="00AB7545" w:rsidRPr="001807DB" w:rsidRDefault="00AB7545" w:rsidP="001177C6">
            <w:pPr>
              <w:pStyle w:val="GazetteTableText"/>
            </w:pPr>
            <w:r w:rsidRPr="00693ADC">
              <w:t>Sumitomo Chemical Australia Pty Ltd</w:t>
            </w:r>
          </w:p>
        </w:tc>
        <w:tc>
          <w:tcPr>
            <w:tcW w:w="1100" w:type="pct"/>
            <w:shd w:val="clear" w:color="auto" w:fill="auto"/>
          </w:tcPr>
          <w:p w14:paraId="57F92893" w14:textId="77777777" w:rsidR="00AB7545" w:rsidRPr="001807DB" w:rsidRDefault="00AB7545" w:rsidP="001177C6">
            <w:pPr>
              <w:pStyle w:val="GazetteTableText"/>
            </w:pPr>
            <w:r>
              <w:t>n/a</w:t>
            </w:r>
          </w:p>
        </w:tc>
      </w:tr>
      <w:tr w:rsidR="00AB7545" w14:paraId="32335372" w14:textId="77777777" w:rsidTr="00AB7545">
        <w:tc>
          <w:tcPr>
            <w:tcW w:w="734" w:type="pct"/>
          </w:tcPr>
          <w:p w14:paraId="03F0E2F0" w14:textId="77777777" w:rsidR="00AB7545" w:rsidRDefault="00AB7545" w:rsidP="001177C6">
            <w:pPr>
              <w:pStyle w:val="GazetteTableText"/>
            </w:pPr>
            <w:r w:rsidRPr="00E927A1">
              <w:t>Product</w:t>
            </w:r>
          </w:p>
        </w:tc>
        <w:tc>
          <w:tcPr>
            <w:tcW w:w="589" w:type="pct"/>
            <w:shd w:val="clear" w:color="auto" w:fill="auto"/>
          </w:tcPr>
          <w:p w14:paraId="4B3EBEF8" w14:textId="77777777" w:rsidR="00AB7545" w:rsidRDefault="00AB7545" w:rsidP="001177C6">
            <w:pPr>
              <w:pStyle w:val="GazetteTableText"/>
            </w:pPr>
            <w:r w:rsidRPr="00E927A1">
              <w:t>46127</w:t>
            </w:r>
          </w:p>
        </w:tc>
        <w:tc>
          <w:tcPr>
            <w:tcW w:w="1178" w:type="pct"/>
            <w:shd w:val="clear" w:color="auto" w:fill="auto"/>
          </w:tcPr>
          <w:p w14:paraId="41310942" w14:textId="77777777" w:rsidR="00AB7545" w:rsidRDefault="00AB7545" w:rsidP="001177C6">
            <w:pPr>
              <w:pStyle w:val="GazetteTableText"/>
            </w:pPr>
            <w:proofErr w:type="spellStart"/>
            <w:r w:rsidRPr="00E927A1">
              <w:t>Methograin</w:t>
            </w:r>
            <w:proofErr w:type="spellEnd"/>
            <w:r w:rsidRPr="00E927A1">
              <w:t xml:space="preserve"> Fenitrothion 1000 Insecticide</w:t>
            </w:r>
          </w:p>
        </w:tc>
        <w:tc>
          <w:tcPr>
            <w:tcW w:w="1399" w:type="pct"/>
          </w:tcPr>
          <w:p w14:paraId="113D08AA" w14:textId="77777777" w:rsidR="00AB7545" w:rsidRDefault="00AB7545" w:rsidP="001177C6">
            <w:pPr>
              <w:pStyle w:val="GazetteTableText"/>
            </w:pPr>
            <w:proofErr w:type="spellStart"/>
            <w:r w:rsidRPr="00E927A1">
              <w:t>Babolna</w:t>
            </w:r>
            <w:proofErr w:type="spellEnd"/>
            <w:r w:rsidRPr="00E927A1">
              <w:t xml:space="preserve"> Bioenvironmental Centre Private Limited Company</w:t>
            </w:r>
          </w:p>
        </w:tc>
        <w:tc>
          <w:tcPr>
            <w:tcW w:w="1100" w:type="pct"/>
            <w:shd w:val="clear" w:color="auto" w:fill="auto"/>
          </w:tcPr>
          <w:p w14:paraId="6D821382" w14:textId="77777777" w:rsidR="00AB7545" w:rsidRDefault="00AB7545" w:rsidP="001177C6">
            <w:pPr>
              <w:pStyle w:val="GazetteTableText"/>
            </w:pPr>
            <w:r w:rsidRPr="00102023">
              <w:t>46127</w:t>
            </w:r>
            <w:r>
              <w:t>/RV25</w:t>
            </w:r>
          </w:p>
        </w:tc>
      </w:tr>
      <w:tr w:rsidR="00AB7545" w14:paraId="44BFC97C" w14:textId="77777777" w:rsidTr="00AB7545">
        <w:tc>
          <w:tcPr>
            <w:tcW w:w="734" w:type="pct"/>
          </w:tcPr>
          <w:p w14:paraId="76150192" w14:textId="77777777" w:rsidR="00AB7545" w:rsidRDefault="00AB7545" w:rsidP="001177C6">
            <w:pPr>
              <w:pStyle w:val="GazetteTableText"/>
            </w:pPr>
            <w:r w:rsidRPr="00E927A1">
              <w:t>Product</w:t>
            </w:r>
          </w:p>
        </w:tc>
        <w:tc>
          <w:tcPr>
            <w:tcW w:w="589" w:type="pct"/>
            <w:shd w:val="clear" w:color="auto" w:fill="auto"/>
          </w:tcPr>
          <w:p w14:paraId="1EEA30FB" w14:textId="77777777" w:rsidR="00AB7545" w:rsidRDefault="00AB7545" w:rsidP="001177C6">
            <w:pPr>
              <w:pStyle w:val="GazetteTableText"/>
            </w:pPr>
            <w:r w:rsidRPr="00E927A1">
              <w:t>50775</w:t>
            </w:r>
          </w:p>
        </w:tc>
        <w:tc>
          <w:tcPr>
            <w:tcW w:w="1178" w:type="pct"/>
            <w:shd w:val="clear" w:color="auto" w:fill="auto"/>
          </w:tcPr>
          <w:p w14:paraId="1965D93D" w14:textId="77777777" w:rsidR="00AB7545" w:rsidRDefault="00AB7545" w:rsidP="001177C6">
            <w:pPr>
              <w:pStyle w:val="GazetteTableText"/>
            </w:pPr>
            <w:proofErr w:type="spellStart"/>
            <w:r w:rsidRPr="00E927A1">
              <w:t>Sumithion</w:t>
            </w:r>
            <w:proofErr w:type="spellEnd"/>
            <w:r w:rsidRPr="00E927A1">
              <w:t xml:space="preserve"> 1000EC Insecticide</w:t>
            </w:r>
          </w:p>
        </w:tc>
        <w:tc>
          <w:tcPr>
            <w:tcW w:w="1399" w:type="pct"/>
          </w:tcPr>
          <w:p w14:paraId="734BBAA5" w14:textId="77777777" w:rsidR="00AB7545" w:rsidRDefault="00AB7545" w:rsidP="001177C6">
            <w:pPr>
              <w:pStyle w:val="GazetteTableText"/>
            </w:pPr>
            <w:r w:rsidRPr="00E927A1">
              <w:t>Sumitomo Chemical Australia Pty L</w:t>
            </w:r>
            <w:r>
              <w:t>t</w:t>
            </w:r>
            <w:r w:rsidRPr="00E927A1">
              <w:t>d</w:t>
            </w:r>
          </w:p>
        </w:tc>
        <w:tc>
          <w:tcPr>
            <w:tcW w:w="1100" w:type="pct"/>
            <w:shd w:val="clear" w:color="auto" w:fill="auto"/>
          </w:tcPr>
          <w:p w14:paraId="3B4442B4" w14:textId="77777777" w:rsidR="00AB7545" w:rsidRDefault="00AB7545" w:rsidP="001177C6">
            <w:pPr>
              <w:pStyle w:val="GazetteTableText"/>
            </w:pPr>
            <w:r>
              <w:t>50775/RV25</w:t>
            </w:r>
          </w:p>
        </w:tc>
      </w:tr>
      <w:tr w:rsidR="00AB7545" w14:paraId="52E77B49" w14:textId="77777777" w:rsidTr="00AB7545">
        <w:tc>
          <w:tcPr>
            <w:tcW w:w="734" w:type="pct"/>
          </w:tcPr>
          <w:p w14:paraId="0CA16893" w14:textId="77777777" w:rsidR="00AB7545" w:rsidRDefault="00AB7545" w:rsidP="001177C6">
            <w:pPr>
              <w:pStyle w:val="GazetteTableText"/>
            </w:pPr>
            <w:r w:rsidRPr="00E927A1">
              <w:t>Product</w:t>
            </w:r>
          </w:p>
        </w:tc>
        <w:tc>
          <w:tcPr>
            <w:tcW w:w="589" w:type="pct"/>
            <w:shd w:val="clear" w:color="auto" w:fill="auto"/>
          </w:tcPr>
          <w:p w14:paraId="273590AB" w14:textId="77777777" w:rsidR="00AB7545" w:rsidRDefault="00AB7545" w:rsidP="001177C6">
            <w:pPr>
              <w:pStyle w:val="GazetteTableText"/>
            </w:pPr>
            <w:r w:rsidRPr="00E927A1">
              <w:t>56170</w:t>
            </w:r>
          </w:p>
        </w:tc>
        <w:tc>
          <w:tcPr>
            <w:tcW w:w="1178" w:type="pct"/>
            <w:shd w:val="clear" w:color="auto" w:fill="auto"/>
          </w:tcPr>
          <w:p w14:paraId="4CFBAB9D" w14:textId="77777777" w:rsidR="00AB7545" w:rsidRDefault="00AB7545" w:rsidP="001177C6">
            <w:pPr>
              <w:pStyle w:val="GazetteTableText"/>
            </w:pPr>
            <w:r w:rsidRPr="00E927A1">
              <w:t>Kendon Fenitrothion 1000EC Insecticide</w:t>
            </w:r>
          </w:p>
        </w:tc>
        <w:tc>
          <w:tcPr>
            <w:tcW w:w="1399" w:type="pct"/>
          </w:tcPr>
          <w:p w14:paraId="6DF3886A" w14:textId="77777777" w:rsidR="00AB7545" w:rsidRDefault="00AB7545" w:rsidP="001177C6">
            <w:pPr>
              <w:pStyle w:val="GazetteTableText"/>
            </w:pPr>
            <w:r w:rsidRPr="00E927A1">
              <w:t>Kendon Plant Care Pty Ltd</w:t>
            </w:r>
          </w:p>
        </w:tc>
        <w:tc>
          <w:tcPr>
            <w:tcW w:w="1100" w:type="pct"/>
            <w:shd w:val="clear" w:color="auto" w:fill="auto"/>
          </w:tcPr>
          <w:p w14:paraId="32C5374E" w14:textId="77777777" w:rsidR="00AB7545" w:rsidRDefault="00AB7545" w:rsidP="001177C6">
            <w:pPr>
              <w:pStyle w:val="GazetteTableText"/>
            </w:pPr>
            <w:r w:rsidRPr="00E927A1">
              <w:t>56170</w:t>
            </w:r>
            <w:r>
              <w:t>/RV25</w:t>
            </w:r>
          </w:p>
        </w:tc>
      </w:tr>
      <w:tr w:rsidR="00AB7545" w14:paraId="765190CA" w14:textId="77777777" w:rsidTr="00AB7545">
        <w:tc>
          <w:tcPr>
            <w:tcW w:w="734" w:type="pct"/>
          </w:tcPr>
          <w:p w14:paraId="15717218" w14:textId="77777777" w:rsidR="00AB7545" w:rsidRDefault="00AB7545" w:rsidP="001177C6">
            <w:pPr>
              <w:pStyle w:val="GazetteTableText"/>
            </w:pPr>
            <w:r w:rsidRPr="00E927A1">
              <w:t>Product</w:t>
            </w:r>
          </w:p>
        </w:tc>
        <w:tc>
          <w:tcPr>
            <w:tcW w:w="589" w:type="pct"/>
            <w:shd w:val="clear" w:color="auto" w:fill="auto"/>
          </w:tcPr>
          <w:p w14:paraId="3C32BCA4" w14:textId="77777777" w:rsidR="00AB7545" w:rsidRDefault="00AB7545" w:rsidP="001177C6">
            <w:pPr>
              <w:pStyle w:val="GazetteTableText"/>
            </w:pPr>
            <w:r w:rsidRPr="00E927A1">
              <w:t>66520</w:t>
            </w:r>
          </w:p>
        </w:tc>
        <w:tc>
          <w:tcPr>
            <w:tcW w:w="1178" w:type="pct"/>
            <w:shd w:val="clear" w:color="auto" w:fill="auto"/>
          </w:tcPr>
          <w:p w14:paraId="017BA2B8" w14:textId="77777777" w:rsidR="00AB7545" w:rsidRDefault="00AB7545" w:rsidP="001177C6">
            <w:pPr>
              <w:pStyle w:val="GazetteTableText"/>
            </w:pPr>
            <w:r w:rsidRPr="00E927A1">
              <w:t>Grain-Guard Duo Insecticide</w:t>
            </w:r>
          </w:p>
        </w:tc>
        <w:tc>
          <w:tcPr>
            <w:tcW w:w="1399" w:type="pct"/>
          </w:tcPr>
          <w:p w14:paraId="7F1E16BA" w14:textId="77777777" w:rsidR="00AB7545" w:rsidRDefault="00AB7545" w:rsidP="001177C6">
            <w:pPr>
              <w:pStyle w:val="GazetteTableText"/>
            </w:pPr>
            <w:r w:rsidRPr="00E927A1">
              <w:t>Sumitomo Chemical Australia Pty L</w:t>
            </w:r>
            <w:r>
              <w:t>t</w:t>
            </w:r>
            <w:r w:rsidRPr="00E927A1">
              <w:t>d</w:t>
            </w:r>
          </w:p>
        </w:tc>
        <w:tc>
          <w:tcPr>
            <w:tcW w:w="1100" w:type="pct"/>
            <w:shd w:val="clear" w:color="auto" w:fill="auto"/>
          </w:tcPr>
          <w:p w14:paraId="405ACC04" w14:textId="77777777" w:rsidR="00AB7545" w:rsidRDefault="00AB7545" w:rsidP="001177C6">
            <w:pPr>
              <w:pStyle w:val="GazetteTableText"/>
            </w:pPr>
            <w:r w:rsidRPr="00E927A1">
              <w:t>66520</w:t>
            </w:r>
            <w:r>
              <w:t>/RV25</w:t>
            </w:r>
          </w:p>
        </w:tc>
      </w:tr>
      <w:tr w:rsidR="00AB7545" w14:paraId="3B9B7C2E" w14:textId="77777777" w:rsidTr="00AB7545">
        <w:tc>
          <w:tcPr>
            <w:tcW w:w="734" w:type="pct"/>
          </w:tcPr>
          <w:p w14:paraId="322C7F55" w14:textId="77777777" w:rsidR="00AB7545" w:rsidRDefault="00AB7545" w:rsidP="001177C6">
            <w:pPr>
              <w:pStyle w:val="GazetteTableText"/>
            </w:pPr>
            <w:r w:rsidRPr="00E927A1">
              <w:t>Product</w:t>
            </w:r>
          </w:p>
        </w:tc>
        <w:tc>
          <w:tcPr>
            <w:tcW w:w="589" w:type="pct"/>
            <w:shd w:val="clear" w:color="auto" w:fill="auto"/>
          </w:tcPr>
          <w:p w14:paraId="701DB3B9" w14:textId="77777777" w:rsidR="00AB7545" w:rsidRDefault="00AB7545" w:rsidP="001177C6">
            <w:pPr>
              <w:pStyle w:val="GazetteTableText"/>
            </w:pPr>
            <w:r w:rsidRPr="00E927A1">
              <w:t>67186</w:t>
            </w:r>
          </w:p>
        </w:tc>
        <w:tc>
          <w:tcPr>
            <w:tcW w:w="1178" w:type="pct"/>
            <w:shd w:val="clear" w:color="auto" w:fill="auto"/>
          </w:tcPr>
          <w:p w14:paraId="3E84A3DD" w14:textId="77777777" w:rsidR="00AB7545" w:rsidRDefault="00AB7545" w:rsidP="001177C6">
            <w:pPr>
              <w:pStyle w:val="GazetteTableText"/>
            </w:pPr>
            <w:r w:rsidRPr="00E927A1">
              <w:t>Freezone Fenitrothion Insecticide</w:t>
            </w:r>
          </w:p>
        </w:tc>
        <w:tc>
          <w:tcPr>
            <w:tcW w:w="1399" w:type="pct"/>
          </w:tcPr>
          <w:p w14:paraId="018F1F3E" w14:textId="77777777" w:rsidR="00AB7545" w:rsidRDefault="00AB7545" w:rsidP="001177C6">
            <w:pPr>
              <w:pStyle w:val="GazetteTableText"/>
            </w:pPr>
            <w:r w:rsidRPr="00E927A1">
              <w:t>Freezone Public Health Pty Ltd</w:t>
            </w:r>
          </w:p>
        </w:tc>
        <w:tc>
          <w:tcPr>
            <w:tcW w:w="1100" w:type="pct"/>
            <w:shd w:val="clear" w:color="auto" w:fill="auto"/>
          </w:tcPr>
          <w:p w14:paraId="6AAE4BB6" w14:textId="77777777" w:rsidR="00AB7545" w:rsidRDefault="00AB7545" w:rsidP="001177C6">
            <w:pPr>
              <w:pStyle w:val="GazetteTableText"/>
            </w:pPr>
            <w:r w:rsidRPr="00E927A1">
              <w:t>67186</w:t>
            </w:r>
            <w:r>
              <w:t>/RV25</w:t>
            </w:r>
          </w:p>
        </w:tc>
      </w:tr>
      <w:tr w:rsidR="00AB7545" w14:paraId="017080FD" w14:textId="77777777" w:rsidTr="00AB7545">
        <w:tc>
          <w:tcPr>
            <w:tcW w:w="734" w:type="pct"/>
          </w:tcPr>
          <w:p w14:paraId="56F7C7B4" w14:textId="77777777" w:rsidR="00AB7545" w:rsidRDefault="00AB7545" w:rsidP="001177C6">
            <w:pPr>
              <w:pStyle w:val="GazetteTableText"/>
            </w:pPr>
            <w:r w:rsidRPr="00E927A1">
              <w:t>Product</w:t>
            </w:r>
          </w:p>
        </w:tc>
        <w:tc>
          <w:tcPr>
            <w:tcW w:w="589" w:type="pct"/>
            <w:shd w:val="clear" w:color="auto" w:fill="auto"/>
          </w:tcPr>
          <w:p w14:paraId="7AB519CE" w14:textId="77777777" w:rsidR="00AB7545" w:rsidRDefault="00AB7545" w:rsidP="001177C6">
            <w:pPr>
              <w:pStyle w:val="GazetteTableText"/>
            </w:pPr>
            <w:r w:rsidRPr="00E927A1">
              <w:t>67567</w:t>
            </w:r>
          </w:p>
        </w:tc>
        <w:tc>
          <w:tcPr>
            <w:tcW w:w="1178" w:type="pct"/>
            <w:shd w:val="clear" w:color="auto" w:fill="auto"/>
          </w:tcPr>
          <w:p w14:paraId="10ABF6BD" w14:textId="77777777" w:rsidR="00AB7545" w:rsidRDefault="00AB7545" w:rsidP="001177C6">
            <w:pPr>
              <w:pStyle w:val="GazetteTableText"/>
            </w:pPr>
            <w:r w:rsidRPr="00E927A1">
              <w:t>Freezone Smart Grain Dual Insecticide</w:t>
            </w:r>
          </w:p>
        </w:tc>
        <w:tc>
          <w:tcPr>
            <w:tcW w:w="1399" w:type="pct"/>
          </w:tcPr>
          <w:p w14:paraId="302570BA" w14:textId="77777777" w:rsidR="00AB7545" w:rsidRDefault="00AB7545" w:rsidP="001177C6">
            <w:pPr>
              <w:pStyle w:val="GazetteTableText"/>
            </w:pPr>
            <w:r w:rsidRPr="00E927A1">
              <w:t>Freezone Public Health Pty Ltd</w:t>
            </w:r>
          </w:p>
        </w:tc>
        <w:tc>
          <w:tcPr>
            <w:tcW w:w="1100" w:type="pct"/>
            <w:shd w:val="clear" w:color="auto" w:fill="auto"/>
          </w:tcPr>
          <w:p w14:paraId="27624EA9" w14:textId="77777777" w:rsidR="00AB7545" w:rsidRDefault="00AB7545" w:rsidP="001177C6">
            <w:pPr>
              <w:pStyle w:val="GazetteTableText"/>
            </w:pPr>
            <w:r w:rsidRPr="00E927A1">
              <w:t>67567</w:t>
            </w:r>
            <w:r>
              <w:t>/RV25</w:t>
            </w:r>
          </w:p>
        </w:tc>
      </w:tr>
      <w:tr w:rsidR="00AB7545" w14:paraId="44CA0392" w14:textId="77777777" w:rsidTr="00AB7545">
        <w:tc>
          <w:tcPr>
            <w:tcW w:w="734" w:type="pct"/>
          </w:tcPr>
          <w:p w14:paraId="54112A59" w14:textId="77777777" w:rsidR="00AB7545" w:rsidRDefault="00AB7545" w:rsidP="001177C6">
            <w:pPr>
              <w:pStyle w:val="GazetteTableText"/>
            </w:pPr>
            <w:r w:rsidRPr="00E927A1">
              <w:t>Product</w:t>
            </w:r>
          </w:p>
        </w:tc>
        <w:tc>
          <w:tcPr>
            <w:tcW w:w="589" w:type="pct"/>
            <w:shd w:val="clear" w:color="auto" w:fill="auto"/>
          </w:tcPr>
          <w:p w14:paraId="31927A44" w14:textId="77777777" w:rsidR="00AB7545" w:rsidRDefault="00AB7545" w:rsidP="001177C6">
            <w:pPr>
              <w:pStyle w:val="GazetteTableText"/>
            </w:pPr>
            <w:r w:rsidRPr="00E927A1">
              <w:t>91551</w:t>
            </w:r>
          </w:p>
        </w:tc>
        <w:tc>
          <w:tcPr>
            <w:tcW w:w="1178" w:type="pct"/>
            <w:shd w:val="clear" w:color="auto" w:fill="auto"/>
          </w:tcPr>
          <w:p w14:paraId="5B695127" w14:textId="77777777" w:rsidR="00AB7545" w:rsidRDefault="00AB7545" w:rsidP="001177C6">
            <w:pPr>
              <w:pStyle w:val="GazetteTableText"/>
            </w:pPr>
            <w:r w:rsidRPr="00E927A1">
              <w:t>Titan Dual Grain Treatment</w:t>
            </w:r>
          </w:p>
        </w:tc>
        <w:tc>
          <w:tcPr>
            <w:tcW w:w="1399" w:type="pct"/>
          </w:tcPr>
          <w:p w14:paraId="725B25D3" w14:textId="77777777" w:rsidR="00AB7545" w:rsidRDefault="00AB7545" w:rsidP="001177C6">
            <w:pPr>
              <w:pStyle w:val="GazetteTableText"/>
            </w:pPr>
            <w:r w:rsidRPr="00E927A1">
              <w:t>Freezone Public Health Pty Ltd</w:t>
            </w:r>
          </w:p>
        </w:tc>
        <w:tc>
          <w:tcPr>
            <w:tcW w:w="1100" w:type="pct"/>
            <w:shd w:val="clear" w:color="auto" w:fill="auto"/>
          </w:tcPr>
          <w:p w14:paraId="2DC6F5A2" w14:textId="77777777" w:rsidR="00AB7545" w:rsidRDefault="00AB7545" w:rsidP="001177C6">
            <w:pPr>
              <w:pStyle w:val="GazetteTableText"/>
            </w:pPr>
            <w:r w:rsidRPr="00E927A1">
              <w:t>91551</w:t>
            </w:r>
            <w:r>
              <w:t>/RV25</w:t>
            </w:r>
          </w:p>
        </w:tc>
      </w:tr>
    </w:tbl>
    <w:p w14:paraId="00E565CE" w14:textId="77777777" w:rsidR="00AB7545" w:rsidRPr="00AB7545" w:rsidRDefault="00AB7545" w:rsidP="00AB7545">
      <w:pPr>
        <w:pStyle w:val="GazetteHeading2"/>
      </w:pPr>
      <w:r w:rsidRPr="00AB7545">
        <w:t>Brief reasons for decisions</w:t>
      </w:r>
    </w:p>
    <w:p w14:paraId="7B7F3A8B" w14:textId="3B0A08B5" w:rsidR="00AB7545" w:rsidRDefault="00AB7545" w:rsidP="00AB7545">
      <w:pPr>
        <w:pStyle w:val="StatementofReasonsLevel1"/>
        <w:spacing w:before="240" w:after="240"/>
      </w:pPr>
      <w:r w:rsidRPr="00897DFC">
        <w:t xml:space="preserve">The APVMA </w:t>
      </w:r>
      <w:r>
        <w:t>published</w:t>
      </w:r>
      <w:r w:rsidRPr="00897DFC">
        <w:t xml:space="preserve"> notice of the proposed regulatory decision for the reconsideration of fenitrothion active constituent approvals, chemical product registrations, and label approvals under Part 2, Division 4 of the </w:t>
      </w:r>
      <w:proofErr w:type="spellStart"/>
      <w:r w:rsidRPr="00897DFC">
        <w:t>Agvet</w:t>
      </w:r>
      <w:proofErr w:type="spellEnd"/>
      <w:r w:rsidRPr="00897DFC">
        <w:t xml:space="preserve"> Code on </w:t>
      </w:r>
      <w:r>
        <w:t xml:space="preserve">in the </w:t>
      </w:r>
      <w:hyperlink r:id="rId40" w:history="1">
        <w:r w:rsidRPr="005E09EF">
          <w:rPr>
            <w:rStyle w:val="Hyperlink"/>
          </w:rPr>
          <w:t>APVMA Gazette on 9 April 2024</w:t>
        </w:r>
      </w:hyperlink>
      <w:r w:rsidRPr="00897DFC">
        <w:t>. The proposed regulatory decision was subject to a 3-month public consultation. I</w:t>
      </w:r>
      <w:r>
        <w:t xml:space="preserve"> </w:t>
      </w:r>
      <w:r w:rsidRPr="00897DFC">
        <w:t>have had regard to all submissions received in response to the public consultation before making this decision.</w:t>
      </w:r>
    </w:p>
    <w:p w14:paraId="5AF5D4DE" w14:textId="093DC753" w:rsidR="00AB7545" w:rsidRDefault="00AB7545" w:rsidP="00AB7545">
      <w:pPr>
        <w:pStyle w:val="StatementofReasonsLevel1"/>
      </w:pPr>
      <w:r w:rsidRPr="000C2F1D">
        <w:t>The APVMA received 9 written submissions on the fenitrothion proposed regulatory decisions, 3 of which the APVMA received permission to publish. The APVMA</w:t>
      </w:r>
      <w:r w:rsidRPr="000C2F1D">
        <w:t>’</w:t>
      </w:r>
      <w:r w:rsidRPr="000C2F1D">
        <w:t>s</w:t>
      </w:r>
      <w:r>
        <w:t xml:space="preserve"> subject-matter-</w:t>
      </w:r>
      <w:r w:rsidRPr="000C2F1D">
        <w:t xml:space="preserve">expert staff have considered all written submissions received and updated, where appropriate, the technical and scientific assessments of the hazards and risks associated with fenitrothion approvals and registrations in the </w:t>
      </w:r>
      <w:hyperlink r:id="rId41" w:history="1">
        <w:r w:rsidRPr="005E09EF">
          <w:rPr>
            <w:rStyle w:val="Hyperlink"/>
          </w:rPr>
          <w:t>Fenitrothion Final Review Technical Report</w:t>
        </w:r>
      </w:hyperlink>
      <w:r>
        <w:rPr>
          <w:i/>
          <w:iCs/>
        </w:rPr>
        <w:t xml:space="preserve">. </w:t>
      </w:r>
      <w:r w:rsidRPr="003C0D7E">
        <w:t>I have reviewed that Report in detail, considered its methodology and the evidence on which it is based, and agree with its conclusions. I have had regard to all submissions received in response to the public consultation on the fenitrothion proposed regulatory decisions, and the updated technical and scientific assessment in the Fenitrothion Final Review Technical Report, before making this decision. This final regulatory decision reflects both the revised material findings of facts from those previously made in the published proposed decision, and the revised reasons for this final regulatory decision.</w:t>
      </w:r>
    </w:p>
    <w:p w14:paraId="23F41D18" w14:textId="77777777" w:rsidR="00AB7545" w:rsidRPr="00AB7545" w:rsidRDefault="00AB7545" w:rsidP="00AB7545">
      <w:pPr>
        <w:pStyle w:val="GazetteHeading3"/>
      </w:pPr>
      <w:bookmarkStart w:id="25" w:name="_Hlk204345304"/>
      <w:r w:rsidRPr="00AB7545">
        <w:lastRenderedPageBreak/>
        <w:t>Active constituents</w:t>
      </w:r>
    </w:p>
    <w:bookmarkEnd w:id="25"/>
    <w:p w14:paraId="670CF064" w14:textId="77777777" w:rsidR="00AB7545" w:rsidRDefault="00AB7545" w:rsidP="00AB7545">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0C7FFA">
        <w:rPr>
          <w:rFonts w:eastAsia="Arial Unicode MS" w:hAnsi="Arial Unicode MS" w:cs="Arial Unicode MS"/>
          <w:color w:val="000000"/>
          <w:szCs w:val="18"/>
          <w:u w:color="000000"/>
          <w:bdr w:val="nil"/>
          <w:lang w:val="en-GB" w:eastAsia="en-AU"/>
        </w:rPr>
        <w:t xml:space="preserve">In accordance with section 34A(1) of the </w:t>
      </w:r>
      <w:proofErr w:type="spellStart"/>
      <w:r w:rsidRPr="000C7FFA">
        <w:rPr>
          <w:rFonts w:eastAsia="Arial Unicode MS" w:hAnsi="Arial Unicode MS" w:cs="Arial Unicode MS"/>
          <w:color w:val="000000"/>
          <w:szCs w:val="18"/>
          <w:u w:color="000000"/>
          <w:bdr w:val="nil"/>
          <w:lang w:val="en-GB" w:eastAsia="en-AU"/>
        </w:rPr>
        <w:t>Agvet</w:t>
      </w:r>
      <w:proofErr w:type="spellEnd"/>
      <w:r w:rsidRPr="000C7FFA">
        <w:rPr>
          <w:rFonts w:eastAsia="Arial Unicode MS" w:hAnsi="Arial Unicode MS" w:cs="Arial Unicode MS"/>
          <w:color w:val="000000"/>
          <w:szCs w:val="18"/>
          <w:u w:color="000000"/>
          <w:bdr w:val="nil"/>
          <w:lang w:val="en-GB" w:eastAsia="en-AU"/>
        </w:rPr>
        <w:t xml:space="preserve"> Code, </w:t>
      </w:r>
      <w:r>
        <w:rPr>
          <w:rFonts w:eastAsia="Arial Unicode MS" w:hAnsi="Arial Unicode MS" w:cs="Arial Unicode MS"/>
          <w:color w:val="000000"/>
          <w:szCs w:val="18"/>
          <w:u w:color="000000"/>
          <w:bdr w:val="nil"/>
          <w:lang w:val="en-GB" w:eastAsia="en-AU"/>
        </w:rPr>
        <w:t>I have decided to vary</w:t>
      </w:r>
      <w:r w:rsidRPr="000C7FFA">
        <w:rPr>
          <w:rFonts w:eastAsia="Arial Unicode MS" w:hAnsi="Arial Unicode MS" w:cs="Arial Unicode MS"/>
          <w:color w:val="000000"/>
          <w:szCs w:val="18"/>
          <w:u w:color="000000"/>
          <w:bdr w:val="nil"/>
          <w:lang w:val="en-GB" w:eastAsia="en-AU"/>
        </w:rPr>
        <w:t xml:space="preserve"> the condition of approval referred to as the </w:t>
      </w:r>
      <w:r w:rsidRPr="000C7FFA">
        <w:rPr>
          <w:rFonts w:eastAsia="Arial Unicode MS" w:hAnsi="Arial Unicode MS" w:cs="Arial Unicode MS"/>
          <w:color w:val="000000"/>
          <w:szCs w:val="18"/>
          <w:u w:color="000000"/>
          <w:bdr w:val="nil"/>
          <w:lang w:val="en-GB" w:eastAsia="en-AU"/>
        </w:rPr>
        <w:t>‘</w:t>
      </w:r>
      <w:r w:rsidRPr="000C7FFA">
        <w:rPr>
          <w:rFonts w:eastAsia="Arial Unicode MS" w:hAnsi="Arial Unicode MS" w:cs="Arial Unicode MS"/>
          <w:color w:val="000000"/>
          <w:szCs w:val="18"/>
          <w:u w:color="000000"/>
          <w:bdr w:val="nil"/>
          <w:lang w:val="en-GB" w:eastAsia="en-AU"/>
        </w:rPr>
        <w:t>Agricultural Active Constituents Quality Assurance Requirements</w:t>
      </w:r>
      <w:r w:rsidRPr="000C7FFA">
        <w:rPr>
          <w:rFonts w:eastAsia="Arial Unicode MS" w:hAnsi="Arial Unicode MS" w:cs="Arial Unicode MS"/>
          <w:color w:val="000000"/>
          <w:szCs w:val="18"/>
          <w:u w:color="000000"/>
          <w:bdr w:val="nil"/>
          <w:lang w:val="en-GB" w:eastAsia="en-AU"/>
        </w:rPr>
        <w:t>’</w:t>
      </w:r>
      <w:r>
        <w:rPr>
          <w:rFonts w:eastAsia="Arial Unicode MS" w:hAnsi="Arial Unicode MS" w:cs="Arial Unicode MS"/>
          <w:color w:val="000000"/>
          <w:szCs w:val="18"/>
          <w:u w:color="000000"/>
          <w:bdr w:val="nil"/>
          <w:lang w:val="en-GB" w:eastAsia="en-AU"/>
        </w:rPr>
        <w:t xml:space="preserve"> to</w:t>
      </w:r>
      <w:r w:rsidRPr="000C7FFA">
        <w:rPr>
          <w:rFonts w:eastAsia="Arial Unicode MS" w:hAnsi="Arial Unicode MS" w:cs="Arial Unicode MS"/>
          <w:color w:val="000000"/>
          <w:szCs w:val="18"/>
          <w:u w:color="000000"/>
          <w:bdr w:val="nil"/>
          <w:lang w:val="en-GB" w:eastAsia="en-AU"/>
        </w:rPr>
        <w:t xml:space="preserve"> remove an obsolete definition and </w:t>
      </w:r>
      <w:r>
        <w:rPr>
          <w:rFonts w:eastAsia="Arial Unicode MS" w:hAnsi="Arial Unicode MS" w:cs="Arial Unicode MS"/>
          <w:color w:val="000000"/>
          <w:szCs w:val="18"/>
          <w:u w:color="000000"/>
          <w:bdr w:val="nil"/>
          <w:lang w:val="en-GB" w:eastAsia="en-AU"/>
        </w:rPr>
        <w:t xml:space="preserve">to </w:t>
      </w:r>
      <w:r w:rsidRPr="000C7FFA">
        <w:rPr>
          <w:rFonts w:eastAsia="Arial Unicode MS" w:hAnsi="Arial Unicode MS" w:cs="Arial Unicode MS"/>
          <w:color w:val="000000"/>
          <w:szCs w:val="18"/>
          <w:u w:color="000000"/>
          <w:bdr w:val="nil"/>
          <w:lang w:val="en-GB" w:eastAsia="en-AU"/>
        </w:rPr>
        <w:t xml:space="preserve">remove duplicate conditions imposed by the </w:t>
      </w:r>
      <w:proofErr w:type="spellStart"/>
      <w:r w:rsidRPr="000C7FFA">
        <w:rPr>
          <w:rFonts w:eastAsia="Arial Unicode MS" w:hAnsi="Arial Unicode MS" w:cs="Arial Unicode MS"/>
          <w:color w:val="000000"/>
          <w:szCs w:val="18"/>
          <w:u w:color="000000"/>
          <w:bdr w:val="nil"/>
          <w:lang w:val="en-GB" w:eastAsia="en-AU"/>
        </w:rPr>
        <w:t>Agvet</w:t>
      </w:r>
      <w:proofErr w:type="spellEnd"/>
      <w:r w:rsidRPr="000C7FFA">
        <w:rPr>
          <w:rFonts w:eastAsia="Arial Unicode MS" w:hAnsi="Arial Unicode MS" w:cs="Arial Unicode MS"/>
          <w:color w:val="000000"/>
          <w:szCs w:val="18"/>
          <w:u w:color="000000"/>
          <w:bdr w:val="nil"/>
          <w:lang w:val="en-GB" w:eastAsia="en-AU"/>
        </w:rPr>
        <w:t xml:space="preserve"> Regulations or the requirements of the </w:t>
      </w:r>
      <w:r w:rsidRPr="000C7FFA">
        <w:rPr>
          <w:rFonts w:eastAsia="Arial Unicode MS" w:hAnsi="Arial Unicode MS" w:cs="Arial Unicode MS"/>
          <w:i/>
          <w:iCs/>
          <w:color w:val="000000"/>
          <w:szCs w:val="18"/>
          <w:u w:color="000000"/>
          <w:bdr w:val="nil"/>
          <w:lang w:eastAsia="en-AU"/>
        </w:rPr>
        <w:t>Agricultural and Veterinary Chemicals Code (Agricultural Active Constituents) Standards 2022</w:t>
      </w:r>
      <w:r w:rsidRPr="000C7FFA">
        <w:rPr>
          <w:rFonts w:eastAsia="Arial Unicode MS" w:hAnsi="Arial Unicode MS" w:cs="Arial Unicode MS"/>
          <w:color w:val="000000"/>
          <w:szCs w:val="18"/>
          <w:u w:color="000000"/>
          <w:bdr w:val="nil"/>
          <w:lang w:eastAsia="en-AU"/>
        </w:rPr>
        <w:t xml:space="preserve"> (</w:t>
      </w:r>
      <w:r w:rsidRPr="000C7FFA">
        <w:rPr>
          <w:rFonts w:eastAsia="Arial Unicode MS" w:hAnsi="Arial Unicode MS" w:cs="Arial Unicode MS"/>
          <w:color w:val="000000"/>
          <w:szCs w:val="18"/>
          <w:u w:color="000000"/>
          <w:bdr w:val="nil"/>
          <w:lang w:val="en-GB" w:eastAsia="en-AU"/>
        </w:rPr>
        <w:t>Active Constituent Standards 2022).</w:t>
      </w:r>
    </w:p>
    <w:p w14:paraId="766F21E3" w14:textId="1DBFFE43" w:rsidR="00AB7545" w:rsidRDefault="00AB7545" w:rsidP="00AB7545">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0038BB">
        <w:rPr>
          <w:rFonts w:eastAsia="Arial Unicode MS" w:hAnsi="Arial Unicode MS" w:cs="Arial Unicode MS"/>
          <w:color w:val="000000"/>
          <w:szCs w:val="18"/>
          <w:u w:color="000000"/>
          <w:bdr w:val="nil"/>
          <w:lang w:val="en-GB" w:eastAsia="en-AU"/>
        </w:rPr>
        <w:t>I have also amended the maximum impurities listed in the APVMA record for the approval of the active constituent to align with the updated Declaration of Composition provided to the APVMA in</w:t>
      </w:r>
      <w:r>
        <w:rPr>
          <w:rFonts w:eastAsia="Arial Unicode MS" w:hAnsi="Arial Unicode MS" w:cs="Arial Unicode MS"/>
          <w:color w:val="000000"/>
          <w:szCs w:val="18"/>
          <w:u w:color="000000"/>
          <w:bdr w:val="nil"/>
          <w:lang w:val="en-GB" w:eastAsia="en-AU"/>
        </w:rPr>
        <w:t xml:space="preserve"> response to a notice issued under section 33 of the </w:t>
      </w:r>
      <w:proofErr w:type="spellStart"/>
      <w:r>
        <w:rPr>
          <w:rFonts w:eastAsia="Arial Unicode MS" w:hAnsi="Arial Unicode MS" w:cs="Arial Unicode MS"/>
          <w:color w:val="000000"/>
          <w:szCs w:val="18"/>
          <w:u w:color="000000"/>
          <w:bdr w:val="nil"/>
          <w:lang w:val="en-GB" w:eastAsia="en-AU"/>
        </w:rPr>
        <w:t>Agvet</w:t>
      </w:r>
      <w:proofErr w:type="spellEnd"/>
      <w:r>
        <w:rPr>
          <w:rFonts w:eastAsia="Arial Unicode MS" w:hAnsi="Arial Unicode MS" w:cs="Arial Unicode MS"/>
          <w:color w:val="000000"/>
          <w:szCs w:val="18"/>
          <w:u w:color="000000"/>
          <w:bdr w:val="nil"/>
          <w:lang w:val="en-GB" w:eastAsia="en-AU"/>
        </w:rPr>
        <w:t xml:space="preserve"> Code.</w:t>
      </w:r>
    </w:p>
    <w:p w14:paraId="20740172" w14:textId="3E39BEE1" w:rsidR="00AB7545" w:rsidRPr="000038BB" w:rsidRDefault="00AB7545" w:rsidP="00AB7545">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0038BB">
        <w:rPr>
          <w:rFonts w:eastAsia="Arial Unicode MS" w:hAnsi="Arial Unicode MS" w:cs="Arial Unicode MS"/>
          <w:color w:val="000000"/>
          <w:szCs w:val="18"/>
          <w:u w:color="000000"/>
          <w:bdr w:val="nil"/>
          <w:lang w:val="en-GB" w:eastAsia="en-AU"/>
        </w:rPr>
        <w:t xml:space="preserve">I am satisfied that the active constituent approval listed in Table 1, as varied, meets the safety criteria and complies with any requirements prescribed by the regulations. Therefore, pursuant to section 34(1) of the </w:t>
      </w:r>
      <w:proofErr w:type="spellStart"/>
      <w:r w:rsidRPr="000038BB">
        <w:rPr>
          <w:rFonts w:eastAsia="Arial Unicode MS" w:hAnsi="Arial Unicode MS" w:cs="Arial Unicode MS"/>
          <w:color w:val="000000"/>
          <w:szCs w:val="18"/>
          <w:u w:color="000000"/>
          <w:bdr w:val="nil"/>
          <w:lang w:val="en-GB" w:eastAsia="en-AU"/>
        </w:rPr>
        <w:t>Agvet</w:t>
      </w:r>
      <w:proofErr w:type="spellEnd"/>
      <w:r w:rsidRPr="000038BB">
        <w:rPr>
          <w:rFonts w:eastAsia="Arial Unicode MS" w:hAnsi="Arial Unicode MS" w:cs="Arial Unicode MS"/>
          <w:color w:val="000000"/>
          <w:szCs w:val="18"/>
          <w:u w:color="000000"/>
          <w:bdr w:val="nil"/>
          <w:lang w:val="en-GB" w:eastAsia="en-AU"/>
        </w:rPr>
        <w:t xml:space="preserve"> Code, </w:t>
      </w:r>
      <w:bookmarkStart w:id="26" w:name="_Hlk178584394"/>
      <w:r w:rsidRPr="000038BB">
        <w:rPr>
          <w:rFonts w:eastAsia="Arial Unicode MS" w:hAnsi="Arial Unicode MS" w:cs="Arial Unicode MS"/>
          <w:color w:val="000000"/>
          <w:szCs w:val="18"/>
          <w:u w:color="000000"/>
          <w:bdr w:val="nil"/>
          <w:lang w:val="en-GB" w:eastAsia="en-AU"/>
        </w:rPr>
        <w:t>I</w:t>
      </w:r>
      <w:bookmarkEnd w:id="26"/>
      <w:r w:rsidRPr="000038BB">
        <w:rPr>
          <w:rFonts w:eastAsia="Arial Unicode MS" w:hAnsi="Arial Unicode MS" w:cs="Arial Unicode MS"/>
          <w:color w:val="000000"/>
          <w:szCs w:val="18"/>
          <w:u w:color="000000"/>
          <w:bdr w:val="nil"/>
          <w:lang w:val="en-GB" w:eastAsia="en-AU"/>
        </w:rPr>
        <w:t xml:space="preserve"> have affirmed the active constituent approval listed in Table 1 of this notice.</w:t>
      </w:r>
    </w:p>
    <w:p w14:paraId="1D682F2F" w14:textId="77777777" w:rsidR="00AB7545" w:rsidRPr="00AB7545" w:rsidRDefault="00AB7545" w:rsidP="00AB7545">
      <w:pPr>
        <w:pStyle w:val="GazetteHeading3"/>
      </w:pPr>
      <w:bookmarkStart w:id="27" w:name="_Hlk204345675"/>
      <w:r w:rsidRPr="00AB7545">
        <w:t>Chemical products</w:t>
      </w:r>
    </w:p>
    <w:p w14:paraId="40E6DD77" w14:textId="57C7992A" w:rsidR="00AB7545" w:rsidRDefault="00AB7545" w:rsidP="00AB7545">
      <w:pPr>
        <w:pStyle w:val="StatementofReasonsLevel1"/>
        <w:spacing w:before="240" w:after="240"/>
      </w:pPr>
      <w:bookmarkStart w:id="28" w:name="_Hlk204780218"/>
      <w:bookmarkEnd w:id="27"/>
      <w:r>
        <w:t>In my proposed regulatory decision, the use of fenitrothion to control insect pests was not supported in any currently approved situation except for treatment of stored grain, because exposure to non-target species or workers exceeded acceptable levels, or because of risks to trade or lack of efficacy. Additional data supplied during the consultation period allowed revision of the environment assessment, which determined that some of the risks to non-target species posed by fenitrothion use could be mitigated by removal of instructions for use in specific crops, additional instructions and restraints.</w:t>
      </w:r>
    </w:p>
    <w:bookmarkEnd w:id="28"/>
    <w:p w14:paraId="73CAEB54" w14:textId="77777777" w:rsidR="00AB7545" w:rsidRDefault="00AB7545" w:rsidP="00AB7545">
      <w:pPr>
        <w:pStyle w:val="StatementofReasonsLevel1"/>
      </w:pPr>
      <w:r>
        <w:t>Additional information provided and assessed in relation to worker exposure demonstrated that additional restraints and variations to the instructions for use, resu</w:t>
      </w:r>
      <w:r w:rsidRPr="000B6203">
        <w:t>lt</w:t>
      </w:r>
      <w:r>
        <w:t>ed</w:t>
      </w:r>
      <w:r w:rsidRPr="000B6203">
        <w:t xml:space="preserve"> in acceptable</w:t>
      </w:r>
      <w:r>
        <w:t xml:space="preserve"> exposure for</w:t>
      </w:r>
      <w:r w:rsidRPr="000B6203">
        <w:t xml:space="preserve"> </w:t>
      </w:r>
      <w:r>
        <w:t xml:space="preserve">worker health and safety </w:t>
      </w:r>
      <w:r w:rsidRPr="000B6203">
        <w:t xml:space="preserve">from use of fenitrothion in field uses that meet the safety criteria with respect to non-target species, </w:t>
      </w:r>
      <w:r>
        <w:t>specifically:</w:t>
      </w:r>
      <w:r w:rsidRPr="000B6203">
        <w:t xml:space="preserve"> cereals (excluding corn, maize and rice) and grazing sorghum, between growth stages BBCH 40 until flowering is complete </w:t>
      </w:r>
      <w:r>
        <w:t>(</w:t>
      </w:r>
      <w:r w:rsidRPr="000B6203">
        <w:t>BBCH 69</w:t>
      </w:r>
      <w:r>
        <w:t>)</w:t>
      </w:r>
      <w:r w:rsidRPr="000B6203">
        <w:t>.</w:t>
      </w:r>
    </w:p>
    <w:p w14:paraId="4AB2F232" w14:textId="55937924" w:rsidR="00AB7545" w:rsidRDefault="00AB7545" w:rsidP="00AB7545">
      <w:pPr>
        <w:pStyle w:val="StatementofReasonsLevel1"/>
      </w:pPr>
      <w:r>
        <w:t>Information provided in relation to the potential for undue risks to trade resulting from use of fenitrothion on stored grain in bulk handling facilities demonstrated that that industry has adequate process in place to manage the risks appropriately.</w:t>
      </w:r>
    </w:p>
    <w:p w14:paraId="4E024B98" w14:textId="3B7333D8" w:rsidR="00AB7545" w:rsidRDefault="00AB7545" w:rsidP="00AB7545">
      <w:pPr>
        <w:pStyle w:val="StatementofReasonsLevel1"/>
      </w:pPr>
      <w:r>
        <w:t>The risk assessment outcomes for all other situations indicated in the instructions for use remain the same as the recommendations in my proposed decision.</w:t>
      </w:r>
    </w:p>
    <w:p w14:paraId="491AE17B" w14:textId="1836AB3A" w:rsidR="00AB7545" w:rsidRDefault="00AB7545" w:rsidP="00AB7545">
      <w:pPr>
        <w:pStyle w:val="StatementofReasonsLevel1"/>
      </w:pPr>
      <w:r>
        <w:t>Accordingly, I have varied the instructions for use entered in the Register for the fenitrothion products listed in Table</w:t>
      </w:r>
      <w:r w:rsidR="00F76EF9">
        <w:t> </w:t>
      </w:r>
      <w:r>
        <w:t>1 as I previously proposed to do, except that I have:</w:t>
      </w:r>
    </w:p>
    <w:p w14:paraId="27490EAA" w14:textId="424ADAA1" w:rsidR="00AB7545" w:rsidRDefault="00AB7545" w:rsidP="00AB7545">
      <w:pPr>
        <w:pStyle w:val="StatementofReasonsLevel2"/>
      </w:pPr>
      <w:r>
        <w:t xml:space="preserve">Varied the instructions for use of fenitrothion in cereal crops and grazing sorghum (products </w:t>
      </w:r>
      <w:r w:rsidRPr="008F6087">
        <w:t>50775, 56170 and 67186)</w:t>
      </w:r>
      <w:r>
        <w:t xml:space="preserve"> to limit the rate to between 270 and 330 g ac/ha for Australian Plague Locust, Spur-throated Locust and Migratory Locust.</w:t>
      </w:r>
    </w:p>
    <w:p w14:paraId="38C46793" w14:textId="77777777" w:rsidR="00AB7545" w:rsidRDefault="00AB7545" w:rsidP="00AB7545">
      <w:pPr>
        <w:pStyle w:val="StatementofReasonsLevel2"/>
      </w:pPr>
      <w:r>
        <w:t>Varied the instructions for use for products that include field use</w:t>
      </w:r>
      <w:r w:rsidRPr="008F6087">
        <w:t>s (50775, 56170 and 67186),</w:t>
      </w:r>
      <w:r>
        <w:t xml:space="preserve"> </w:t>
      </w:r>
      <w:r w:rsidRPr="008F6087">
        <w:t xml:space="preserve">to </w:t>
      </w:r>
      <w:r w:rsidRPr="00295C26">
        <w:t xml:space="preserve">remove current </w:t>
      </w:r>
      <w:r>
        <w:t xml:space="preserve">instructions </w:t>
      </w:r>
      <w:r w:rsidRPr="00295C26">
        <w:t>that direct users to apply the product more than once per year</w:t>
      </w:r>
      <w:r>
        <w:t xml:space="preserve"> and</w:t>
      </w:r>
      <w:r w:rsidRPr="008F6087">
        <w:t xml:space="preserve"> in</w:t>
      </w:r>
      <w:r>
        <w:t>clude restraints to protect worker health and safety, non-target species and sensitive areas.</w:t>
      </w:r>
    </w:p>
    <w:p w14:paraId="61C647BE" w14:textId="77777777" w:rsidR="00AB7545" w:rsidRDefault="00AB7545" w:rsidP="00AB7545">
      <w:pPr>
        <w:pStyle w:val="StatementofReasonsLevel2"/>
      </w:pPr>
      <w:r>
        <w:t xml:space="preserve">For protection of non-target species, the following restraints have been added to products including field uses </w:t>
      </w:r>
      <w:r w:rsidRPr="00D5337D">
        <w:t xml:space="preserve"> (50775, 56170 and 67186)</w:t>
      </w:r>
      <w:r>
        <w:t>, in addition to those listed in my proposed decision:</w:t>
      </w:r>
    </w:p>
    <w:p w14:paraId="0EBB3FF5" w14:textId="603DD0C8" w:rsidR="00AB7545" w:rsidRPr="00295C26" w:rsidRDefault="00AB7545" w:rsidP="00AB7545">
      <w:pPr>
        <w:pStyle w:val="StatementofReasonsLevel5"/>
        <w:tabs>
          <w:tab w:val="clear" w:pos="3600"/>
        </w:tabs>
        <w:ind w:left="1928" w:hanging="340"/>
      </w:pPr>
      <w:r w:rsidRPr="00295C26">
        <w:t>‘</w:t>
      </w:r>
      <w:r w:rsidRPr="00295C26">
        <w:rPr>
          <w:i/>
          <w:iCs/>
        </w:rPr>
        <w:t>DO NOT apply more than once per year</w:t>
      </w:r>
      <w:r w:rsidRPr="00295C26">
        <w:t>,</w:t>
      </w:r>
      <w:r w:rsidRPr="00295C26">
        <w:t>’</w:t>
      </w:r>
    </w:p>
    <w:p w14:paraId="40915E1D" w14:textId="77777777" w:rsidR="00AB7545" w:rsidRPr="00295C26" w:rsidRDefault="00AB7545" w:rsidP="00AB7545">
      <w:pPr>
        <w:pStyle w:val="StatementofReasonsLevel5"/>
        <w:tabs>
          <w:tab w:val="clear" w:pos="3600"/>
        </w:tabs>
        <w:ind w:left="1928" w:hanging="340"/>
        <w:rPr>
          <w:i/>
          <w:iCs/>
        </w:rPr>
      </w:pPr>
      <w:r w:rsidRPr="00295C26">
        <w:rPr>
          <w:i/>
          <w:iCs/>
        </w:rPr>
        <w:t>‘</w:t>
      </w:r>
      <w:r w:rsidRPr="00295C26">
        <w:rPr>
          <w:i/>
          <w:iCs/>
        </w:rPr>
        <w:t>Toxic to birds and wild mammals. To protect wildlife, DO NOT apply before booting (BBCH &lt;40) or after flowering is complete (BBCH &gt;69).</w:t>
      </w:r>
      <w:r w:rsidRPr="00295C26">
        <w:rPr>
          <w:i/>
          <w:iCs/>
        </w:rPr>
        <w:t>’</w:t>
      </w:r>
    </w:p>
    <w:p w14:paraId="23D45CA6" w14:textId="77777777" w:rsidR="00AB7545" w:rsidRPr="00295C26" w:rsidRDefault="00AB7545" w:rsidP="00AB7545">
      <w:pPr>
        <w:pStyle w:val="StatementofReasonsLevel5"/>
        <w:tabs>
          <w:tab w:val="clear" w:pos="3600"/>
        </w:tabs>
        <w:ind w:left="1928" w:hanging="340"/>
        <w:rPr>
          <w:i/>
          <w:iCs/>
        </w:rPr>
      </w:pPr>
      <w:r w:rsidRPr="00295C26">
        <w:rPr>
          <w:i/>
          <w:iCs/>
        </w:rPr>
        <w:lastRenderedPageBreak/>
        <w:t>‘</w:t>
      </w:r>
      <w:r w:rsidRPr="00295C26">
        <w:rPr>
          <w:i/>
          <w:iCs/>
        </w:rPr>
        <w:t>Very toxic to aquatic life. DO NOT contaminate wetlands or watercourses with this product or used containers. To avoid runoff, DO NOT apply if heavy rains or storms are forecast within 3 days. DO NOT irrigate to the point of field runoff for at least 3 days after application.</w:t>
      </w:r>
      <w:r w:rsidRPr="00295C26">
        <w:rPr>
          <w:i/>
          <w:iCs/>
        </w:rPr>
        <w:t>’</w:t>
      </w:r>
    </w:p>
    <w:p w14:paraId="24F3052D" w14:textId="77777777" w:rsidR="00AB7545" w:rsidRPr="00295C26" w:rsidRDefault="00AB7545" w:rsidP="00AB7545">
      <w:pPr>
        <w:pStyle w:val="StatementofReasonsLevel5"/>
        <w:tabs>
          <w:tab w:val="clear" w:pos="3600"/>
        </w:tabs>
        <w:ind w:left="1928" w:hanging="340"/>
      </w:pPr>
      <w:r w:rsidRPr="00295C26">
        <w:rPr>
          <w:i/>
          <w:iCs/>
        </w:rPr>
        <w:t>‘</w:t>
      </w:r>
      <w:r w:rsidRPr="00295C26">
        <w:rPr>
          <w:i/>
          <w:iCs/>
        </w:rPr>
        <w:t>Toxic to bees. DO NOT apply to bee-attractive crops from the onset of flowering (BBCH &gt;60).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r w:rsidRPr="00295C26">
        <w:rPr>
          <w:i/>
          <w:iCs/>
        </w:rPr>
        <w:t>’</w:t>
      </w:r>
    </w:p>
    <w:p w14:paraId="1A1A6405" w14:textId="77777777" w:rsidR="00AB7545" w:rsidRPr="008F6087" w:rsidRDefault="00AB7545" w:rsidP="00AB7545">
      <w:pPr>
        <w:pStyle w:val="StatementofReasonsLevel5"/>
        <w:tabs>
          <w:tab w:val="clear" w:pos="3600"/>
        </w:tabs>
        <w:ind w:left="1928" w:hanging="340"/>
      </w:pPr>
      <w:r w:rsidRPr="00295C26">
        <w:rPr>
          <w:i/>
          <w:iCs/>
        </w:rPr>
        <w:t>‘</w:t>
      </w:r>
      <w:r w:rsidRPr="00295C26">
        <w:rPr>
          <w:i/>
          <w:iCs/>
        </w:rPr>
        <w:t>Toxic to beneficial arthropods. Not compatible with integrated pest management (IPM) programs utilising beneficial arthropods. Minimise spray drift to reduce harmful effects on beneficial arthropods in non-crop areas.</w:t>
      </w:r>
      <w:r w:rsidRPr="00295C26">
        <w:rPr>
          <w:i/>
          <w:iCs/>
        </w:rPr>
        <w:t>’</w:t>
      </w:r>
    </w:p>
    <w:p w14:paraId="017BD109" w14:textId="77777777" w:rsidR="00AB7545" w:rsidRPr="00295C26" w:rsidRDefault="00AB7545" w:rsidP="00AB7545">
      <w:pPr>
        <w:pStyle w:val="StatementofReasonsLevel2"/>
      </w:pPr>
      <w:r>
        <w:t>For the protection of worker health and safety the following restraints have been added</w:t>
      </w:r>
      <w:r w:rsidRPr="00D5337D">
        <w:t xml:space="preserve"> to products including field uses (50775, 56170 and 67186)</w:t>
      </w:r>
      <w:r>
        <w:t>, in addition to those listed in my proposed decision:</w:t>
      </w:r>
    </w:p>
    <w:p w14:paraId="060F091C" w14:textId="77777777" w:rsidR="00AB7545" w:rsidRPr="00023D6D" w:rsidRDefault="00AB7545" w:rsidP="00AB7545">
      <w:pPr>
        <w:pStyle w:val="StatementofReasonsLevel5"/>
        <w:tabs>
          <w:tab w:val="clear" w:pos="3600"/>
        </w:tabs>
        <w:ind w:left="1928" w:hanging="340"/>
        <w:rPr>
          <w:i/>
          <w:iCs/>
        </w:rPr>
      </w:pPr>
      <w:r w:rsidRPr="00023D6D">
        <w:rPr>
          <w:i/>
          <w:iCs/>
        </w:rPr>
        <w:t>‘</w:t>
      </w:r>
      <w:r w:rsidRPr="00023D6D">
        <w:rPr>
          <w:i/>
          <w:iCs/>
        </w:rPr>
        <w:t>A single operator MUST NOT mix and apply more than 110 L of neat product per day (equivalent to spraying an area of no more than 320 ha per day at the maximum rate of 330 mL/ha or no more than 400 ha per day at the minimum rate of 270 mL/ha.</w:t>
      </w:r>
      <w:r w:rsidRPr="00023D6D">
        <w:rPr>
          <w:i/>
          <w:iCs/>
        </w:rPr>
        <w:t>’</w:t>
      </w:r>
    </w:p>
    <w:p w14:paraId="09DD2B8D" w14:textId="04A6AA46" w:rsidR="00AB7545" w:rsidRPr="00023D6D" w:rsidRDefault="00AB7545" w:rsidP="00AB7545">
      <w:pPr>
        <w:pStyle w:val="StatementofReasonsLevel5"/>
        <w:tabs>
          <w:tab w:val="clear" w:pos="3600"/>
        </w:tabs>
        <w:ind w:left="1928" w:hanging="340"/>
        <w:rPr>
          <w:i/>
          <w:iCs/>
        </w:rPr>
      </w:pPr>
      <w:r w:rsidRPr="00023D6D">
        <w:rPr>
          <w:i/>
          <w:iCs/>
        </w:rPr>
        <w:t>‘</w:t>
      </w:r>
      <w:r w:rsidRPr="00023D6D">
        <w:rPr>
          <w:i/>
          <w:iCs/>
        </w:rPr>
        <w:t>DO NOT use open mixing/loading equipment. Closed mixing and loading must be used,</w:t>
      </w:r>
      <w:r w:rsidRPr="00023D6D">
        <w:rPr>
          <w:i/>
          <w:iCs/>
        </w:rPr>
        <w:t>’</w:t>
      </w:r>
      <w:r w:rsidRPr="00023D6D">
        <w:rPr>
          <w:i/>
          <w:iCs/>
        </w:rPr>
        <w:t xml:space="preserve"> </w:t>
      </w:r>
      <w:r w:rsidRPr="00023D6D">
        <w:t>and removing instructions that recommend but do not mandate closed mixing and loading.</w:t>
      </w:r>
      <w:r w:rsidR="00F76EF9">
        <w:t>’</w:t>
      </w:r>
      <w:r w:rsidRPr="00023D6D">
        <w:rPr>
          <w:i/>
          <w:iCs/>
        </w:rPr>
        <w:t xml:space="preserve"> </w:t>
      </w:r>
    </w:p>
    <w:p w14:paraId="04DC7DED" w14:textId="77777777" w:rsidR="00AB7545" w:rsidRPr="00023D6D" w:rsidRDefault="00AB7545" w:rsidP="00AB7545">
      <w:pPr>
        <w:pStyle w:val="StatementofReasonsLevel5"/>
        <w:tabs>
          <w:tab w:val="clear" w:pos="3600"/>
        </w:tabs>
        <w:ind w:left="1928" w:hanging="340"/>
      </w:pPr>
      <w:r w:rsidRPr="00023D6D">
        <w:rPr>
          <w:i/>
          <w:iCs/>
        </w:rPr>
        <w:t>‘</w:t>
      </w:r>
      <w:r w:rsidRPr="00023D6D">
        <w:rPr>
          <w:i/>
          <w:iCs/>
        </w:rPr>
        <w:t>DO NOT apply using open cab equipment. Enclosed cab application MUST be used.</w:t>
      </w:r>
      <w:r w:rsidRPr="00023D6D">
        <w:rPr>
          <w:i/>
          <w:iCs/>
        </w:rPr>
        <w:t>’</w:t>
      </w:r>
    </w:p>
    <w:p w14:paraId="19D79C10" w14:textId="77777777" w:rsidR="00AB7545" w:rsidRPr="00023D6D" w:rsidRDefault="00AB7545" w:rsidP="00AB7545">
      <w:pPr>
        <w:pStyle w:val="StatementofReasonsLevel5"/>
        <w:tabs>
          <w:tab w:val="clear" w:pos="3600"/>
        </w:tabs>
        <w:ind w:left="1928" w:hanging="340"/>
      </w:pPr>
      <w:r w:rsidRPr="00023D6D">
        <w:rPr>
          <w:i/>
          <w:iCs/>
        </w:rPr>
        <w:t>‘</w:t>
      </w:r>
      <w:r w:rsidRPr="00023D6D">
        <w:rPr>
          <w:i/>
          <w:iCs/>
        </w:rPr>
        <w:t>DO NOT enter treated cereal and grazing sorghum crops for 11 days after treatment for scouting and 16 days after treatment for irrigation (handset). When prior entry is necessary, wear cotton overalls buttoned to the neck and wrist (or equivalent clothing) and elbow-length chemical resistant gloves. Clothing must be laundered after each day</w:t>
      </w:r>
      <w:r w:rsidRPr="00023D6D">
        <w:rPr>
          <w:i/>
          <w:iCs/>
        </w:rPr>
        <w:t>’</w:t>
      </w:r>
      <w:r w:rsidRPr="00023D6D">
        <w:rPr>
          <w:i/>
          <w:iCs/>
        </w:rPr>
        <w:t>s use.</w:t>
      </w:r>
      <w:r w:rsidRPr="00023D6D">
        <w:rPr>
          <w:i/>
          <w:iCs/>
        </w:rPr>
        <w:t>’</w:t>
      </w:r>
    </w:p>
    <w:p w14:paraId="7F8AC8DD" w14:textId="77777777" w:rsidR="00AB7545" w:rsidRPr="00295C26" w:rsidRDefault="00AB7545" w:rsidP="00AB7545">
      <w:pPr>
        <w:pStyle w:val="StatementofReasonsLevel2"/>
      </w:pPr>
      <w:r>
        <w:t xml:space="preserve">For the protection of areas sensitive to spray drift the following restraints have been added </w:t>
      </w:r>
      <w:r w:rsidRPr="00D5337D">
        <w:t>to products including field uses (50775, 56170 and 67186)</w:t>
      </w:r>
      <w:r>
        <w:t>:</w:t>
      </w:r>
    </w:p>
    <w:p w14:paraId="0A48BB62" w14:textId="0B7B2BC9" w:rsidR="00AB7545" w:rsidRPr="00295C26" w:rsidRDefault="00F76EF9" w:rsidP="00AB7545">
      <w:pPr>
        <w:pStyle w:val="StatementofReasonsLevel5"/>
        <w:numPr>
          <w:ilvl w:val="0"/>
          <w:numId w:val="0"/>
        </w:numPr>
        <w:ind w:left="1928"/>
        <w:rPr>
          <w:i/>
          <w:iCs/>
        </w:rPr>
      </w:pPr>
      <w:r>
        <w:rPr>
          <w:i/>
          <w:iCs/>
        </w:rPr>
        <w:t>‘</w:t>
      </w:r>
      <w:r w:rsidR="00AB7545" w:rsidRPr="00295C26">
        <w:rPr>
          <w:i/>
          <w:iCs/>
        </w:rPr>
        <w:t>DO NOT allow bystanders to come into contact with the spray cloud.</w:t>
      </w:r>
      <w:r w:rsidR="00AB7545" w:rsidRPr="00295C26">
        <w:rPr>
          <w:i/>
          <w:iCs/>
        </w:rPr>
        <w:t>’</w:t>
      </w:r>
    </w:p>
    <w:p w14:paraId="23495646" w14:textId="324E96D4" w:rsidR="00AB7545" w:rsidRPr="00295C26" w:rsidRDefault="00AB7545" w:rsidP="00AB7545">
      <w:pPr>
        <w:pStyle w:val="StatementofReasonsLevel5"/>
        <w:numPr>
          <w:ilvl w:val="0"/>
          <w:numId w:val="0"/>
        </w:numPr>
        <w:ind w:left="1928"/>
        <w:rPr>
          <w:i/>
          <w:iCs/>
        </w:rPr>
      </w:pPr>
      <w:r w:rsidRPr="00295C26">
        <w:rPr>
          <w:i/>
          <w:iCs/>
        </w:rPr>
        <w:t>‘</w:t>
      </w:r>
      <w:r w:rsidRPr="00295C26">
        <w:rPr>
          <w:i/>
          <w:iCs/>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r w:rsidRPr="00295C26">
        <w:rPr>
          <w:i/>
          <w:iCs/>
        </w:rPr>
        <w:t>’</w:t>
      </w:r>
    </w:p>
    <w:p w14:paraId="4F7F93B2" w14:textId="20955C17" w:rsidR="00AB7545" w:rsidRPr="00295C26" w:rsidRDefault="00AB7545" w:rsidP="00AB7545">
      <w:pPr>
        <w:pStyle w:val="StatementofReasonsLevel5"/>
        <w:numPr>
          <w:ilvl w:val="0"/>
          <w:numId w:val="0"/>
        </w:numPr>
        <w:ind w:left="1928"/>
        <w:rPr>
          <w:i/>
          <w:iCs/>
        </w:rPr>
      </w:pPr>
      <w:r w:rsidRPr="00295C26">
        <w:rPr>
          <w:i/>
          <w:iCs/>
        </w:rPr>
        <w:t>‘</w:t>
      </w:r>
      <w:r w:rsidRPr="00295C26">
        <w:rPr>
          <w:i/>
          <w:iCs/>
        </w:rPr>
        <w:t>DO NOT apply unless the wind speed is between 3 and 20 kilometres per hour at the application site during the time of application.</w:t>
      </w:r>
      <w:r w:rsidR="00F76EF9">
        <w:rPr>
          <w:i/>
          <w:iCs/>
        </w:rPr>
        <w:t>’</w:t>
      </w:r>
    </w:p>
    <w:p w14:paraId="6C51EC74" w14:textId="381DF691" w:rsidR="00F76EF9" w:rsidRDefault="00AB7545" w:rsidP="00AB7545">
      <w:pPr>
        <w:pStyle w:val="StatementofReasonsLevel5"/>
        <w:numPr>
          <w:ilvl w:val="0"/>
          <w:numId w:val="0"/>
        </w:numPr>
        <w:ind w:left="1928"/>
        <w:rPr>
          <w:i/>
          <w:iCs/>
        </w:rPr>
      </w:pPr>
      <w:r w:rsidRPr="00295C26">
        <w:rPr>
          <w:i/>
          <w:iCs/>
        </w:rPr>
        <w:t>‘</w:t>
      </w:r>
      <w:r w:rsidRPr="00295C26">
        <w:rPr>
          <w:i/>
          <w:iCs/>
        </w:rPr>
        <w:t>DO NOT apply if there are hazardous surface temperature inversion conditions present at the application site during the time of application. Surface temperature conditions exist most evenings one to two hours before sunset and persist until one to two hours after sunrise.</w:t>
      </w:r>
      <w:r w:rsidRPr="00295C26">
        <w:rPr>
          <w:i/>
          <w:iCs/>
        </w:rPr>
        <w:t>’</w:t>
      </w:r>
      <w:r w:rsidR="00F76EF9">
        <w:rPr>
          <w:i/>
          <w:iCs/>
        </w:rPr>
        <w:br w:type="page"/>
      </w:r>
    </w:p>
    <w:p w14:paraId="1DE90159" w14:textId="2D06B374" w:rsidR="00AB7545" w:rsidRPr="00295C26" w:rsidRDefault="00F76EF9" w:rsidP="00AB7545">
      <w:pPr>
        <w:pStyle w:val="StatementofReasonsLevel5"/>
        <w:numPr>
          <w:ilvl w:val="0"/>
          <w:numId w:val="0"/>
        </w:numPr>
        <w:ind w:left="1928"/>
        <w:rPr>
          <w:i/>
          <w:iCs/>
        </w:rPr>
      </w:pPr>
      <w:r>
        <w:rPr>
          <w:i/>
          <w:iCs/>
        </w:rPr>
        <w:lastRenderedPageBreak/>
        <w:t>‘</w:t>
      </w:r>
      <w:r w:rsidR="00AB7545" w:rsidRPr="00295C26">
        <w:rPr>
          <w:i/>
          <w:iCs/>
        </w:rPr>
        <w:t>DO NOT apply by a boom sprayer unless the following requirements are met:</w:t>
      </w:r>
    </w:p>
    <w:p w14:paraId="0EE579B1" w14:textId="77777777" w:rsidR="00AB7545" w:rsidRPr="00295C26" w:rsidRDefault="00AB7545" w:rsidP="00AB7545">
      <w:pPr>
        <w:pStyle w:val="StatementofReasonsLevel6"/>
        <w:tabs>
          <w:tab w:val="clear" w:pos="4320"/>
        </w:tabs>
        <w:ind w:left="2325" w:hanging="340"/>
        <w:rPr>
          <w:i/>
          <w:iCs/>
        </w:rPr>
      </w:pPr>
      <w:r w:rsidRPr="00295C26">
        <w:rPr>
          <w:i/>
          <w:iCs/>
        </w:rPr>
        <w:t>spray droplets not smaller than a COARSE spray droplet size category</w:t>
      </w:r>
    </w:p>
    <w:p w14:paraId="147A4449" w14:textId="3736EE08" w:rsidR="00AB7545" w:rsidRPr="00295C26" w:rsidRDefault="00AB7545" w:rsidP="00AB7545">
      <w:pPr>
        <w:pStyle w:val="StatementofReasonsLevel6"/>
        <w:tabs>
          <w:tab w:val="clear" w:pos="4320"/>
        </w:tabs>
        <w:ind w:left="2325" w:hanging="340"/>
        <w:rPr>
          <w:i/>
          <w:iCs/>
        </w:rPr>
      </w:pPr>
      <w:r w:rsidRPr="00295C26">
        <w:rPr>
          <w:i/>
          <w:iCs/>
        </w:rPr>
        <w:t xml:space="preserve">minimum distances between the application site and downwind sensitive areas (see </w:t>
      </w:r>
      <w:r w:rsidRPr="00295C26">
        <w:rPr>
          <w:i/>
          <w:iCs/>
        </w:rPr>
        <w:t>‘</w:t>
      </w:r>
      <w:r w:rsidRPr="00295C26">
        <w:rPr>
          <w:i/>
          <w:iCs/>
        </w:rPr>
        <w:t>Mandatory downwind buffer zones</w:t>
      </w:r>
      <w:r w:rsidRPr="00295C26">
        <w:rPr>
          <w:i/>
          <w:iCs/>
        </w:rPr>
        <w:t>’</w:t>
      </w:r>
      <w:r w:rsidRPr="00295C26">
        <w:rPr>
          <w:i/>
          <w:iCs/>
        </w:rPr>
        <w:t xml:space="preserve"> section of the following table titled </w:t>
      </w:r>
      <w:r w:rsidRPr="00295C26">
        <w:rPr>
          <w:i/>
          <w:iCs/>
        </w:rPr>
        <w:t>‘</w:t>
      </w:r>
      <w:r w:rsidRPr="00295C26">
        <w:rPr>
          <w:i/>
          <w:iCs/>
        </w:rPr>
        <w:t>Buffer zones for boom sprayers</w:t>
      </w:r>
      <w:r w:rsidRPr="00295C26">
        <w:rPr>
          <w:i/>
          <w:iCs/>
        </w:rPr>
        <w:t>’</w:t>
      </w:r>
      <w:r w:rsidRPr="00295C26">
        <w:rPr>
          <w:i/>
          <w:iCs/>
        </w:rPr>
        <w:t>) are observed.</w:t>
      </w:r>
      <w:r w:rsidR="00F76EF9">
        <w:rPr>
          <w:i/>
          <w:iCs/>
        </w:rPr>
        <w:t>’</w:t>
      </w:r>
    </w:p>
    <w:tbl>
      <w:tblPr>
        <w:tblStyle w:val="TableGrid"/>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42"/>
        <w:gridCol w:w="1107"/>
        <w:gridCol w:w="848"/>
        <w:gridCol w:w="884"/>
        <w:gridCol w:w="982"/>
        <w:gridCol w:w="883"/>
      </w:tblGrid>
      <w:tr w:rsidR="00AB7545" w:rsidRPr="00295C26" w14:paraId="53980310" w14:textId="77777777" w:rsidTr="000644E1">
        <w:trPr>
          <w:trHeight w:val="300"/>
        </w:trPr>
        <w:tc>
          <w:tcPr>
            <w:tcW w:w="1141" w:type="dxa"/>
            <w:vMerge w:val="restart"/>
            <w:vAlign w:val="center"/>
            <w:hideMark/>
          </w:tcPr>
          <w:p w14:paraId="319A54D9" w14:textId="77777777" w:rsidR="00AB7545" w:rsidRPr="00295C26" w:rsidRDefault="00AB7545" w:rsidP="001177C6">
            <w:pPr>
              <w:pStyle w:val="NormalText"/>
              <w:spacing w:before="0" w:after="120" w:line="240" w:lineRule="exact"/>
              <w:jc w:val="center"/>
              <w:rPr>
                <w:sz w:val="16"/>
                <w:szCs w:val="16"/>
              </w:rPr>
            </w:pPr>
            <w:r w:rsidRPr="00295C26">
              <w:rPr>
                <w:sz w:val="16"/>
                <w:szCs w:val="16"/>
              </w:rPr>
              <w:t>Application rate</w:t>
            </w:r>
          </w:p>
        </w:tc>
        <w:tc>
          <w:tcPr>
            <w:tcW w:w="1242" w:type="dxa"/>
            <w:vMerge w:val="restart"/>
            <w:vAlign w:val="center"/>
            <w:hideMark/>
          </w:tcPr>
          <w:p w14:paraId="08B5E8BE" w14:textId="77777777" w:rsidR="00AB7545" w:rsidRPr="00295C26" w:rsidRDefault="00AB7545" w:rsidP="001177C6">
            <w:pPr>
              <w:pStyle w:val="NormalText"/>
              <w:spacing w:before="0" w:after="120" w:line="240" w:lineRule="exact"/>
              <w:jc w:val="center"/>
              <w:rPr>
                <w:sz w:val="16"/>
                <w:szCs w:val="16"/>
              </w:rPr>
            </w:pPr>
            <w:r w:rsidRPr="00295C26">
              <w:rPr>
                <w:sz w:val="16"/>
                <w:szCs w:val="16"/>
              </w:rPr>
              <w:t>Boom height above the target canopy</w:t>
            </w:r>
          </w:p>
        </w:tc>
        <w:tc>
          <w:tcPr>
            <w:tcW w:w="4704" w:type="dxa"/>
            <w:gridSpan w:val="5"/>
            <w:vAlign w:val="center"/>
            <w:hideMark/>
          </w:tcPr>
          <w:p w14:paraId="45AE87AE" w14:textId="77777777" w:rsidR="00AB7545" w:rsidRPr="00295C26" w:rsidRDefault="00AB7545" w:rsidP="001177C6">
            <w:pPr>
              <w:pStyle w:val="NormalText"/>
              <w:spacing w:before="0" w:after="120" w:line="240" w:lineRule="exact"/>
              <w:jc w:val="center"/>
              <w:rPr>
                <w:sz w:val="16"/>
                <w:szCs w:val="16"/>
              </w:rPr>
            </w:pPr>
            <w:r w:rsidRPr="00295C26">
              <w:rPr>
                <w:sz w:val="16"/>
                <w:szCs w:val="16"/>
              </w:rPr>
              <w:t>Mandatory downwind buffer zones (metres)</w:t>
            </w:r>
          </w:p>
        </w:tc>
      </w:tr>
      <w:tr w:rsidR="00AB7545" w:rsidRPr="00295C26" w14:paraId="06C5B0E2" w14:textId="77777777" w:rsidTr="000644E1">
        <w:trPr>
          <w:trHeight w:val="755"/>
        </w:trPr>
        <w:tc>
          <w:tcPr>
            <w:tcW w:w="1141" w:type="dxa"/>
            <w:vMerge/>
            <w:hideMark/>
          </w:tcPr>
          <w:p w14:paraId="09BA6963" w14:textId="77777777" w:rsidR="00AB7545" w:rsidRPr="00295C26" w:rsidRDefault="00AB7545" w:rsidP="001177C6">
            <w:pPr>
              <w:pStyle w:val="NormalText"/>
              <w:spacing w:before="0" w:after="120" w:line="240" w:lineRule="exact"/>
              <w:rPr>
                <w:sz w:val="16"/>
                <w:szCs w:val="16"/>
              </w:rPr>
            </w:pPr>
          </w:p>
        </w:tc>
        <w:tc>
          <w:tcPr>
            <w:tcW w:w="1242" w:type="dxa"/>
            <w:vMerge/>
            <w:hideMark/>
          </w:tcPr>
          <w:p w14:paraId="4F69B602" w14:textId="77777777" w:rsidR="00AB7545" w:rsidRPr="00295C26" w:rsidRDefault="00AB7545" w:rsidP="001177C6">
            <w:pPr>
              <w:pStyle w:val="NormalText"/>
              <w:spacing w:before="0" w:after="120" w:line="240" w:lineRule="exact"/>
              <w:rPr>
                <w:sz w:val="16"/>
                <w:szCs w:val="16"/>
              </w:rPr>
            </w:pPr>
          </w:p>
        </w:tc>
        <w:tc>
          <w:tcPr>
            <w:tcW w:w="1107" w:type="dxa"/>
            <w:vAlign w:val="center"/>
            <w:hideMark/>
          </w:tcPr>
          <w:p w14:paraId="257849AA" w14:textId="77777777" w:rsidR="00AB7545" w:rsidRPr="00295C26" w:rsidRDefault="00AB7545" w:rsidP="001177C6">
            <w:pPr>
              <w:pStyle w:val="NormalText"/>
              <w:spacing w:before="0" w:after="120" w:line="240" w:lineRule="exact"/>
              <w:jc w:val="center"/>
              <w:rPr>
                <w:sz w:val="16"/>
                <w:szCs w:val="16"/>
              </w:rPr>
            </w:pPr>
            <w:r w:rsidRPr="00295C26">
              <w:rPr>
                <w:sz w:val="16"/>
                <w:szCs w:val="16"/>
              </w:rPr>
              <w:t>Bystander areas</w:t>
            </w:r>
          </w:p>
        </w:tc>
        <w:tc>
          <w:tcPr>
            <w:tcW w:w="848" w:type="dxa"/>
            <w:vAlign w:val="center"/>
            <w:hideMark/>
          </w:tcPr>
          <w:p w14:paraId="12AEB78E" w14:textId="77777777" w:rsidR="00AB7545" w:rsidRPr="00295C26" w:rsidRDefault="00AB7545" w:rsidP="001177C6">
            <w:pPr>
              <w:pStyle w:val="NormalText"/>
              <w:spacing w:before="0" w:after="120" w:line="240" w:lineRule="exact"/>
              <w:jc w:val="center"/>
              <w:rPr>
                <w:sz w:val="16"/>
                <w:szCs w:val="16"/>
              </w:rPr>
            </w:pPr>
            <w:r w:rsidRPr="00295C26">
              <w:rPr>
                <w:sz w:val="16"/>
                <w:szCs w:val="16"/>
              </w:rPr>
              <w:t>Natural aquatic areas</w:t>
            </w:r>
          </w:p>
        </w:tc>
        <w:tc>
          <w:tcPr>
            <w:tcW w:w="884" w:type="dxa"/>
            <w:vAlign w:val="center"/>
            <w:hideMark/>
          </w:tcPr>
          <w:p w14:paraId="53C49049" w14:textId="77777777" w:rsidR="00AB7545" w:rsidRPr="00295C26" w:rsidRDefault="00AB7545" w:rsidP="001177C6">
            <w:pPr>
              <w:pStyle w:val="NormalText"/>
              <w:spacing w:before="0" w:after="120" w:line="240" w:lineRule="exact"/>
              <w:jc w:val="center"/>
              <w:rPr>
                <w:sz w:val="16"/>
                <w:szCs w:val="16"/>
              </w:rPr>
            </w:pPr>
            <w:r w:rsidRPr="00295C26">
              <w:rPr>
                <w:sz w:val="16"/>
                <w:szCs w:val="16"/>
              </w:rPr>
              <w:t>Pollinator areas</w:t>
            </w:r>
          </w:p>
        </w:tc>
        <w:tc>
          <w:tcPr>
            <w:tcW w:w="982" w:type="dxa"/>
            <w:vAlign w:val="center"/>
            <w:hideMark/>
          </w:tcPr>
          <w:p w14:paraId="36E02839" w14:textId="77777777" w:rsidR="00AB7545" w:rsidRPr="00295C26" w:rsidRDefault="00AB7545" w:rsidP="001177C6">
            <w:pPr>
              <w:pStyle w:val="NormalText"/>
              <w:spacing w:before="0" w:after="120" w:line="240" w:lineRule="exact"/>
              <w:jc w:val="center"/>
              <w:rPr>
                <w:sz w:val="16"/>
                <w:szCs w:val="16"/>
              </w:rPr>
            </w:pPr>
            <w:r w:rsidRPr="00295C26">
              <w:rPr>
                <w:sz w:val="16"/>
                <w:szCs w:val="16"/>
              </w:rPr>
              <w:t>Vegetation areas</w:t>
            </w:r>
          </w:p>
        </w:tc>
        <w:tc>
          <w:tcPr>
            <w:tcW w:w="883" w:type="dxa"/>
            <w:vAlign w:val="center"/>
            <w:hideMark/>
          </w:tcPr>
          <w:p w14:paraId="5073D52B" w14:textId="77777777" w:rsidR="00AB7545" w:rsidRPr="00295C26" w:rsidRDefault="00AB7545" w:rsidP="001177C6">
            <w:pPr>
              <w:pStyle w:val="NormalText"/>
              <w:spacing w:before="0" w:after="120" w:line="240" w:lineRule="exact"/>
              <w:jc w:val="center"/>
              <w:rPr>
                <w:sz w:val="16"/>
                <w:szCs w:val="16"/>
              </w:rPr>
            </w:pPr>
            <w:r w:rsidRPr="00295C26">
              <w:rPr>
                <w:sz w:val="16"/>
                <w:szCs w:val="16"/>
              </w:rPr>
              <w:t>Livestock areas</w:t>
            </w:r>
          </w:p>
        </w:tc>
      </w:tr>
      <w:tr w:rsidR="00AB7545" w:rsidRPr="00295C26" w14:paraId="5CEF9813" w14:textId="77777777" w:rsidTr="000644E1">
        <w:trPr>
          <w:trHeight w:val="300"/>
        </w:trPr>
        <w:tc>
          <w:tcPr>
            <w:tcW w:w="1141" w:type="dxa"/>
            <w:vAlign w:val="center"/>
            <w:hideMark/>
          </w:tcPr>
          <w:p w14:paraId="691F94E8" w14:textId="77777777" w:rsidR="00AB7545" w:rsidRPr="00295C26" w:rsidRDefault="00AB7545" w:rsidP="001177C6">
            <w:pPr>
              <w:pStyle w:val="NormalText"/>
              <w:spacing w:before="0" w:after="120" w:line="240" w:lineRule="exact"/>
              <w:jc w:val="center"/>
              <w:rPr>
                <w:sz w:val="16"/>
                <w:szCs w:val="16"/>
              </w:rPr>
            </w:pPr>
            <w:r w:rsidRPr="00295C26">
              <w:rPr>
                <w:sz w:val="16"/>
                <w:szCs w:val="16"/>
              </w:rPr>
              <w:t xml:space="preserve">Up to 330 </w:t>
            </w:r>
            <w:r>
              <w:rPr>
                <w:sz w:val="16"/>
                <w:szCs w:val="16"/>
              </w:rPr>
              <w:t>mL</w:t>
            </w:r>
            <w:r w:rsidRPr="00295C26">
              <w:rPr>
                <w:sz w:val="16"/>
                <w:szCs w:val="16"/>
              </w:rPr>
              <w:t>/ha</w:t>
            </w:r>
          </w:p>
        </w:tc>
        <w:tc>
          <w:tcPr>
            <w:tcW w:w="1242" w:type="dxa"/>
            <w:vAlign w:val="center"/>
            <w:hideMark/>
          </w:tcPr>
          <w:p w14:paraId="7BA07B11" w14:textId="77777777" w:rsidR="00AB7545" w:rsidRPr="00295C26" w:rsidRDefault="00AB7545" w:rsidP="001177C6">
            <w:pPr>
              <w:pStyle w:val="NormalText"/>
              <w:spacing w:before="0" w:after="120" w:line="240" w:lineRule="exact"/>
              <w:jc w:val="center"/>
              <w:rPr>
                <w:sz w:val="16"/>
                <w:szCs w:val="16"/>
              </w:rPr>
            </w:pPr>
            <w:r w:rsidRPr="00295C26">
              <w:rPr>
                <w:sz w:val="16"/>
                <w:szCs w:val="16"/>
              </w:rPr>
              <w:t>0.5 m or lower</w:t>
            </w:r>
          </w:p>
        </w:tc>
        <w:tc>
          <w:tcPr>
            <w:tcW w:w="1107" w:type="dxa"/>
            <w:vAlign w:val="center"/>
            <w:hideMark/>
          </w:tcPr>
          <w:p w14:paraId="569E45DE"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848" w:type="dxa"/>
            <w:vAlign w:val="center"/>
            <w:hideMark/>
          </w:tcPr>
          <w:p w14:paraId="10EB37E2" w14:textId="77777777" w:rsidR="00AB7545" w:rsidRPr="00295C26" w:rsidRDefault="00AB7545" w:rsidP="001177C6">
            <w:pPr>
              <w:pStyle w:val="NormalText"/>
              <w:spacing w:before="0" w:after="120" w:line="240" w:lineRule="exact"/>
              <w:jc w:val="center"/>
              <w:rPr>
                <w:sz w:val="16"/>
                <w:szCs w:val="16"/>
              </w:rPr>
            </w:pPr>
            <w:r w:rsidRPr="00295C26">
              <w:rPr>
                <w:sz w:val="16"/>
                <w:szCs w:val="16"/>
              </w:rPr>
              <w:t>400</w:t>
            </w:r>
          </w:p>
        </w:tc>
        <w:tc>
          <w:tcPr>
            <w:tcW w:w="884" w:type="dxa"/>
            <w:vAlign w:val="center"/>
            <w:hideMark/>
          </w:tcPr>
          <w:p w14:paraId="2ACB9199"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982" w:type="dxa"/>
            <w:vAlign w:val="center"/>
            <w:hideMark/>
          </w:tcPr>
          <w:p w14:paraId="5E9D72C5"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883" w:type="dxa"/>
            <w:vAlign w:val="center"/>
            <w:hideMark/>
          </w:tcPr>
          <w:p w14:paraId="5948E7C0"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r>
      <w:tr w:rsidR="00AB7545" w:rsidRPr="00295C26" w14:paraId="5ED72BE7" w14:textId="77777777" w:rsidTr="000644E1">
        <w:trPr>
          <w:trHeight w:val="300"/>
        </w:trPr>
        <w:tc>
          <w:tcPr>
            <w:tcW w:w="1141" w:type="dxa"/>
            <w:vAlign w:val="center"/>
            <w:hideMark/>
          </w:tcPr>
          <w:p w14:paraId="6EA9FD3F" w14:textId="77777777" w:rsidR="00AB7545" w:rsidRPr="00295C26" w:rsidRDefault="00AB7545" w:rsidP="001177C6">
            <w:pPr>
              <w:pStyle w:val="NormalText"/>
              <w:spacing w:before="0" w:after="120" w:line="240" w:lineRule="exact"/>
              <w:jc w:val="center"/>
              <w:rPr>
                <w:sz w:val="16"/>
                <w:szCs w:val="16"/>
              </w:rPr>
            </w:pPr>
            <w:r w:rsidRPr="00295C26">
              <w:rPr>
                <w:sz w:val="16"/>
                <w:szCs w:val="16"/>
              </w:rPr>
              <w:t>270 mL/ha or lower</w:t>
            </w:r>
          </w:p>
        </w:tc>
        <w:tc>
          <w:tcPr>
            <w:tcW w:w="1242" w:type="dxa"/>
            <w:vAlign w:val="center"/>
            <w:hideMark/>
          </w:tcPr>
          <w:p w14:paraId="0A654CC1" w14:textId="77777777" w:rsidR="00AB7545" w:rsidRPr="00295C26" w:rsidRDefault="00AB7545" w:rsidP="001177C6">
            <w:pPr>
              <w:pStyle w:val="NormalText"/>
              <w:spacing w:before="0" w:after="120" w:line="240" w:lineRule="exact"/>
              <w:jc w:val="center"/>
              <w:rPr>
                <w:sz w:val="16"/>
                <w:szCs w:val="16"/>
              </w:rPr>
            </w:pPr>
            <w:r w:rsidRPr="00295C26">
              <w:rPr>
                <w:sz w:val="16"/>
                <w:szCs w:val="16"/>
              </w:rPr>
              <w:t>0.5 m or lower</w:t>
            </w:r>
          </w:p>
        </w:tc>
        <w:tc>
          <w:tcPr>
            <w:tcW w:w="1107" w:type="dxa"/>
            <w:vAlign w:val="center"/>
            <w:hideMark/>
          </w:tcPr>
          <w:p w14:paraId="6B3E4D1F"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848" w:type="dxa"/>
            <w:vAlign w:val="center"/>
            <w:hideMark/>
          </w:tcPr>
          <w:p w14:paraId="50218344" w14:textId="77777777" w:rsidR="00AB7545" w:rsidRPr="00295C26" w:rsidRDefault="00AB7545" w:rsidP="001177C6">
            <w:pPr>
              <w:pStyle w:val="NormalText"/>
              <w:spacing w:before="0" w:after="120" w:line="240" w:lineRule="exact"/>
              <w:jc w:val="center"/>
              <w:rPr>
                <w:sz w:val="16"/>
                <w:szCs w:val="16"/>
              </w:rPr>
            </w:pPr>
            <w:r w:rsidRPr="00295C26">
              <w:rPr>
                <w:sz w:val="16"/>
                <w:szCs w:val="16"/>
              </w:rPr>
              <w:t>350</w:t>
            </w:r>
          </w:p>
        </w:tc>
        <w:tc>
          <w:tcPr>
            <w:tcW w:w="884" w:type="dxa"/>
            <w:vAlign w:val="center"/>
            <w:hideMark/>
          </w:tcPr>
          <w:p w14:paraId="30B59BD9"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982" w:type="dxa"/>
            <w:vAlign w:val="center"/>
            <w:hideMark/>
          </w:tcPr>
          <w:p w14:paraId="4228ACFF"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c>
          <w:tcPr>
            <w:tcW w:w="883" w:type="dxa"/>
            <w:vAlign w:val="center"/>
            <w:hideMark/>
          </w:tcPr>
          <w:p w14:paraId="2D819252" w14:textId="77777777" w:rsidR="00AB7545" w:rsidRPr="00295C26" w:rsidRDefault="00AB7545" w:rsidP="001177C6">
            <w:pPr>
              <w:pStyle w:val="NormalText"/>
              <w:spacing w:before="0" w:after="120" w:line="240" w:lineRule="exact"/>
              <w:jc w:val="center"/>
              <w:rPr>
                <w:sz w:val="16"/>
                <w:szCs w:val="16"/>
              </w:rPr>
            </w:pPr>
            <w:r w:rsidRPr="00295C26">
              <w:rPr>
                <w:sz w:val="16"/>
                <w:szCs w:val="16"/>
              </w:rPr>
              <w:t>0</w:t>
            </w:r>
          </w:p>
        </w:tc>
      </w:tr>
    </w:tbl>
    <w:p w14:paraId="7142B9CC" w14:textId="193F077C" w:rsidR="00AB7545" w:rsidRPr="00051290" w:rsidRDefault="00AB7545" w:rsidP="00AB7545">
      <w:pPr>
        <w:pStyle w:val="StatementofReasonsLevel2"/>
      </w:pPr>
      <w:r>
        <w:t>T</w:t>
      </w:r>
      <w:r w:rsidRPr="00051290">
        <w:t xml:space="preserve">he condition referred as the </w:t>
      </w:r>
      <w:r w:rsidRPr="00051290">
        <w:t>‘</w:t>
      </w:r>
      <w:r w:rsidRPr="00051290">
        <w:t>Agricultural Products Active Constituent Quality Assurance Requirements</w:t>
      </w:r>
      <w:r w:rsidRPr="00051290">
        <w:t>’</w:t>
      </w:r>
      <w:r w:rsidRPr="00051290">
        <w:t xml:space="preserve"> </w:t>
      </w:r>
      <w:r>
        <w:t xml:space="preserve">has been varied </w:t>
      </w:r>
      <w:r w:rsidRPr="00051290">
        <w:t xml:space="preserve">to remove </w:t>
      </w:r>
      <w:r>
        <w:t>an</w:t>
      </w:r>
      <w:r w:rsidRPr="00051290">
        <w:t xml:space="preserve"> obsolete definition and </w:t>
      </w:r>
      <w:r>
        <w:t>unnecessary duplication already imposed by</w:t>
      </w:r>
      <w:r w:rsidRPr="00051290">
        <w:t xml:space="preserve"> the </w:t>
      </w:r>
      <w:proofErr w:type="spellStart"/>
      <w:r w:rsidRPr="00051290">
        <w:t>Agvet</w:t>
      </w:r>
      <w:proofErr w:type="spellEnd"/>
      <w:r w:rsidRPr="00051290">
        <w:t xml:space="preserve"> Code and </w:t>
      </w:r>
      <w:proofErr w:type="spellStart"/>
      <w:r w:rsidRPr="00051290">
        <w:t>Agvet</w:t>
      </w:r>
      <w:proofErr w:type="spellEnd"/>
      <w:r w:rsidRPr="00051290">
        <w:t xml:space="preserve"> Regulations</w:t>
      </w:r>
      <w:r>
        <w:t>, as I proposed</w:t>
      </w:r>
      <w:r w:rsidRPr="00051290">
        <w:t>.</w:t>
      </w:r>
    </w:p>
    <w:p w14:paraId="27DEB33C" w14:textId="77777777" w:rsidR="00AB7545" w:rsidRDefault="00AB7545" w:rsidP="00AB7545">
      <w:pPr>
        <w:pStyle w:val="StatementofReasonsLevel1"/>
      </w:pPr>
      <w:r>
        <w:t xml:space="preserve">Having made the variations that I listed in my proposed decision and also those that I have listed above, I am satisfied that the chemical product registrations listed in Table 1, as varied, meet the safety, efficacy and trade criteria and comply with any requirements prescribed by the regulations. Therefore, pursuant to section 34(1) of the </w:t>
      </w:r>
      <w:proofErr w:type="spellStart"/>
      <w:r>
        <w:t>Agvet</w:t>
      </w:r>
      <w:proofErr w:type="spellEnd"/>
      <w:r>
        <w:t xml:space="preserve"> Code, I have affirmed the chemical product registrations listed in Table 1 of this notice.</w:t>
      </w:r>
    </w:p>
    <w:p w14:paraId="258EBC78" w14:textId="77777777" w:rsidR="00AB7545" w:rsidRDefault="00AB7545" w:rsidP="00AB7545">
      <w:pPr>
        <w:pStyle w:val="StatementofReasonsHeading3"/>
        <w:rPr>
          <w:sz w:val="20"/>
          <w:szCs w:val="16"/>
        </w:rPr>
      </w:pPr>
      <w:r>
        <w:rPr>
          <w:sz w:val="20"/>
          <w:szCs w:val="16"/>
        </w:rPr>
        <w:t>Labels for chemical</w:t>
      </w:r>
      <w:r w:rsidRPr="00897DFC">
        <w:rPr>
          <w:sz w:val="20"/>
          <w:szCs w:val="16"/>
        </w:rPr>
        <w:t xml:space="preserve"> </w:t>
      </w:r>
      <w:r>
        <w:rPr>
          <w:sz w:val="20"/>
          <w:szCs w:val="16"/>
        </w:rPr>
        <w:t>products</w:t>
      </w:r>
    </w:p>
    <w:p w14:paraId="6FE11FDB" w14:textId="77777777" w:rsidR="00AB7545" w:rsidRPr="003C0D7E" w:rsidRDefault="00AB7545" w:rsidP="00AB7545">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sidRPr="000C7FFA">
        <w:rPr>
          <w:rFonts w:eastAsia="Arial Unicode MS" w:hAnsi="Arial Unicode MS" w:cs="Arial Unicode MS"/>
          <w:color w:val="000000"/>
          <w:szCs w:val="18"/>
          <w:u w:color="000000"/>
          <w:bdr w:val="nil"/>
          <w:lang w:val="en-GB" w:eastAsia="en-AU"/>
        </w:rPr>
        <w:t xml:space="preserve">In accordance with section 34A(1) of the </w:t>
      </w:r>
      <w:proofErr w:type="spellStart"/>
      <w:r w:rsidRPr="000C7FFA">
        <w:rPr>
          <w:rFonts w:eastAsia="Arial Unicode MS" w:hAnsi="Arial Unicode MS" w:cs="Arial Unicode MS"/>
          <w:color w:val="000000"/>
          <w:szCs w:val="18"/>
          <w:u w:color="000000"/>
          <w:bdr w:val="nil"/>
          <w:lang w:val="en-GB" w:eastAsia="en-AU"/>
        </w:rPr>
        <w:t>Agvet</w:t>
      </w:r>
      <w:proofErr w:type="spellEnd"/>
      <w:r w:rsidRPr="000C7FFA">
        <w:rPr>
          <w:rFonts w:eastAsia="Arial Unicode MS" w:hAnsi="Arial Unicode MS" w:cs="Arial Unicode MS"/>
          <w:color w:val="000000"/>
          <w:szCs w:val="18"/>
          <w:u w:color="000000"/>
          <w:bdr w:val="nil"/>
          <w:lang w:val="en-GB" w:eastAsia="en-AU"/>
        </w:rPr>
        <w:t xml:space="preserve"> Code, the particulars of the label approvals have been varied </w:t>
      </w:r>
      <w:r>
        <w:rPr>
          <w:rFonts w:eastAsia="Arial Unicode MS" w:hAnsi="Arial Unicode MS" w:cs="Arial Unicode MS"/>
          <w:color w:val="000000"/>
          <w:szCs w:val="18"/>
          <w:u w:color="000000"/>
          <w:bdr w:val="nil"/>
          <w:lang w:val="en-GB" w:eastAsia="en-AU"/>
        </w:rPr>
        <w:t>to include the instructions noted above and as in my proposed decision.</w:t>
      </w:r>
    </w:p>
    <w:p w14:paraId="2A9013B7" w14:textId="22E3D2E8" w:rsidR="00AB7545" w:rsidRPr="000C7FFA" w:rsidRDefault="00AB7545" w:rsidP="00AB7545">
      <w:pPr>
        <w:pStyle w:val="StatementofReasonsLevel1"/>
      </w:pPr>
      <w:r w:rsidRPr="000C7FFA">
        <w:t>I am satisfied that the label</w:t>
      </w:r>
      <w:r>
        <w:t>s</w:t>
      </w:r>
      <w:r w:rsidRPr="000C7FFA">
        <w:t xml:space="preserve"> for </w:t>
      </w:r>
      <w:r>
        <w:t>fenitrothion</w:t>
      </w:r>
      <w:r w:rsidRPr="000C7FFA">
        <w:t xml:space="preserve"> products listed in </w:t>
      </w:r>
      <w:r>
        <w:t>Table 1</w:t>
      </w:r>
      <w:r w:rsidRPr="000C7FFA">
        <w:t xml:space="preserve">, as varied, meet the labelling criteria and comply with any requirements prescribed by the regulations. Therefore, pursuant to section 34(1) of the </w:t>
      </w:r>
      <w:proofErr w:type="spellStart"/>
      <w:r w:rsidRPr="000C7FFA">
        <w:t>Agvet</w:t>
      </w:r>
      <w:proofErr w:type="spellEnd"/>
      <w:r w:rsidRPr="000C7FFA">
        <w:t xml:space="preserve"> Code, I have affirmed the label approvals for </w:t>
      </w:r>
      <w:r>
        <w:t>fenitrothion</w:t>
      </w:r>
      <w:r w:rsidRPr="000C7FFA">
        <w:t xml:space="preserve"> products listed in </w:t>
      </w:r>
      <w:r>
        <w:t>Table 1</w:t>
      </w:r>
      <w:r w:rsidRPr="000C7FFA">
        <w:t xml:space="preserve"> of this notice.</w:t>
      </w:r>
    </w:p>
    <w:p w14:paraId="74511065" w14:textId="436BA8E6" w:rsidR="00AB7545" w:rsidRDefault="00AB7545" w:rsidP="00AB7545">
      <w:pPr>
        <w:pStyle w:val="StatementofReasonsLevel1"/>
      </w:pPr>
      <w:r>
        <w:t>Furthermore</w:t>
      </w:r>
      <w:r w:rsidRPr="000C7FFA">
        <w:t xml:space="preserve">, I have determined, pursuant to section 81(3)(c) of the </w:t>
      </w:r>
      <w:proofErr w:type="spellStart"/>
      <w:r w:rsidRPr="000C7FFA">
        <w:t>Agvet</w:t>
      </w:r>
      <w:proofErr w:type="spellEnd"/>
      <w:r w:rsidRPr="000C7FFA">
        <w:t xml:space="preserve"> Code, that subsection 81(3) applies in respect of the supply of the products listed in </w:t>
      </w:r>
      <w:r>
        <w:t>Table 2</w:t>
      </w:r>
      <w:r w:rsidRPr="000C7FFA">
        <w:t xml:space="preserve">, bearing labels that were previously approved but have now been varied, if the supply takes place not later than 1 year from the date of affirmation. Products bearing the previously approved labels listed in </w:t>
      </w:r>
      <w:r>
        <w:t>Table 2</w:t>
      </w:r>
      <w:r w:rsidRPr="000C7FFA">
        <w:t xml:space="preserve"> must not be supplied after </w:t>
      </w:r>
      <w:r w:rsidRPr="00721835">
        <w:t>15 August 2026</w:t>
      </w:r>
      <w:r w:rsidRPr="000C7FFA">
        <w:t xml:space="preserve">. </w:t>
      </w:r>
      <w:r>
        <w:t>I note that this determination does not authorise manufacture of new products bearing previously approved labels after the date of the decision.</w:t>
      </w:r>
    </w:p>
    <w:p w14:paraId="44919036" w14:textId="5CCAFFC1" w:rsidR="00AB7545" w:rsidRPr="000644E1" w:rsidRDefault="00AB7545" w:rsidP="000644E1">
      <w:pPr>
        <w:pStyle w:val="Caption"/>
      </w:pPr>
      <w:r w:rsidRPr="000644E1">
        <w:t xml:space="preserve">Table </w:t>
      </w:r>
      <w:r w:rsidRPr="000644E1">
        <w:fldChar w:fldCharType="begin"/>
      </w:r>
      <w:r w:rsidRPr="000644E1">
        <w:instrText xml:space="preserve"> SEQ Table_A \* ARABIC </w:instrText>
      </w:r>
      <w:r w:rsidRPr="000644E1">
        <w:fldChar w:fldCharType="separate"/>
      </w:r>
      <w:r w:rsidR="00365304">
        <w:rPr>
          <w:noProof/>
        </w:rPr>
        <w:t>2</w:t>
      </w:r>
      <w:r w:rsidRPr="000644E1">
        <w:fldChar w:fldCharType="end"/>
      </w:r>
      <w:r w:rsidRPr="000644E1">
        <w:t xml:space="preserve">: Fenitrothion products bearing previously approved labels subject to the determination made under section 81(3) of the </w:t>
      </w:r>
      <w:proofErr w:type="spellStart"/>
      <w:r w:rsidRPr="000644E1">
        <w:t>Agvet</w:t>
      </w:r>
      <w:proofErr w:type="spellEnd"/>
      <w:r w:rsidRPr="000644E1">
        <w:t xml:space="preserve"> Code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414"/>
        <w:gridCol w:w="1134"/>
        <w:gridCol w:w="2268"/>
        <w:gridCol w:w="2126"/>
        <w:gridCol w:w="2686"/>
      </w:tblGrid>
      <w:tr w:rsidR="00AB7545" w14:paraId="0B37831A" w14:textId="77777777" w:rsidTr="000644E1">
        <w:trPr>
          <w:tblHeader/>
        </w:trPr>
        <w:tc>
          <w:tcPr>
            <w:tcW w:w="734" w:type="pct"/>
            <w:shd w:val="clear" w:color="auto" w:fill="E7E6E6" w:themeFill="background2"/>
          </w:tcPr>
          <w:p w14:paraId="1F564009" w14:textId="77777777" w:rsidR="00AB7545" w:rsidRDefault="00AB7545" w:rsidP="001177C6">
            <w:pPr>
              <w:pStyle w:val="GazetteTableHeading"/>
            </w:pPr>
            <w:r w:rsidRPr="004E2985">
              <w:t>Type of approval or registration</w:t>
            </w:r>
          </w:p>
        </w:tc>
        <w:tc>
          <w:tcPr>
            <w:tcW w:w="589" w:type="pct"/>
            <w:shd w:val="clear" w:color="auto" w:fill="E7E6E6" w:themeFill="background2"/>
          </w:tcPr>
          <w:p w14:paraId="4AE359A2" w14:textId="77777777" w:rsidR="00AB7545" w:rsidRDefault="00AB7545" w:rsidP="001177C6">
            <w:pPr>
              <w:pStyle w:val="GazetteTableHeading"/>
            </w:pPr>
            <w:r w:rsidRPr="004E2985">
              <w:t xml:space="preserve">Approval or registration </w:t>
            </w:r>
            <w:r>
              <w:t>n</w:t>
            </w:r>
            <w:r w:rsidRPr="004E2985">
              <w:t>umber</w:t>
            </w:r>
          </w:p>
        </w:tc>
        <w:tc>
          <w:tcPr>
            <w:tcW w:w="1178" w:type="pct"/>
            <w:shd w:val="clear" w:color="auto" w:fill="E7E6E6" w:themeFill="background2"/>
          </w:tcPr>
          <w:p w14:paraId="0EF276D1" w14:textId="77777777" w:rsidR="00AB7545" w:rsidRDefault="00AB7545" w:rsidP="001177C6">
            <w:pPr>
              <w:pStyle w:val="GazetteTableHeading"/>
            </w:pPr>
            <w:r w:rsidRPr="004E2985">
              <w:t>Name</w:t>
            </w:r>
          </w:p>
        </w:tc>
        <w:tc>
          <w:tcPr>
            <w:tcW w:w="1104" w:type="pct"/>
            <w:shd w:val="clear" w:color="auto" w:fill="E7E6E6" w:themeFill="background2"/>
          </w:tcPr>
          <w:p w14:paraId="06C4F709" w14:textId="77777777" w:rsidR="00AB7545" w:rsidRDefault="00AB7545" w:rsidP="001177C6">
            <w:pPr>
              <w:pStyle w:val="GazetteTableHeading"/>
            </w:pPr>
            <w:r w:rsidRPr="004E2985">
              <w:t>Holder</w:t>
            </w:r>
          </w:p>
        </w:tc>
        <w:tc>
          <w:tcPr>
            <w:tcW w:w="1395" w:type="pct"/>
            <w:shd w:val="clear" w:color="auto" w:fill="E7E6E6" w:themeFill="background2"/>
          </w:tcPr>
          <w:p w14:paraId="4D45D635" w14:textId="77777777" w:rsidR="00AB7545" w:rsidRDefault="00AB7545" w:rsidP="001177C6">
            <w:pPr>
              <w:pStyle w:val="GazetteTableHeading"/>
            </w:pPr>
            <w:r>
              <w:t xml:space="preserve">Previously approved label number(s) </w:t>
            </w:r>
            <w:r w:rsidRPr="008D12AF">
              <w:t>associated with the registered product</w:t>
            </w:r>
          </w:p>
        </w:tc>
      </w:tr>
      <w:tr w:rsidR="00AB7545" w14:paraId="38319954" w14:textId="77777777" w:rsidTr="000644E1">
        <w:tc>
          <w:tcPr>
            <w:tcW w:w="734" w:type="pct"/>
          </w:tcPr>
          <w:p w14:paraId="6BAD39BC" w14:textId="77777777" w:rsidR="00AB7545" w:rsidRDefault="00AB7545" w:rsidP="001177C6">
            <w:pPr>
              <w:pStyle w:val="GazetteTableText"/>
            </w:pPr>
            <w:r w:rsidRPr="00E927A1">
              <w:t>Product</w:t>
            </w:r>
          </w:p>
        </w:tc>
        <w:tc>
          <w:tcPr>
            <w:tcW w:w="589" w:type="pct"/>
            <w:shd w:val="clear" w:color="auto" w:fill="auto"/>
          </w:tcPr>
          <w:p w14:paraId="6F8CD176" w14:textId="77777777" w:rsidR="00AB7545" w:rsidRDefault="00AB7545" w:rsidP="001177C6">
            <w:pPr>
              <w:pStyle w:val="GazetteTableText"/>
            </w:pPr>
            <w:r w:rsidRPr="00E927A1">
              <w:t>46127</w:t>
            </w:r>
          </w:p>
        </w:tc>
        <w:tc>
          <w:tcPr>
            <w:tcW w:w="1178" w:type="pct"/>
            <w:shd w:val="clear" w:color="auto" w:fill="auto"/>
          </w:tcPr>
          <w:p w14:paraId="084C98ED" w14:textId="77777777" w:rsidR="00AB7545" w:rsidRDefault="00AB7545" w:rsidP="001177C6">
            <w:pPr>
              <w:pStyle w:val="GazetteTableText"/>
            </w:pPr>
            <w:proofErr w:type="spellStart"/>
            <w:r w:rsidRPr="00E927A1">
              <w:t>Methograin</w:t>
            </w:r>
            <w:proofErr w:type="spellEnd"/>
            <w:r w:rsidRPr="00E927A1">
              <w:t xml:space="preserve"> Fenitrothion 1000 Insecticide</w:t>
            </w:r>
          </w:p>
        </w:tc>
        <w:tc>
          <w:tcPr>
            <w:tcW w:w="1104" w:type="pct"/>
          </w:tcPr>
          <w:p w14:paraId="7D9375B7" w14:textId="77777777" w:rsidR="00AB7545" w:rsidRDefault="00AB7545" w:rsidP="001177C6">
            <w:pPr>
              <w:pStyle w:val="GazetteTableText"/>
            </w:pPr>
            <w:proofErr w:type="spellStart"/>
            <w:r w:rsidRPr="00E927A1">
              <w:t>Babolna</w:t>
            </w:r>
            <w:proofErr w:type="spellEnd"/>
            <w:r w:rsidRPr="00E927A1">
              <w:t xml:space="preserve"> Bioenvironmental Centre Private Limited Company</w:t>
            </w:r>
          </w:p>
        </w:tc>
        <w:tc>
          <w:tcPr>
            <w:tcW w:w="1395" w:type="pct"/>
            <w:shd w:val="clear" w:color="auto" w:fill="auto"/>
          </w:tcPr>
          <w:p w14:paraId="1D17E179" w14:textId="77777777" w:rsidR="00AB7545" w:rsidRDefault="00AB7545" w:rsidP="001177C6">
            <w:pPr>
              <w:pStyle w:val="GazetteTableText"/>
            </w:pPr>
            <w:r w:rsidRPr="00102023">
              <w:t>46127</w:t>
            </w:r>
            <w:r>
              <w:t>/</w:t>
            </w:r>
            <w:r w:rsidRPr="00A65DF1">
              <w:rPr>
                <w:lang w:val="en-AU"/>
              </w:rPr>
              <w:t>129275</w:t>
            </w:r>
          </w:p>
        </w:tc>
      </w:tr>
      <w:tr w:rsidR="00AB7545" w14:paraId="32C4934C" w14:textId="77777777" w:rsidTr="000644E1">
        <w:tc>
          <w:tcPr>
            <w:tcW w:w="734" w:type="pct"/>
          </w:tcPr>
          <w:p w14:paraId="61D3F219" w14:textId="77777777" w:rsidR="00AB7545" w:rsidRDefault="00AB7545" w:rsidP="001177C6">
            <w:pPr>
              <w:pStyle w:val="GazetteTableText"/>
            </w:pPr>
            <w:r w:rsidRPr="00E927A1">
              <w:t>Product</w:t>
            </w:r>
          </w:p>
        </w:tc>
        <w:tc>
          <w:tcPr>
            <w:tcW w:w="589" w:type="pct"/>
            <w:shd w:val="clear" w:color="auto" w:fill="auto"/>
          </w:tcPr>
          <w:p w14:paraId="1AFB86F8" w14:textId="77777777" w:rsidR="00AB7545" w:rsidRDefault="00AB7545" w:rsidP="001177C6">
            <w:pPr>
              <w:pStyle w:val="GazetteTableText"/>
            </w:pPr>
            <w:r w:rsidRPr="00E927A1">
              <w:t>50775</w:t>
            </w:r>
          </w:p>
        </w:tc>
        <w:tc>
          <w:tcPr>
            <w:tcW w:w="1178" w:type="pct"/>
            <w:shd w:val="clear" w:color="auto" w:fill="auto"/>
          </w:tcPr>
          <w:p w14:paraId="3E75A26C" w14:textId="77777777" w:rsidR="00AB7545" w:rsidRDefault="00AB7545" w:rsidP="001177C6">
            <w:pPr>
              <w:pStyle w:val="GazetteTableText"/>
            </w:pPr>
            <w:proofErr w:type="spellStart"/>
            <w:r w:rsidRPr="00E927A1">
              <w:t>Sumithion</w:t>
            </w:r>
            <w:proofErr w:type="spellEnd"/>
            <w:r w:rsidRPr="00E927A1">
              <w:t xml:space="preserve"> 1000EC Insecticide</w:t>
            </w:r>
          </w:p>
        </w:tc>
        <w:tc>
          <w:tcPr>
            <w:tcW w:w="1104" w:type="pct"/>
          </w:tcPr>
          <w:p w14:paraId="41E4EA44" w14:textId="77777777" w:rsidR="00AB7545" w:rsidRDefault="00AB7545" w:rsidP="001177C6">
            <w:pPr>
              <w:pStyle w:val="GazetteTableText"/>
            </w:pPr>
            <w:r w:rsidRPr="00E927A1">
              <w:t>Sumitomo Chemical Australia Pty L</w:t>
            </w:r>
            <w:r>
              <w:t>t</w:t>
            </w:r>
            <w:r w:rsidRPr="00E927A1">
              <w:t>d</w:t>
            </w:r>
          </w:p>
        </w:tc>
        <w:tc>
          <w:tcPr>
            <w:tcW w:w="1395" w:type="pct"/>
            <w:shd w:val="clear" w:color="auto" w:fill="auto"/>
          </w:tcPr>
          <w:p w14:paraId="05FC152A" w14:textId="77777777" w:rsidR="00AB7545" w:rsidRDefault="00AB7545" w:rsidP="001177C6">
            <w:pPr>
              <w:pStyle w:val="GazetteTableText"/>
            </w:pPr>
            <w:r>
              <w:t>50775/</w:t>
            </w:r>
            <w:r w:rsidRPr="00A65DF1">
              <w:rPr>
                <w:lang w:val="en-AU"/>
              </w:rPr>
              <w:t>128296</w:t>
            </w:r>
          </w:p>
        </w:tc>
      </w:tr>
      <w:tr w:rsidR="00AB7545" w14:paraId="6006C7F7" w14:textId="77777777" w:rsidTr="000644E1">
        <w:tc>
          <w:tcPr>
            <w:tcW w:w="734" w:type="pct"/>
          </w:tcPr>
          <w:p w14:paraId="3A539670" w14:textId="77777777" w:rsidR="00AB7545" w:rsidRDefault="00AB7545" w:rsidP="001177C6">
            <w:pPr>
              <w:pStyle w:val="GazetteTableText"/>
            </w:pPr>
            <w:r w:rsidRPr="00E927A1">
              <w:t>Product</w:t>
            </w:r>
          </w:p>
        </w:tc>
        <w:tc>
          <w:tcPr>
            <w:tcW w:w="589" w:type="pct"/>
            <w:shd w:val="clear" w:color="auto" w:fill="auto"/>
          </w:tcPr>
          <w:p w14:paraId="33BF19A2" w14:textId="77777777" w:rsidR="00AB7545" w:rsidRDefault="00AB7545" w:rsidP="001177C6">
            <w:pPr>
              <w:pStyle w:val="GazetteTableText"/>
            </w:pPr>
            <w:r w:rsidRPr="00E927A1">
              <w:t>56170</w:t>
            </w:r>
          </w:p>
        </w:tc>
        <w:tc>
          <w:tcPr>
            <w:tcW w:w="1178" w:type="pct"/>
            <w:shd w:val="clear" w:color="auto" w:fill="auto"/>
          </w:tcPr>
          <w:p w14:paraId="4547389D" w14:textId="77777777" w:rsidR="00AB7545" w:rsidRDefault="00AB7545" w:rsidP="001177C6">
            <w:pPr>
              <w:pStyle w:val="GazetteTableText"/>
            </w:pPr>
            <w:r w:rsidRPr="00E927A1">
              <w:t>Kendon Fenitrothion 1000EC Insecticide</w:t>
            </w:r>
          </w:p>
        </w:tc>
        <w:tc>
          <w:tcPr>
            <w:tcW w:w="1104" w:type="pct"/>
          </w:tcPr>
          <w:p w14:paraId="5853B3EE" w14:textId="77777777" w:rsidR="00AB7545" w:rsidRDefault="00AB7545" w:rsidP="001177C6">
            <w:pPr>
              <w:pStyle w:val="GazetteTableText"/>
            </w:pPr>
            <w:r w:rsidRPr="00E927A1">
              <w:t>Kendon Plant Care Pty Ltd</w:t>
            </w:r>
          </w:p>
        </w:tc>
        <w:tc>
          <w:tcPr>
            <w:tcW w:w="1395" w:type="pct"/>
            <w:shd w:val="clear" w:color="auto" w:fill="auto"/>
          </w:tcPr>
          <w:p w14:paraId="1E2A8396" w14:textId="77777777" w:rsidR="00AB7545" w:rsidRDefault="00AB7545" w:rsidP="001177C6">
            <w:pPr>
              <w:pStyle w:val="GazetteTableText"/>
            </w:pPr>
            <w:r w:rsidRPr="00E927A1">
              <w:t>56170</w:t>
            </w:r>
            <w:r>
              <w:t>/</w:t>
            </w:r>
            <w:r w:rsidRPr="00A65DF1">
              <w:rPr>
                <w:lang w:val="en-AU"/>
              </w:rPr>
              <w:t>136950</w:t>
            </w:r>
            <w:r>
              <w:rPr>
                <w:lang w:val="en-AU"/>
              </w:rPr>
              <w:t xml:space="preserve">, </w:t>
            </w:r>
            <w:r w:rsidRPr="00E927A1">
              <w:t>56170</w:t>
            </w:r>
            <w:r>
              <w:t>/0702</w:t>
            </w:r>
          </w:p>
        </w:tc>
      </w:tr>
      <w:tr w:rsidR="00AB7545" w14:paraId="3FE81AD8" w14:textId="77777777" w:rsidTr="000644E1">
        <w:tc>
          <w:tcPr>
            <w:tcW w:w="734" w:type="pct"/>
          </w:tcPr>
          <w:p w14:paraId="7F322A97" w14:textId="77777777" w:rsidR="00AB7545" w:rsidRDefault="00AB7545" w:rsidP="001177C6">
            <w:pPr>
              <w:pStyle w:val="GazetteTableText"/>
            </w:pPr>
            <w:r w:rsidRPr="00E927A1">
              <w:lastRenderedPageBreak/>
              <w:t>Product</w:t>
            </w:r>
          </w:p>
        </w:tc>
        <w:tc>
          <w:tcPr>
            <w:tcW w:w="589" w:type="pct"/>
            <w:shd w:val="clear" w:color="auto" w:fill="auto"/>
          </w:tcPr>
          <w:p w14:paraId="4298D738" w14:textId="77777777" w:rsidR="00AB7545" w:rsidRDefault="00AB7545" w:rsidP="001177C6">
            <w:pPr>
              <w:pStyle w:val="GazetteTableText"/>
            </w:pPr>
            <w:r w:rsidRPr="00E927A1">
              <w:t>66520</w:t>
            </w:r>
          </w:p>
        </w:tc>
        <w:tc>
          <w:tcPr>
            <w:tcW w:w="1178" w:type="pct"/>
            <w:shd w:val="clear" w:color="auto" w:fill="auto"/>
          </w:tcPr>
          <w:p w14:paraId="7C855CA0" w14:textId="77777777" w:rsidR="00AB7545" w:rsidRDefault="00AB7545" w:rsidP="001177C6">
            <w:pPr>
              <w:pStyle w:val="GazetteTableText"/>
            </w:pPr>
            <w:r w:rsidRPr="00E927A1">
              <w:t>Grain-Guard Duo Insecticide</w:t>
            </w:r>
          </w:p>
        </w:tc>
        <w:tc>
          <w:tcPr>
            <w:tcW w:w="1104" w:type="pct"/>
          </w:tcPr>
          <w:p w14:paraId="233F6BCD" w14:textId="77777777" w:rsidR="00AB7545" w:rsidRDefault="00AB7545" w:rsidP="001177C6">
            <w:pPr>
              <w:pStyle w:val="GazetteTableText"/>
            </w:pPr>
            <w:r w:rsidRPr="00E927A1">
              <w:t>Sumitomo Chemical Australia Pty L</w:t>
            </w:r>
            <w:r>
              <w:t>t</w:t>
            </w:r>
            <w:r w:rsidRPr="00E927A1">
              <w:t>d</w:t>
            </w:r>
          </w:p>
        </w:tc>
        <w:tc>
          <w:tcPr>
            <w:tcW w:w="1395" w:type="pct"/>
            <w:shd w:val="clear" w:color="auto" w:fill="auto"/>
          </w:tcPr>
          <w:p w14:paraId="53174CBF" w14:textId="77777777" w:rsidR="00AB7545" w:rsidRDefault="00AB7545" w:rsidP="001177C6">
            <w:pPr>
              <w:pStyle w:val="GazetteTableText"/>
            </w:pPr>
            <w:r w:rsidRPr="00E927A1">
              <w:t>66520</w:t>
            </w:r>
            <w:r>
              <w:t>/</w:t>
            </w:r>
            <w:r w:rsidRPr="00A65DF1">
              <w:rPr>
                <w:lang w:val="en-AU"/>
              </w:rPr>
              <w:t>53810</w:t>
            </w:r>
          </w:p>
        </w:tc>
      </w:tr>
      <w:tr w:rsidR="00AB7545" w14:paraId="48F2867E" w14:textId="77777777" w:rsidTr="000644E1">
        <w:tc>
          <w:tcPr>
            <w:tcW w:w="734" w:type="pct"/>
          </w:tcPr>
          <w:p w14:paraId="465ABA0B" w14:textId="77777777" w:rsidR="00AB7545" w:rsidRDefault="00AB7545" w:rsidP="001177C6">
            <w:pPr>
              <w:pStyle w:val="GazetteTableText"/>
            </w:pPr>
            <w:r w:rsidRPr="00E927A1">
              <w:t>Product</w:t>
            </w:r>
          </w:p>
        </w:tc>
        <w:tc>
          <w:tcPr>
            <w:tcW w:w="589" w:type="pct"/>
            <w:shd w:val="clear" w:color="auto" w:fill="auto"/>
          </w:tcPr>
          <w:p w14:paraId="21A00F37" w14:textId="77777777" w:rsidR="00AB7545" w:rsidRDefault="00AB7545" w:rsidP="001177C6">
            <w:pPr>
              <w:pStyle w:val="GazetteTableText"/>
            </w:pPr>
            <w:r w:rsidRPr="00E927A1">
              <w:t>67186</w:t>
            </w:r>
          </w:p>
        </w:tc>
        <w:tc>
          <w:tcPr>
            <w:tcW w:w="1178" w:type="pct"/>
            <w:shd w:val="clear" w:color="auto" w:fill="auto"/>
          </w:tcPr>
          <w:p w14:paraId="147474F2" w14:textId="77777777" w:rsidR="00AB7545" w:rsidRDefault="00AB7545" w:rsidP="001177C6">
            <w:pPr>
              <w:pStyle w:val="GazetteTableText"/>
            </w:pPr>
            <w:r w:rsidRPr="00E927A1">
              <w:t>Freezone Fenitrothion Insecticide</w:t>
            </w:r>
          </w:p>
        </w:tc>
        <w:tc>
          <w:tcPr>
            <w:tcW w:w="1104" w:type="pct"/>
          </w:tcPr>
          <w:p w14:paraId="52B711B9" w14:textId="77777777" w:rsidR="00AB7545" w:rsidRDefault="00AB7545" w:rsidP="001177C6">
            <w:pPr>
              <w:pStyle w:val="GazetteTableText"/>
            </w:pPr>
            <w:r w:rsidRPr="00E927A1">
              <w:t>Freezone Public Health Pty Ltd</w:t>
            </w:r>
          </w:p>
        </w:tc>
        <w:tc>
          <w:tcPr>
            <w:tcW w:w="1395" w:type="pct"/>
            <w:shd w:val="clear" w:color="auto" w:fill="auto"/>
          </w:tcPr>
          <w:p w14:paraId="542FCDAF" w14:textId="77777777" w:rsidR="00AB7545" w:rsidRDefault="00AB7545" w:rsidP="001177C6">
            <w:pPr>
              <w:pStyle w:val="GazetteTableText"/>
            </w:pPr>
            <w:r w:rsidRPr="00E927A1">
              <w:t>67186</w:t>
            </w:r>
            <w:r>
              <w:t>/</w:t>
            </w:r>
            <w:r w:rsidRPr="00A65DF1">
              <w:rPr>
                <w:lang w:val="en-AU"/>
              </w:rPr>
              <w:t>55411</w:t>
            </w:r>
          </w:p>
        </w:tc>
      </w:tr>
      <w:tr w:rsidR="00AB7545" w14:paraId="3B8CDC3B" w14:textId="77777777" w:rsidTr="000644E1">
        <w:tc>
          <w:tcPr>
            <w:tcW w:w="734" w:type="pct"/>
          </w:tcPr>
          <w:p w14:paraId="1B1E7A66" w14:textId="77777777" w:rsidR="00AB7545" w:rsidRDefault="00AB7545" w:rsidP="001177C6">
            <w:pPr>
              <w:pStyle w:val="GazetteTableText"/>
            </w:pPr>
            <w:r w:rsidRPr="00E927A1">
              <w:t>Product</w:t>
            </w:r>
          </w:p>
        </w:tc>
        <w:tc>
          <w:tcPr>
            <w:tcW w:w="589" w:type="pct"/>
            <w:shd w:val="clear" w:color="auto" w:fill="auto"/>
          </w:tcPr>
          <w:p w14:paraId="7B4A60BC" w14:textId="77777777" w:rsidR="00AB7545" w:rsidRDefault="00AB7545" w:rsidP="001177C6">
            <w:pPr>
              <w:pStyle w:val="GazetteTableText"/>
            </w:pPr>
            <w:r w:rsidRPr="00E927A1">
              <w:t>67567</w:t>
            </w:r>
          </w:p>
        </w:tc>
        <w:tc>
          <w:tcPr>
            <w:tcW w:w="1178" w:type="pct"/>
            <w:shd w:val="clear" w:color="auto" w:fill="auto"/>
          </w:tcPr>
          <w:p w14:paraId="6F6E09A6" w14:textId="77777777" w:rsidR="00AB7545" w:rsidRDefault="00AB7545" w:rsidP="001177C6">
            <w:pPr>
              <w:pStyle w:val="GazetteTableText"/>
            </w:pPr>
            <w:r w:rsidRPr="00E927A1">
              <w:t>Freezone Smart Grain Dual Insecticide</w:t>
            </w:r>
          </w:p>
        </w:tc>
        <w:tc>
          <w:tcPr>
            <w:tcW w:w="1104" w:type="pct"/>
          </w:tcPr>
          <w:p w14:paraId="6B752129" w14:textId="77777777" w:rsidR="00AB7545" w:rsidRDefault="00AB7545" w:rsidP="001177C6">
            <w:pPr>
              <w:pStyle w:val="GazetteTableText"/>
            </w:pPr>
            <w:r w:rsidRPr="00E927A1">
              <w:t>Freezone Public Health Pty Ltd</w:t>
            </w:r>
          </w:p>
        </w:tc>
        <w:tc>
          <w:tcPr>
            <w:tcW w:w="1395" w:type="pct"/>
            <w:shd w:val="clear" w:color="auto" w:fill="auto"/>
          </w:tcPr>
          <w:p w14:paraId="0786057A" w14:textId="77777777" w:rsidR="00AB7545" w:rsidRDefault="00AB7545" w:rsidP="001177C6">
            <w:pPr>
              <w:pStyle w:val="GazetteTableText"/>
            </w:pPr>
            <w:r w:rsidRPr="00E927A1">
              <w:t>67567</w:t>
            </w:r>
            <w:r>
              <w:t>/</w:t>
            </w:r>
            <w:r w:rsidRPr="00A65DF1">
              <w:rPr>
                <w:lang w:val="en-AU"/>
              </w:rPr>
              <w:t>56362</w:t>
            </w:r>
          </w:p>
        </w:tc>
      </w:tr>
      <w:tr w:rsidR="00AB7545" w14:paraId="63A767FC" w14:textId="77777777" w:rsidTr="000644E1">
        <w:tc>
          <w:tcPr>
            <w:tcW w:w="734" w:type="pct"/>
          </w:tcPr>
          <w:p w14:paraId="25E9A524" w14:textId="77777777" w:rsidR="00AB7545" w:rsidRDefault="00AB7545" w:rsidP="001177C6">
            <w:pPr>
              <w:pStyle w:val="GazetteTableText"/>
            </w:pPr>
            <w:r w:rsidRPr="00E927A1">
              <w:t>Product</w:t>
            </w:r>
          </w:p>
        </w:tc>
        <w:tc>
          <w:tcPr>
            <w:tcW w:w="589" w:type="pct"/>
            <w:shd w:val="clear" w:color="auto" w:fill="auto"/>
          </w:tcPr>
          <w:p w14:paraId="0F712A87" w14:textId="77777777" w:rsidR="00AB7545" w:rsidRDefault="00AB7545" w:rsidP="001177C6">
            <w:pPr>
              <w:pStyle w:val="GazetteTableText"/>
            </w:pPr>
            <w:r w:rsidRPr="00E927A1">
              <w:t>91551</w:t>
            </w:r>
          </w:p>
        </w:tc>
        <w:tc>
          <w:tcPr>
            <w:tcW w:w="1178" w:type="pct"/>
            <w:shd w:val="clear" w:color="auto" w:fill="auto"/>
          </w:tcPr>
          <w:p w14:paraId="0379255C" w14:textId="77777777" w:rsidR="00AB7545" w:rsidRDefault="00AB7545" w:rsidP="001177C6">
            <w:pPr>
              <w:pStyle w:val="GazetteTableText"/>
            </w:pPr>
            <w:r w:rsidRPr="00E927A1">
              <w:t>Titan Dual Grain Treatment</w:t>
            </w:r>
          </w:p>
        </w:tc>
        <w:tc>
          <w:tcPr>
            <w:tcW w:w="1104" w:type="pct"/>
          </w:tcPr>
          <w:p w14:paraId="599AE342" w14:textId="77777777" w:rsidR="00AB7545" w:rsidRDefault="00AB7545" w:rsidP="001177C6">
            <w:pPr>
              <w:pStyle w:val="GazetteTableText"/>
            </w:pPr>
            <w:r w:rsidRPr="00E927A1">
              <w:t>Freezone Public Health Pty Ltd</w:t>
            </w:r>
          </w:p>
        </w:tc>
        <w:tc>
          <w:tcPr>
            <w:tcW w:w="1395" w:type="pct"/>
            <w:shd w:val="clear" w:color="auto" w:fill="auto"/>
          </w:tcPr>
          <w:p w14:paraId="260D3498" w14:textId="77777777" w:rsidR="00AB7545" w:rsidRDefault="00AB7545" w:rsidP="001177C6">
            <w:pPr>
              <w:pStyle w:val="GazetteTableText"/>
            </w:pPr>
            <w:r w:rsidRPr="00E927A1">
              <w:t>91551</w:t>
            </w:r>
            <w:r>
              <w:t>/</w:t>
            </w:r>
            <w:r w:rsidRPr="00A65DF1">
              <w:rPr>
                <w:lang w:val="en-AU"/>
              </w:rPr>
              <w:t>132629</w:t>
            </w:r>
          </w:p>
        </w:tc>
      </w:tr>
    </w:tbl>
    <w:p w14:paraId="0819FE39" w14:textId="77777777" w:rsidR="00AB7545" w:rsidRPr="00C255A1" w:rsidRDefault="00AB7545" w:rsidP="00AB7545">
      <w:pPr>
        <w:pStyle w:val="GazetteNormalText"/>
      </w:pPr>
      <w:r w:rsidRPr="008B05B8">
        <w:t>Sheila Logan</w:t>
      </w:r>
      <w:r>
        <w:br/>
      </w:r>
      <w:r w:rsidRPr="00C255A1">
        <w:t>Executive Director, Risk Assessment Capability</w:t>
      </w:r>
    </w:p>
    <w:p w14:paraId="683A8DC5" w14:textId="77777777" w:rsidR="00AB7545" w:rsidRDefault="00AB7545" w:rsidP="00AB7545">
      <w:pPr>
        <w:pStyle w:val="GazetteNormalText"/>
        <w:rPr>
          <w:i/>
          <w:iCs/>
        </w:rPr>
      </w:pPr>
      <w:r w:rsidRPr="008B05B8">
        <w:t xml:space="preserve">With the delegated authority under sections 11, 32 and 44 of the </w:t>
      </w:r>
      <w:r w:rsidRPr="008B05B8">
        <w:rPr>
          <w:i/>
          <w:iCs/>
        </w:rPr>
        <w:t>Agricultural and Veterinary Chemicals (Administration) Act 1992</w:t>
      </w:r>
    </w:p>
    <w:p w14:paraId="295DC032" w14:textId="77777777" w:rsidR="00AB7545" w:rsidRPr="00BE1608" w:rsidRDefault="00AB7545" w:rsidP="00AB7545">
      <w:pPr>
        <w:keepNext/>
        <w:keepLines/>
        <w:spacing w:before="400" w:after="240" w:line="280" w:lineRule="exact"/>
        <w:outlineLvl w:val="1"/>
        <w:rPr>
          <w:rFonts w:ascii="Franklin Gothic Medium" w:eastAsiaTheme="majorEastAsia" w:hAnsi="Franklin Gothic Medium" w:cstheme="majorBidi"/>
          <w:bCs/>
          <w:iCs/>
          <w:sz w:val="24"/>
          <w:szCs w:val="26"/>
          <w:lang w:val="en-GB"/>
        </w:rPr>
      </w:pPr>
      <w:bookmarkStart w:id="29" w:name="_Toc149571854"/>
      <w:bookmarkStart w:id="30" w:name="_Toc149578176"/>
      <w:r w:rsidRPr="00BE1608">
        <w:rPr>
          <w:rFonts w:ascii="Franklin Gothic Medium" w:eastAsiaTheme="majorEastAsia" w:hAnsi="Franklin Gothic Medium" w:cstheme="majorBidi"/>
          <w:bCs/>
          <w:iCs/>
          <w:sz w:val="24"/>
          <w:szCs w:val="26"/>
          <w:lang w:val="en-GB"/>
        </w:rPr>
        <w:t>Contact info</w:t>
      </w:r>
      <w:bookmarkEnd w:id="29"/>
      <w:bookmarkEnd w:id="30"/>
      <w:r w:rsidRPr="00BE1608">
        <w:rPr>
          <w:rFonts w:ascii="Franklin Gothic Medium" w:eastAsiaTheme="majorEastAsia" w:hAnsi="Franklin Gothic Medium" w:cstheme="majorBidi"/>
          <w:bCs/>
          <w:iCs/>
          <w:sz w:val="24"/>
          <w:szCs w:val="26"/>
          <w:lang w:val="en-GB"/>
        </w:rPr>
        <w:t>rmation</w:t>
      </w:r>
    </w:p>
    <w:p w14:paraId="0CA2FAC9" w14:textId="77777777" w:rsidR="00AB7545" w:rsidRPr="00BE1608" w:rsidRDefault="00AB7545" w:rsidP="00AB7545">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BE1608">
        <w:rPr>
          <w:rFonts w:eastAsia="Arial Unicode MS" w:hAnsi="Arial Unicode MS" w:cs="Arial Unicode MS"/>
          <w:color w:val="000000"/>
          <w:szCs w:val="18"/>
          <w:u w:color="000000"/>
          <w:bdr w:val="nil"/>
          <w:lang w:val="en-GB" w:eastAsia="en-AU"/>
        </w:rPr>
        <w:t>For any enquiries or further information about this matter, please contact:</w:t>
      </w:r>
    </w:p>
    <w:p w14:paraId="0FBB349C" w14:textId="49E4F1C9" w:rsidR="00AB7545" w:rsidRPr="00D87E00" w:rsidRDefault="00AB7545" w:rsidP="00AB7545">
      <w:pPr>
        <w:pStyle w:val="GazetteContact"/>
      </w:pPr>
      <w:r w:rsidRPr="00D87E00">
        <w:t>Chemical Review</w:t>
      </w:r>
      <w:r w:rsidR="000644E1">
        <w:br/>
      </w:r>
      <w:r w:rsidRPr="00D87E00">
        <w:t>Australian Pesticides and Veterinary Medicines Authority</w:t>
      </w:r>
      <w:r w:rsidR="000644E1">
        <w:br/>
        <w:t>G</w:t>
      </w:r>
      <w:r w:rsidRPr="00D87E00">
        <w:t>PO Box 574</w:t>
      </w:r>
      <w:r w:rsidR="000644E1">
        <w:br/>
      </w:r>
      <w:r w:rsidRPr="00D87E00">
        <w:t>Canberra ACT 2601 Australia</w:t>
      </w:r>
    </w:p>
    <w:p w14:paraId="2E29741B" w14:textId="45AD4191" w:rsidR="00AB7545" w:rsidRPr="00BE1608" w:rsidRDefault="00AB7545" w:rsidP="000644E1">
      <w:pPr>
        <w:pBdr>
          <w:top w:val="nil"/>
          <w:left w:val="nil"/>
          <w:bottom w:val="nil"/>
          <w:right w:val="nil"/>
          <w:between w:val="nil"/>
          <w:bar w:val="nil"/>
        </w:pBdr>
        <w:spacing w:before="300" w:after="60"/>
        <w:rPr>
          <w:rFonts w:eastAsia="Arial Unicode MS" w:hAnsi="Arial Unicode MS" w:cs="Arial Unicode MS"/>
          <w:color w:val="000000"/>
          <w:u w:color="000000"/>
          <w:bdr w:val="nil"/>
          <w:lang w:val="en-GB" w:eastAsia="en-AU"/>
        </w:rPr>
      </w:pPr>
      <w:r w:rsidRPr="00BE1608">
        <w:rPr>
          <w:rFonts w:eastAsia="Arial Unicode MS" w:hAnsi="Arial Unicode MS" w:cs="Arial Unicode MS"/>
          <w:b/>
          <w:color w:val="000000"/>
          <w:szCs w:val="18"/>
          <w:u w:color="000000"/>
          <w:bdr w:val="nil"/>
          <w:lang w:val="en-GB" w:eastAsia="en-AU"/>
        </w:rPr>
        <w:t xml:space="preserve">Phone: </w:t>
      </w:r>
      <w:r w:rsidRPr="00BE1608">
        <w:rPr>
          <w:rFonts w:eastAsia="Arial Unicode MS" w:hAnsi="Arial Unicode MS" w:cs="Arial Unicode MS"/>
          <w:color w:val="000000"/>
          <w:szCs w:val="18"/>
          <w:u w:color="000000"/>
          <w:bdr w:val="nil"/>
          <w:lang w:val="en-GB" w:eastAsia="en-AU"/>
        </w:rPr>
        <w:t>+61</w:t>
      </w:r>
      <w:r w:rsidRPr="00BE1608">
        <w:rPr>
          <w:rFonts w:eastAsia="Arial Unicode MS" w:hAnsi="Arial Unicode MS" w:cs="Arial Unicode MS"/>
          <w:color w:val="000000"/>
          <w:szCs w:val="18"/>
          <w:u w:color="000000"/>
          <w:bdr w:val="nil"/>
          <w:lang w:eastAsia="en-AU"/>
        </w:rPr>
        <w:t xml:space="preserve"> 2 6770 2400</w:t>
      </w:r>
      <w:r w:rsidR="000644E1">
        <w:rPr>
          <w:rFonts w:eastAsia="Arial Unicode MS" w:hAnsi="Arial Unicode MS" w:cs="Arial Unicode MS"/>
          <w:color w:val="000000"/>
          <w:szCs w:val="18"/>
          <w:u w:color="000000"/>
          <w:bdr w:val="nil"/>
          <w:lang w:eastAsia="en-AU"/>
        </w:rPr>
        <w:br/>
      </w:r>
      <w:r w:rsidRPr="00BE1608">
        <w:rPr>
          <w:rFonts w:eastAsia="Arial Unicode MS" w:hAnsi="Arial Unicode MS" w:cs="Arial Unicode MS"/>
          <w:b/>
          <w:color w:val="000000"/>
          <w:szCs w:val="18"/>
          <w:u w:color="000000"/>
          <w:bdr w:val="nil"/>
          <w:lang w:val="en-GB" w:eastAsia="en-AU"/>
        </w:rPr>
        <w:t>Email</w:t>
      </w:r>
      <w:r w:rsidRPr="00BE1608">
        <w:rPr>
          <w:rFonts w:eastAsia="Arial Unicode MS" w:hAnsi="Arial Unicode MS" w:cs="Arial Unicode MS"/>
          <w:color w:val="000000"/>
          <w:szCs w:val="18"/>
          <w:u w:color="000000"/>
          <w:bdr w:val="nil"/>
          <w:lang w:val="en-GB" w:eastAsia="en-AU"/>
        </w:rPr>
        <w:t>:</w:t>
      </w:r>
      <w:r w:rsidRPr="00BE1608">
        <w:rPr>
          <w:rFonts w:eastAsia="Arial Unicode MS" w:hAnsi="Arial Unicode MS" w:cs="Arial Unicode MS"/>
          <w:b/>
          <w:color w:val="000000"/>
          <w:szCs w:val="18"/>
          <w:u w:color="000000"/>
          <w:bdr w:val="nil"/>
          <w:lang w:val="en-GB" w:eastAsia="en-AU"/>
        </w:rPr>
        <w:t xml:space="preserve"> </w:t>
      </w:r>
      <w:hyperlink r:id="rId42" w:history="1">
        <w:r w:rsidRPr="00BE1608">
          <w:rPr>
            <w:rFonts w:eastAsia="Arial Unicode MS" w:hAnsi="Arial Unicode MS" w:cs="Arial Unicode MS"/>
            <w:szCs w:val="18"/>
            <w:u w:val="single" w:color="000000"/>
            <w:bdr w:val="nil"/>
            <w:lang w:val="en-GB" w:eastAsia="en-AU"/>
          </w:rPr>
          <w:t>chemicalreview@apvma.gov.au</w:t>
        </w:r>
      </w:hyperlink>
    </w:p>
    <w:p w14:paraId="0758047B" w14:textId="77777777" w:rsidR="00AB7545" w:rsidRPr="00BE1608" w:rsidRDefault="00AB7545" w:rsidP="00AB7545">
      <w:pPr>
        <w:keepNext/>
        <w:keepLines/>
        <w:spacing w:before="400" w:after="240" w:line="280" w:lineRule="exact"/>
        <w:outlineLvl w:val="1"/>
        <w:rPr>
          <w:rFonts w:ascii="Franklin Gothic Medium" w:eastAsiaTheme="majorEastAsia" w:hAnsi="Franklin Gothic Medium" w:cstheme="majorBidi"/>
          <w:bCs/>
          <w:iCs/>
          <w:sz w:val="24"/>
          <w:szCs w:val="26"/>
          <w:lang w:val="en-GB"/>
        </w:rPr>
      </w:pPr>
      <w:r w:rsidRPr="00BE1608">
        <w:rPr>
          <w:rFonts w:ascii="Franklin Gothic Medium" w:eastAsiaTheme="majorEastAsia" w:hAnsi="Franklin Gothic Medium" w:cstheme="majorBidi"/>
          <w:bCs/>
          <w:iCs/>
          <w:sz w:val="24"/>
          <w:szCs w:val="26"/>
          <w:lang w:val="en-GB"/>
        </w:rPr>
        <w:t>Notice of merits review rights</w:t>
      </w:r>
    </w:p>
    <w:p w14:paraId="56B09FE6" w14:textId="77777777" w:rsidR="00AB7545" w:rsidRPr="00C60D37" w:rsidRDefault="00AB7545" w:rsidP="00AB7545">
      <w:pPr>
        <w:spacing w:before="120" w:after="120" w:line="280" w:lineRule="exact"/>
        <w:rPr>
          <w:rFonts w:eastAsia="Arial Unicode MS" w:hAnsi="Arial Unicode MS" w:cs="Arial Unicode MS"/>
          <w:color w:val="000000"/>
          <w:szCs w:val="18"/>
          <w:u w:color="000000"/>
          <w:bdr w:val="nil"/>
          <w:lang w:val="en-GB" w:eastAsia="en-AU"/>
        </w:rPr>
      </w:pPr>
      <w:r w:rsidRPr="00C60D37">
        <w:rPr>
          <w:rFonts w:eastAsia="Arial Unicode MS" w:hAnsi="Arial Unicode MS" w:cs="Arial Unicode MS"/>
          <w:color w:val="000000"/>
          <w:szCs w:val="18"/>
          <w:u w:color="000000"/>
          <w:bdr w:val="nil"/>
          <w:lang w:val="en-GB" w:eastAsia="en-AU"/>
        </w:rPr>
        <w:t xml:space="preserve">An application may be made to the Administrative Review Tribunal by or on behalf of a person whose interests are affected by a decision under subsections 34A(1) and section 34AA of the </w:t>
      </w:r>
      <w:proofErr w:type="spellStart"/>
      <w:r w:rsidRPr="00C60D37">
        <w:rPr>
          <w:rFonts w:eastAsia="Arial Unicode MS" w:hAnsi="Arial Unicode MS" w:cs="Arial Unicode MS"/>
          <w:color w:val="000000"/>
          <w:szCs w:val="18"/>
          <w:u w:color="000000"/>
          <w:bdr w:val="nil"/>
          <w:lang w:val="en-GB" w:eastAsia="en-AU"/>
        </w:rPr>
        <w:t>Agvet</w:t>
      </w:r>
      <w:proofErr w:type="spellEnd"/>
      <w:r w:rsidRPr="00C60D37">
        <w:rPr>
          <w:rFonts w:eastAsia="Arial Unicode MS" w:hAnsi="Arial Unicode MS" w:cs="Arial Unicode MS"/>
          <w:color w:val="000000"/>
          <w:szCs w:val="18"/>
          <w:u w:color="000000"/>
          <w:bdr w:val="nil"/>
          <w:lang w:val="en-GB" w:eastAsia="en-AU"/>
        </w:rPr>
        <w:t xml:space="preserve"> Code. </w:t>
      </w:r>
    </w:p>
    <w:p w14:paraId="50F323C1" w14:textId="77777777" w:rsidR="00AB7545" w:rsidRPr="00C60D37" w:rsidRDefault="00AB7545" w:rsidP="00AB7545">
      <w:pPr>
        <w:spacing w:before="120" w:after="120" w:line="280" w:lineRule="exact"/>
        <w:rPr>
          <w:rFonts w:eastAsia="Arial Unicode MS" w:hAnsi="Arial Unicode MS" w:cs="Arial Unicode MS"/>
          <w:color w:val="000000"/>
          <w:szCs w:val="18"/>
          <w:u w:color="000000"/>
          <w:bdr w:val="nil"/>
          <w:lang w:val="en-GB" w:eastAsia="en-AU"/>
        </w:rPr>
        <w:sectPr w:rsidR="00AB7545" w:rsidRPr="00C60D37" w:rsidSect="00AB7545">
          <w:headerReference w:type="even" r:id="rId43"/>
          <w:headerReference w:type="default" r:id="rId44"/>
          <w:footerReference w:type="even" r:id="rId45"/>
          <w:footerReference w:type="default" r:id="rId46"/>
          <w:pgSz w:w="11906" w:h="16838"/>
          <w:pgMar w:top="1440" w:right="1134" w:bottom="1440" w:left="1134" w:header="680" w:footer="737" w:gutter="0"/>
          <w:cols w:space="708"/>
          <w:docGrid w:linePitch="360"/>
        </w:sectPr>
      </w:pPr>
      <w:r w:rsidRPr="00C60D37">
        <w:rPr>
          <w:rFonts w:eastAsia="Arial Unicode MS" w:hAnsi="Arial Unicode MS" w:cs="Arial Unicode MS"/>
          <w:color w:val="000000"/>
          <w:szCs w:val="18"/>
          <w:u w:color="000000"/>
          <w:bdr w:val="nil"/>
          <w:lang w:val="en-GB" w:eastAsia="en-AU"/>
        </w:rPr>
        <w:t>Subject to the Administrative Review Tribunal Act 2024, a person whose interests are affected by this decision may also make an application to the ART for a review of this decision. A person whose interest are affected by this decision may also, in accordance with the Administrative Review Tribunal Act 2024, make an application to receive a statement of reasons for this decision.</w:t>
      </w:r>
    </w:p>
    <w:p w14:paraId="1AAF7DDB" w14:textId="77777777" w:rsidR="00AB7545" w:rsidRDefault="00AB7545" w:rsidP="000644E1">
      <w:pPr>
        <w:pStyle w:val="GazetteHeading1"/>
      </w:pPr>
      <w:bookmarkStart w:id="31" w:name="_Toc206168167"/>
      <w:r w:rsidRPr="00A65DF1">
        <w:lastRenderedPageBreak/>
        <w:t>Notice of cancellation under section 45A of the Agricultural and Veterinary Chemicals Code</w:t>
      </w:r>
      <w:r w:rsidRPr="008732C5">
        <w:t xml:space="preserve">: </w:t>
      </w:r>
      <w:r>
        <w:t>fenitrothion</w:t>
      </w:r>
      <w:r w:rsidRPr="008732C5">
        <w:t xml:space="preserve"> reconsideration</w:t>
      </w:r>
      <w:bookmarkEnd w:id="31"/>
      <w:r w:rsidRPr="008732C5">
        <w:t xml:space="preserve"> </w:t>
      </w:r>
    </w:p>
    <w:p w14:paraId="597BECC2" w14:textId="3542AB6D" w:rsidR="00AB7545" w:rsidRPr="00A65DF1" w:rsidRDefault="00AB7545" w:rsidP="00AB7545">
      <w:pPr>
        <w:numPr>
          <w:ilvl w:val="0"/>
          <w:numId w:val="3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A65DF1">
        <w:rPr>
          <w:rFonts w:eastAsia="Arial Unicode MS" w:hAnsi="Arial Unicode MS" w:cs="Arial Unicode MS"/>
          <w:color w:val="000000"/>
          <w:szCs w:val="18"/>
          <w:u w:color="000000"/>
          <w:bdr w:val="nil"/>
          <w:lang w:val="en-GB" w:eastAsia="en-AU"/>
        </w:rPr>
        <w:t>I, Sheila Logan, Executive Director, Risk Assessment Capability, pursuant to section 45A of the Agricultural and Veterinary Chemicals Code scheduled to the Agricultural and Veterinary Chemicals Code Act 1994 (</w:t>
      </w:r>
      <w:proofErr w:type="spellStart"/>
      <w:r w:rsidRPr="00A65DF1">
        <w:rPr>
          <w:rFonts w:eastAsia="Arial Unicode MS" w:hAnsi="Arial Unicode MS" w:cs="Arial Unicode MS"/>
          <w:color w:val="000000"/>
          <w:szCs w:val="18"/>
          <w:u w:color="000000"/>
          <w:bdr w:val="nil"/>
          <w:lang w:val="en-GB" w:eastAsia="en-AU"/>
        </w:rPr>
        <w:t>Agvet</w:t>
      </w:r>
      <w:proofErr w:type="spellEnd"/>
      <w:r w:rsidRPr="00A65DF1">
        <w:rPr>
          <w:rFonts w:eastAsia="Arial Unicode MS" w:hAnsi="Arial Unicode MS" w:cs="Arial Unicode MS"/>
          <w:color w:val="000000"/>
          <w:szCs w:val="18"/>
          <w:u w:color="000000"/>
          <w:bdr w:val="nil"/>
          <w:lang w:val="en-GB" w:eastAsia="en-AU"/>
        </w:rPr>
        <w:t xml:space="preserve"> Code), hereby publish notice that I have cancelled the </w:t>
      </w:r>
      <w:r>
        <w:rPr>
          <w:rFonts w:eastAsia="Arial Unicode MS" w:hAnsi="Arial Unicode MS" w:cs="Arial Unicode MS"/>
          <w:color w:val="000000"/>
          <w:szCs w:val="18"/>
          <w:u w:color="000000"/>
          <w:bdr w:val="nil"/>
          <w:lang w:val="en-GB" w:eastAsia="en-AU"/>
        </w:rPr>
        <w:t>fenitrothion</w:t>
      </w:r>
      <w:r w:rsidRPr="00A65DF1">
        <w:rPr>
          <w:rFonts w:eastAsia="Arial Unicode MS" w:hAnsi="Arial Unicode MS" w:cs="Arial Unicode MS"/>
          <w:color w:val="000000"/>
          <w:szCs w:val="18"/>
          <w:u w:color="000000"/>
          <w:bdr w:val="nil"/>
          <w:lang w:val="en-GB" w:eastAsia="en-AU"/>
        </w:rPr>
        <w:t xml:space="preserve"> product registration and label approval listed in Table 3 of this notice.</w:t>
      </w:r>
    </w:p>
    <w:p w14:paraId="0236C325" w14:textId="4C63AFCA" w:rsidR="00AB7545" w:rsidRPr="00A65DF1" w:rsidRDefault="00AB7545" w:rsidP="00AB7545">
      <w:pPr>
        <w:numPr>
          <w:ilvl w:val="0"/>
          <w:numId w:val="35"/>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A65DF1">
        <w:rPr>
          <w:rFonts w:eastAsia="Arial Unicode MS" w:hAnsi="Arial Unicode MS" w:cs="Arial Unicode MS"/>
          <w:color w:val="000000"/>
          <w:szCs w:val="18"/>
          <w:u w:color="000000"/>
          <w:bdr w:val="nil"/>
          <w:lang w:val="en-GB" w:eastAsia="en-AU"/>
        </w:rPr>
        <w:t xml:space="preserve">The approval and registration listed in Table 3 have been cancelled pursuant to section 34AA(1) of the </w:t>
      </w:r>
      <w:proofErr w:type="spellStart"/>
      <w:r w:rsidRPr="00A65DF1">
        <w:rPr>
          <w:rFonts w:eastAsia="Arial Unicode MS" w:hAnsi="Arial Unicode MS" w:cs="Arial Unicode MS"/>
          <w:color w:val="000000"/>
          <w:szCs w:val="18"/>
          <w:u w:color="000000"/>
          <w:bdr w:val="nil"/>
          <w:lang w:val="en-GB" w:eastAsia="en-AU"/>
        </w:rPr>
        <w:t>Agvet</w:t>
      </w:r>
      <w:proofErr w:type="spellEnd"/>
      <w:r w:rsidRPr="00A65DF1">
        <w:rPr>
          <w:rFonts w:eastAsia="Arial Unicode MS" w:hAnsi="Arial Unicode MS" w:cs="Arial Unicode MS"/>
          <w:color w:val="000000"/>
          <w:szCs w:val="18"/>
          <w:u w:color="000000"/>
          <w:bdr w:val="nil"/>
          <w:lang w:val="en-GB" w:eastAsia="en-AU"/>
        </w:rPr>
        <w:t xml:space="preserve"> Code because I am not satisfied that the chemical product meet</w:t>
      </w:r>
      <w:r>
        <w:rPr>
          <w:rFonts w:eastAsia="Arial Unicode MS" w:hAnsi="Arial Unicode MS" w:cs="Arial Unicode MS"/>
          <w:color w:val="000000"/>
          <w:szCs w:val="18"/>
          <w:u w:color="000000"/>
          <w:bdr w:val="nil"/>
          <w:lang w:val="en-GB" w:eastAsia="en-AU"/>
        </w:rPr>
        <w:t>s</w:t>
      </w:r>
      <w:r w:rsidRPr="00A65DF1">
        <w:rPr>
          <w:rFonts w:eastAsia="Arial Unicode MS" w:hAnsi="Arial Unicode MS" w:cs="Arial Unicode MS"/>
          <w:color w:val="000000"/>
          <w:szCs w:val="18"/>
          <w:u w:color="000000"/>
          <w:bdr w:val="nil"/>
          <w:lang w:val="en-GB" w:eastAsia="en-AU"/>
        </w:rPr>
        <w:t xml:space="preserve"> the safety criteria, and I am not satisfied that the label meet</w:t>
      </w:r>
      <w:r>
        <w:rPr>
          <w:rFonts w:eastAsia="Arial Unicode MS" w:hAnsi="Arial Unicode MS" w:cs="Arial Unicode MS"/>
          <w:color w:val="000000"/>
          <w:szCs w:val="18"/>
          <w:u w:color="000000"/>
          <w:bdr w:val="nil"/>
          <w:lang w:val="en-GB" w:eastAsia="en-AU"/>
        </w:rPr>
        <w:t>s</w:t>
      </w:r>
      <w:r w:rsidRPr="00A65DF1">
        <w:rPr>
          <w:rFonts w:eastAsia="Arial Unicode MS" w:hAnsi="Arial Unicode MS" w:cs="Arial Unicode MS"/>
          <w:color w:val="000000"/>
          <w:szCs w:val="18"/>
          <w:u w:color="000000"/>
          <w:bdr w:val="nil"/>
          <w:lang w:val="en-GB" w:eastAsia="en-AU"/>
        </w:rPr>
        <w:t xml:space="preserve"> the labelling criteria. Further, I am not satisfied that the particulars or conditions of these approval and registration could be varied in such a way that would allow the approval and registration to be affirmed.</w:t>
      </w:r>
    </w:p>
    <w:p w14:paraId="09E90ECD" w14:textId="3332279F" w:rsidR="00AB7545" w:rsidRDefault="00AB7545" w:rsidP="00AB7545">
      <w:pPr>
        <w:pStyle w:val="StatementofReasonsTableCaption"/>
      </w:pPr>
      <w:r>
        <w:t xml:space="preserve">Table </w:t>
      </w:r>
      <w:r>
        <w:fldChar w:fldCharType="begin"/>
      </w:r>
      <w:r>
        <w:instrText xml:space="preserve"> SEQ Table_A \* ARABIC </w:instrText>
      </w:r>
      <w:r>
        <w:fldChar w:fldCharType="separate"/>
      </w:r>
      <w:r w:rsidR="00365304">
        <w:rPr>
          <w:noProof/>
        </w:rPr>
        <w:t>3</w:t>
      </w:r>
      <w:r>
        <w:rPr>
          <w:noProof/>
        </w:rPr>
        <w:fldChar w:fldCharType="end"/>
      </w:r>
      <w:r>
        <w:t>:</w:t>
      </w:r>
      <w:r w:rsidRPr="0079326E">
        <w:t xml:space="preserve"> </w:t>
      </w:r>
      <w:r>
        <w:t>Fenitrothion</w:t>
      </w:r>
      <w:r w:rsidRPr="00102023">
        <w:t xml:space="preserve"> product registrations and label approvals cancelled pursuant to section 34AA(1) of the </w:t>
      </w:r>
      <w:proofErr w:type="spellStart"/>
      <w:r w:rsidRPr="00102023">
        <w:t>Agvet</w:t>
      </w:r>
      <w:proofErr w:type="spellEnd"/>
      <w:r w:rsidRPr="00102023">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99"/>
        <w:gridCol w:w="1099"/>
        <w:gridCol w:w="1766"/>
        <w:gridCol w:w="1793"/>
        <w:gridCol w:w="1895"/>
        <w:gridCol w:w="1976"/>
      </w:tblGrid>
      <w:tr w:rsidR="00AB7545" w:rsidRPr="008D12AF" w14:paraId="4AE3BFE6" w14:textId="77777777" w:rsidTr="000644E1">
        <w:trPr>
          <w:tblHeader/>
        </w:trPr>
        <w:tc>
          <w:tcPr>
            <w:tcW w:w="571" w:type="pct"/>
            <w:shd w:val="clear" w:color="auto" w:fill="D9D9D9" w:themeFill="background1" w:themeFillShade="D9"/>
          </w:tcPr>
          <w:p w14:paraId="4CE99655" w14:textId="77777777" w:rsidR="00AB7545" w:rsidRPr="008D12AF" w:rsidRDefault="00AB7545" w:rsidP="001177C6">
            <w:pPr>
              <w:pStyle w:val="GazetteTableHeading"/>
            </w:pPr>
            <w:r>
              <w:t xml:space="preserve">Type </w:t>
            </w:r>
            <w:r w:rsidRPr="005317C3">
              <w:t>of approval or registration</w:t>
            </w:r>
          </w:p>
        </w:tc>
        <w:tc>
          <w:tcPr>
            <w:tcW w:w="571" w:type="pct"/>
            <w:shd w:val="clear" w:color="auto" w:fill="D9D9D9" w:themeFill="background1" w:themeFillShade="D9"/>
          </w:tcPr>
          <w:p w14:paraId="38390CC4" w14:textId="77777777" w:rsidR="00AB7545" w:rsidRPr="008D12AF" w:rsidRDefault="00AB7545" w:rsidP="001177C6">
            <w:pPr>
              <w:pStyle w:val="GazetteTableHeading"/>
            </w:pPr>
            <w:r w:rsidRPr="008D12AF">
              <w:t>Approval or registration number</w:t>
            </w:r>
          </w:p>
        </w:tc>
        <w:tc>
          <w:tcPr>
            <w:tcW w:w="917" w:type="pct"/>
            <w:shd w:val="clear" w:color="auto" w:fill="D9D9D9" w:themeFill="background1" w:themeFillShade="D9"/>
          </w:tcPr>
          <w:p w14:paraId="7FAB9A35" w14:textId="77777777" w:rsidR="00AB7545" w:rsidRPr="008D12AF" w:rsidRDefault="00AB7545" w:rsidP="001177C6">
            <w:pPr>
              <w:pStyle w:val="GazetteTableHeading"/>
            </w:pPr>
            <w:r>
              <w:t>N</w:t>
            </w:r>
            <w:r w:rsidRPr="008D12AF">
              <w:t>ame</w:t>
            </w:r>
          </w:p>
        </w:tc>
        <w:tc>
          <w:tcPr>
            <w:tcW w:w="931" w:type="pct"/>
            <w:shd w:val="clear" w:color="auto" w:fill="D9D9D9" w:themeFill="background1" w:themeFillShade="D9"/>
          </w:tcPr>
          <w:p w14:paraId="7547EFBE" w14:textId="77777777" w:rsidR="00AB7545" w:rsidRPr="008D12AF" w:rsidRDefault="00AB7545" w:rsidP="001177C6">
            <w:pPr>
              <w:pStyle w:val="GazetteTableHeading"/>
            </w:pPr>
            <w:r w:rsidRPr="008D12AF">
              <w:t>Holder</w:t>
            </w:r>
          </w:p>
        </w:tc>
        <w:tc>
          <w:tcPr>
            <w:tcW w:w="984" w:type="pct"/>
            <w:shd w:val="clear" w:color="auto" w:fill="D9D9D9" w:themeFill="background1" w:themeFillShade="D9"/>
          </w:tcPr>
          <w:p w14:paraId="63C53C0A" w14:textId="77777777" w:rsidR="00AB7545" w:rsidRPr="008D12AF" w:rsidRDefault="00AB7545" w:rsidP="001177C6">
            <w:pPr>
              <w:pStyle w:val="GazetteTableHeading"/>
            </w:pPr>
            <w:r w:rsidRPr="00102023">
              <w:t>Label approval number associated with the registered product</w:t>
            </w:r>
          </w:p>
        </w:tc>
        <w:tc>
          <w:tcPr>
            <w:tcW w:w="1026" w:type="pct"/>
            <w:shd w:val="clear" w:color="auto" w:fill="D9D9D9" w:themeFill="background1" w:themeFillShade="D9"/>
          </w:tcPr>
          <w:p w14:paraId="209D3AC1" w14:textId="77777777" w:rsidR="00AB7545" w:rsidRPr="00102023" w:rsidRDefault="00AB7545" w:rsidP="001177C6">
            <w:pPr>
              <w:pStyle w:val="GazetteTableHeading"/>
            </w:pPr>
            <w:r>
              <w:t>Date of cancellation</w:t>
            </w:r>
          </w:p>
        </w:tc>
      </w:tr>
      <w:tr w:rsidR="00AB7545" w14:paraId="40EF6C20" w14:textId="77777777" w:rsidTr="000644E1">
        <w:tc>
          <w:tcPr>
            <w:tcW w:w="571" w:type="pct"/>
          </w:tcPr>
          <w:p w14:paraId="1E45C6D4" w14:textId="77777777" w:rsidR="00AB7545" w:rsidRPr="000E5346" w:rsidRDefault="00AB7545" w:rsidP="001177C6">
            <w:pPr>
              <w:pStyle w:val="GazetteTableText"/>
              <w:rPr>
                <w:lang w:eastAsia="en-US"/>
              </w:rPr>
            </w:pPr>
            <w:r w:rsidRPr="000E5346">
              <w:t>Product</w:t>
            </w:r>
          </w:p>
        </w:tc>
        <w:tc>
          <w:tcPr>
            <w:tcW w:w="571" w:type="pct"/>
            <w:shd w:val="clear" w:color="auto" w:fill="auto"/>
          </w:tcPr>
          <w:p w14:paraId="75E9788C" w14:textId="77777777" w:rsidR="00AB7545" w:rsidRPr="000E5346" w:rsidRDefault="00AB7545" w:rsidP="001177C6">
            <w:pPr>
              <w:pStyle w:val="GazetteTableText"/>
              <w:rPr>
                <w:lang w:eastAsia="en-US"/>
              </w:rPr>
            </w:pPr>
            <w:r w:rsidRPr="000E5346">
              <w:t>50774</w:t>
            </w:r>
          </w:p>
        </w:tc>
        <w:tc>
          <w:tcPr>
            <w:tcW w:w="917" w:type="pct"/>
            <w:shd w:val="clear" w:color="auto" w:fill="auto"/>
          </w:tcPr>
          <w:p w14:paraId="18C28248" w14:textId="77777777" w:rsidR="00AB7545" w:rsidRPr="000E5346" w:rsidRDefault="00AB7545" w:rsidP="001177C6">
            <w:pPr>
              <w:pStyle w:val="GazetteTableText"/>
              <w:rPr>
                <w:lang w:eastAsia="en-US"/>
              </w:rPr>
            </w:pPr>
            <w:r w:rsidRPr="000E5346">
              <w:t xml:space="preserve">Sumitomo </w:t>
            </w:r>
            <w:proofErr w:type="spellStart"/>
            <w:r w:rsidRPr="000E5346">
              <w:t>Sumithion</w:t>
            </w:r>
            <w:proofErr w:type="spellEnd"/>
            <w:r w:rsidRPr="000E5346">
              <w:t xml:space="preserve"> ULV Premium Grade Insecticide</w:t>
            </w:r>
          </w:p>
        </w:tc>
        <w:tc>
          <w:tcPr>
            <w:tcW w:w="931" w:type="pct"/>
          </w:tcPr>
          <w:p w14:paraId="790CBB86" w14:textId="77777777" w:rsidR="00AB7545" w:rsidRPr="000E5346" w:rsidRDefault="00AB7545" w:rsidP="001177C6">
            <w:pPr>
              <w:pStyle w:val="GazetteTableText"/>
              <w:rPr>
                <w:lang w:eastAsia="en-US"/>
              </w:rPr>
            </w:pPr>
            <w:r w:rsidRPr="000E5346">
              <w:t>Sumitomo Chemical Australia Pty Ltd</w:t>
            </w:r>
          </w:p>
        </w:tc>
        <w:tc>
          <w:tcPr>
            <w:tcW w:w="984" w:type="pct"/>
            <w:shd w:val="clear" w:color="auto" w:fill="auto"/>
          </w:tcPr>
          <w:p w14:paraId="78830CCC" w14:textId="77777777" w:rsidR="00AB7545" w:rsidRPr="000E5346" w:rsidRDefault="00AB7545" w:rsidP="001177C6">
            <w:pPr>
              <w:pStyle w:val="GazetteTableText"/>
              <w:rPr>
                <w:lang w:eastAsia="en-US"/>
              </w:rPr>
            </w:pPr>
            <w:r w:rsidRPr="000E5346">
              <w:rPr>
                <w:lang w:eastAsia="en-US"/>
              </w:rPr>
              <w:t>50774/0500</w:t>
            </w:r>
          </w:p>
        </w:tc>
        <w:tc>
          <w:tcPr>
            <w:tcW w:w="1026" w:type="pct"/>
          </w:tcPr>
          <w:p w14:paraId="568ED788" w14:textId="77777777" w:rsidR="00AB7545" w:rsidRPr="009E15AB" w:rsidRDefault="00AB7545" w:rsidP="001177C6">
            <w:pPr>
              <w:pStyle w:val="GazetteTableText"/>
              <w:rPr>
                <w:lang w:eastAsia="en-US"/>
              </w:rPr>
            </w:pPr>
            <w:r w:rsidRPr="009E15AB">
              <w:rPr>
                <w:lang w:eastAsia="en-US"/>
              </w:rPr>
              <w:t>15 August 2025</w:t>
            </w:r>
          </w:p>
        </w:tc>
      </w:tr>
    </w:tbl>
    <w:p w14:paraId="3C13DACC" w14:textId="77777777" w:rsidR="00AB7545" w:rsidRPr="000644E1" w:rsidRDefault="00AB7545" w:rsidP="000644E1">
      <w:pPr>
        <w:pStyle w:val="GazetteHeading2"/>
      </w:pPr>
      <w:bookmarkStart w:id="32" w:name="_Hlk204344034"/>
      <w:r w:rsidRPr="000644E1">
        <w:t>Brief reasons for decisions</w:t>
      </w:r>
    </w:p>
    <w:bookmarkEnd w:id="32"/>
    <w:p w14:paraId="60BD8F69" w14:textId="77777777" w:rsidR="00AB7545" w:rsidRPr="0073130F" w:rsidRDefault="00AB7545" w:rsidP="00AB7545">
      <w:pPr>
        <w:pStyle w:val="StatementofReasonsLevel1"/>
      </w:pPr>
      <w:r w:rsidRPr="0073130F">
        <w:t xml:space="preserve">The APVMA gave notice of the proposed regulatory decision for the reconsideration of fenitrothion active constituent approvals, chemical product registrations, and label approvals to all holders of active constituent approvals, product registrations and label approvals relating to fenitrothion, under Part 2, Division 4 of the </w:t>
      </w:r>
      <w:proofErr w:type="spellStart"/>
      <w:r w:rsidRPr="0073130F">
        <w:t>Agvet</w:t>
      </w:r>
      <w:proofErr w:type="spellEnd"/>
      <w:r w:rsidRPr="0073130F">
        <w:t xml:space="preserve"> Code on 9 April 2024. The proposed regulatory decision was subject to a 3-month public consultation.</w:t>
      </w:r>
    </w:p>
    <w:p w14:paraId="63339E09" w14:textId="5B7E12F7" w:rsidR="00AB7545" w:rsidRPr="0073130F" w:rsidRDefault="00AB7545" w:rsidP="00AB7545">
      <w:pPr>
        <w:pStyle w:val="StatementofReasonsLevel1"/>
      </w:pPr>
      <w:r w:rsidRPr="0073130F">
        <w:t>The APVMA received 9 written submissions on the fenitrothion proposed regulatory decisions, 3 of which the APVMA received permission to publish. The APVMA</w:t>
      </w:r>
      <w:r w:rsidRPr="0073130F">
        <w:t>’</w:t>
      </w:r>
      <w:r w:rsidRPr="0073130F">
        <w:t xml:space="preserve">s expert staff have considered all written submissions received and updated, where appropriate, the technical and scientific assessments of the hazards and risks associated with fenitrothion approvals and registrations in the </w:t>
      </w:r>
      <w:hyperlink r:id="rId47" w:history="1">
        <w:r w:rsidRPr="005E09EF">
          <w:rPr>
            <w:rStyle w:val="Hyperlink"/>
          </w:rPr>
          <w:t>Fenitrothion Final Review Technical Report</w:t>
        </w:r>
      </w:hyperlink>
      <w:r w:rsidRPr="0073130F">
        <w:t>.</w:t>
      </w:r>
    </w:p>
    <w:p w14:paraId="4E42B8E1" w14:textId="77777777" w:rsidR="00AB7545" w:rsidRPr="0073130F" w:rsidRDefault="00AB7545" w:rsidP="00AB7545">
      <w:pPr>
        <w:pStyle w:val="StatementofReasonsLevel1"/>
      </w:pPr>
      <w:r>
        <w:t>I have</w:t>
      </w:r>
      <w:r w:rsidRPr="0073130F">
        <w:t xml:space="preserve"> reviewed that Report in detail, considered its methodology and the evidence on which it is based, and agree with its conclusions. </w:t>
      </w:r>
      <w:r>
        <w:t>I have</w:t>
      </w:r>
      <w:r w:rsidRPr="0073130F">
        <w:t xml:space="preserve"> had regard to all submissions received in response to the public consultation on the fenitrothion proposed regulatory decisions, and the updated technical and scientific assessment in the Fenitrothion Final Review Technical Report, before making this decision. This final regulatory decision reflects both the revised material findings of facts from those previously made in the published proposed decision, and the revised reasons for this final regulatory decision.</w:t>
      </w:r>
    </w:p>
    <w:p w14:paraId="70BB6202" w14:textId="77777777" w:rsidR="00AB7545" w:rsidRPr="00F41649" w:rsidRDefault="00AB7545" w:rsidP="00AB7545">
      <w:pPr>
        <w:pStyle w:val="StatementofReasonsLevel1"/>
      </w:pPr>
      <w:r w:rsidRPr="00F41649">
        <w:t>In the proposed regulatory decision, the use of fenitrothion to control locust and grasshopper pests on field crops was not supported due to risks to non-target species that could not be mitigated. Additional data supplied during the consultation period allowed revision of the environment assessment, which determined that some of the risks to non-target species posed by fenitrothion use could be mitigated by removal of instructions for use in specific crops</w:t>
      </w:r>
      <w:r>
        <w:t>.</w:t>
      </w:r>
      <w:r w:rsidRPr="00F41649">
        <w:t xml:space="preserve"> </w:t>
      </w:r>
    </w:p>
    <w:p w14:paraId="5FABD17F" w14:textId="77777777" w:rsidR="00AB7545" w:rsidRPr="0073130F" w:rsidRDefault="00AB7545" w:rsidP="00AB7545">
      <w:pPr>
        <w:pStyle w:val="StatementofReasonsLevel1"/>
      </w:pPr>
      <w:r>
        <w:t xml:space="preserve">I have regard to the results of the </w:t>
      </w:r>
      <w:r w:rsidRPr="0073130F">
        <w:t xml:space="preserve">spray drift </w:t>
      </w:r>
      <w:r>
        <w:t xml:space="preserve">risk assessment and </w:t>
      </w:r>
      <w:r w:rsidRPr="0073130F">
        <w:t>considered whether the risk posed to sensitive areas by downwind spray drift could be mitigated by additional instructions and restraints</w:t>
      </w:r>
      <w:r>
        <w:t>.</w:t>
      </w:r>
      <w:r w:rsidRPr="0073130F">
        <w:t xml:space="preserve"> </w:t>
      </w:r>
      <w:r>
        <w:t>I concluded that t</w:t>
      </w:r>
      <w:r w:rsidRPr="0073130F">
        <w:t>he instructions for use for ultra-low (UL) volume fenitrothion products could not be varied as buffer zones for sensitive aquatic areas were either impractically large for ground application, or could not be established for aerial application, as they exceeded the limits of the model (greater than 2999m).</w:t>
      </w:r>
    </w:p>
    <w:p w14:paraId="5D90EF32" w14:textId="7AD36814" w:rsidR="00AB7545" w:rsidRPr="0073130F" w:rsidRDefault="00AB7545" w:rsidP="00AB7545">
      <w:pPr>
        <w:pStyle w:val="StatementofReasonsLevel1"/>
      </w:pPr>
      <w:r>
        <w:lastRenderedPageBreak/>
        <w:t>I</w:t>
      </w:r>
      <w:r w:rsidRPr="0073130F">
        <w:t xml:space="preserve"> consider that the risks to sensitive aquatic areas associated with the use of UL fenitrothion cannot be mitigated as the instructions for use concerning spray drift could not be varied in such a way to meet the safety criteria. As application to cereal crops and grazing sorghum was the only remaining use pattern supported by all other risks areas for the sole fenitrothion product formulated as UL (50774), </w:t>
      </w:r>
      <w:r>
        <w:t xml:space="preserve">I do </w:t>
      </w:r>
      <w:r w:rsidRPr="0073130F">
        <w:t>not consider that the instructions for use of the product can be varied in such a way to meet the safety criteria and therefore the registration of the product cannot be affirmed.</w:t>
      </w:r>
    </w:p>
    <w:p w14:paraId="1C3526E2" w14:textId="77777777" w:rsidR="00AB7545" w:rsidRPr="0073130F" w:rsidRDefault="00AB7545" w:rsidP="00AB7545">
      <w:pPr>
        <w:pStyle w:val="StatementofReasonsLevel1"/>
      </w:pPr>
      <w:r w:rsidRPr="0073130F">
        <w:t>Therefore:</w:t>
      </w:r>
    </w:p>
    <w:p w14:paraId="3E217E26" w14:textId="5B0C9869" w:rsidR="00AB7545" w:rsidRPr="0073130F" w:rsidRDefault="00AB7545" w:rsidP="00AB7545">
      <w:pPr>
        <w:pStyle w:val="StatementofReasonsLevel2"/>
      </w:pPr>
      <w:r>
        <w:t>I am</w:t>
      </w:r>
      <w:r w:rsidRPr="0073130F">
        <w:t xml:space="preserve"> </w:t>
      </w:r>
      <w:r w:rsidRPr="0073130F">
        <w:rPr>
          <w:b/>
          <w:bCs/>
        </w:rPr>
        <w:t xml:space="preserve">not satisfied </w:t>
      </w:r>
      <w:r w:rsidRPr="0073130F">
        <w:t xml:space="preserve">that the fenitrothion chemical product registration listed in Table </w:t>
      </w:r>
      <w:r>
        <w:t>3</w:t>
      </w:r>
      <w:r w:rsidRPr="0073130F">
        <w:t xml:space="preserve"> meets the safety criteria and is not satisfied that the particulars or conditions of this registration could be varied in such a way to allow the registration to be affirmed.</w:t>
      </w:r>
    </w:p>
    <w:p w14:paraId="25F14DAD" w14:textId="7C388D22" w:rsidR="00AB7545" w:rsidRPr="0073130F" w:rsidRDefault="00AB7545" w:rsidP="00AB7545">
      <w:pPr>
        <w:pStyle w:val="StatementofReasonsLevel2"/>
      </w:pPr>
      <w:r>
        <w:t>I am</w:t>
      </w:r>
      <w:r w:rsidRPr="0073130F">
        <w:t xml:space="preserve"> </w:t>
      </w:r>
      <w:r w:rsidRPr="0073130F">
        <w:rPr>
          <w:b/>
          <w:bCs/>
        </w:rPr>
        <w:t xml:space="preserve">not satisfied </w:t>
      </w:r>
      <w:r w:rsidRPr="0073130F">
        <w:t>that the associated label approval meets the labelling criteria and is not satisfied that the particulars or conditions of the approval could be varied in such a way to allow the approvals to be affirmed.</w:t>
      </w:r>
    </w:p>
    <w:p w14:paraId="353D9F78" w14:textId="77777777" w:rsidR="00AB7545" w:rsidRPr="0073130F" w:rsidRDefault="00AB7545" w:rsidP="00AB7545">
      <w:pPr>
        <w:pStyle w:val="StatementofReasonsLevel2"/>
      </w:pPr>
      <w:r>
        <w:t>P</w:t>
      </w:r>
      <w:r w:rsidRPr="0073130F">
        <w:t xml:space="preserve">ursuant to section 34AA(1) of the </w:t>
      </w:r>
      <w:proofErr w:type="spellStart"/>
      <w:r w:rsidRPr="0073130F">
        <w:t>Agvet</w:t>
      </w:r>
      <w:proofErr w:type="spellEnd"/>
      <w:r w:rsidRPr="0073130F">
        <w:t xml:space="preserve"> Code,</w:t>
      </w:r>
      <w:r>
        <w:t xml:space="preserve"> I</w:t>
      </w:r>
      <w:r w:rsidRPr="0073130F">
        <w:t xml:space="preserve"> ha</w:t>
      </w:r>
      <w:r>
        <w:t>ve</w:t>
      </w:r>
      <w:r w:rsidRPr="0073130F">
        <w:t xml:space="preserve"> cancelled the product registration and associated label approval listed in Table </w:t>
      </w:r>
      <w:r>
        <w:t>3</w:t>
      </w:r>
      <w:r w:rsidRPr="0073130F">
        <w:t xml:space="preserve"> of this notice.</w:t>
      </w:r>
    </w:p>
    <w:p w14:paraId="181B8C39" w14:textId="77777777" w:rsidR="00AB7545" w:rsidRDefault="00AB7545" w:rsidP="000644E1">
      <w:pPr>
        <w:pStyle w:val="GazetteHeading2"/>
      </w:pPr>
      <w:r>
        <w:t xml:space="preserve">Deemed permit and </w:t>
      </w:r>
      <w:r w:rsidRPr="000644E1">
        <w:t>instructions</w:t>
      </w:r>
    </w:p>
    <w:p w14:paraId="73DF2113" w14:textId="77777777" w:rsidR="00AB7545" w:rsidRPr="00D87E00" w:rsidRDefault="00AB7545" w:rsidP="00AB7545">
      <w:pPr>
        <w:pStyle w:val="NormalText"/>
        <w:rPr>
          <w:sz w:val="18"/>
          <w:szCs w:val="18"/>
        </w:rPr>
      </w:pPr>
      <w:r w:rsidRPr="00D87E00">
        <w:rPr>
          <w:sz w:val="18"/>
          <w:szCs w:val="18"/>
        </w:rPr>
        <w:t xml:space="preserve">Instructions for persons who possess, have custody of or use the cancelled product, or the product bearing a cancelled label are outlined under section 45B(3) of the </w:t>
      </w:r>
      <w:proofErr w:type="spellStart"/>
      <w:r w:rsidRPr="00D87E00">
        <w:rPr>
          <w:sz w:val="18"/>
          <w:szCs w:val="18"/>
        </w:rPr>
        <w:t>Agvet</w:t>
      </w:r>
      <w:proofErr w:type="spellEnd"/>
      <w:r w:rsidRPr="00D87E00">
        <w:rPr>
          <w:sz w:val="18"/>
          <w:szCs w:val="18"/>
        </w:rPr>
        <w:t xml:space="preserve"> Code.</w:t>
      </w:r>
    </w:p>
    <w:p w14:paraId="5204C2D9" w14:textId="1175EFA1" w:rsidR="00AB7545" w:rsidRPr="00D87E00" w:rsidRDefault="00AB7545" w:rsidP="00AB7545">
      <w:pPr>
        <w:pStyle w:val="GazetteNormalText"/>
      </w:pPr>
      <w:r w:rsidRPr="00D87E00">
        <w:t xml:space="preserve">A person who possesses, has custody of or uses the cancelled product or product bearing a cancelled label referred to in Table </w:t>
      </w:r>
      <w:r>
        <w:t>3</w:t>
      </w:r>
      <w:r w:rsidRPr="00D87E00">
        <w:rPr>
          <w:rFonts w:ascii="Helvetica Neue" w:hAnsi="Helvetica Neue"/>
        </w:rPr>
        <w:t xml:space="preserve"> </w:t>
      </w:r>
      <w:r w:rsidRPr="00D87E00">
        <w:t xml:space="preserve">in accordance with the instructions contained in this notice, is taken to have been issued with a permit under section 45B(3) of the </w:t>
      </w:r>
      <w:proofErr w:type="spellStart"/>
      <w:r w:rsidRPr="00D87E00">
        <w:t>Agvet</w:t>
      </w:r>
      <w:proofErr w:type="spellEnd"/>
      <w:r w:rsidRPr="00D87E00">
        <w:t xml:space="preserve"> Code to possess, have custody of or use the cancelled product or product bearing a cancelled label, in accordance with those instructions.</w:t>
      </w:r>
    </w:p>
    <w:p w14:paraId="1BB3DCDF" w14:textId="7476B3D9" w:rsidR="00AB7545" w:rsidRPr="00ED2DEE" w:rsidRDefault="00AB7545" w:rsidP="00AB7545">
      <w:pPr>
        <w:pStyle w:val="GazetteNormalText"/>
      </w:pPr>
      <w:r w:rsidRPr="00D87E00">
        <w:t xml:space="preserve">If the APVMA revokes the cancellation or declares that the deemed permit ceases to apply with respect to the cancelled active constituent under section 45B(2) of the </w:t>
      </w:r>
      <w:proofErr w:type="spellStart"/>
      <w:r w:rsidRPr="00D87E00">
        <w:t>Agvet</w:t>
      </w:r>
      <w:proofErr w:type="spellEnd"/>
      <w:r w:rsidRPr="00D87E00">
        <w:t xml:space="preserve"> Code, written notice will be provided to the holder and published in the APVMA Gazette.</w:t>
      </w:r>
    </w:p>
    <w:p w14:paraId="5E2D08EA" w14:textId="77777777" w:rsidR="00AB7545" w:rsidRDefault="00AB7545" w:rsidP="000644E1">
      <w:pPr>
        <w:pStyle w:val="GazetteHeading3"/>
      </w:pPr>
      <w:r>
        <w:t>P</w:t>
      </w:r>
      <w:r w:rsidRPr="00ED2DEE">
        <w:t>ossession</w:t>
      </w:r>
      <w:r>
        <w:t xml:space="preserve"> or</w:t>
      </w:r>
      <w:r w:rsidRPr="00ED2DEE">
        <w:t xml:space="preserve"> custody</w:t>
      </w:r>
    </w:p>
    <w:p w14:paraId="00BBD1CD" w14:textId="77777777" w:rsidR="00AB7545" w:rsidRDefault="00AB7545" w:rsidP="00AB7545">
      <w:pPr>
        <w:pStyle w:val="GazetteNormalText"/>
      </w:pPr>
      <w:r>
        <w:t>A person may possess the cancelled product or product bearing a cancelled label referred to in Table 3 in accordance with its label instructions for 1 year from the date of cancellation.</w:t>
      </w:r>
    </w:p>
    <w:p w14:paraId="406C6251" w14:textId="77777777" w:rsidR="00AB7545" w:rsidRPr="00CB07BE" w:rsidRDefault="00AB7545" w:rsidP="000644E1">
      <w:pPr>
        <w:pStyle w:val="GazetteHeading3"/>
      </w:pPr>
      <w:r w:rsidRPr="00CB07BE">
        <w:t>Use, supply or otherwise deal with</w:t>
      </w:r>
    </w:p>
    <w:p w14:paraId="190483CA" w14:textId="77777777" w:rsidR="00AB7545" w:rsidRDefault="00AB7545" w:rsidP="00AB7545">
      <w:pPr>
        <w:pStyle w:val="GazetteNormalText"/>
      </w:pPr>
      <w:r>
        <w:t>A person may use the cancelled product or products bearing a cancelled label referred to in Table 3 according to its label instructions, including any conditions relating to shelf life or expiry date, for 1 year after the date of cancellation.</w:t>
      </w:r>
    </w:p>
    <w:p w14:paraId="5D408A76" w14:textId="77777777" w:rsidR="00AB7545" w:rsidRDefault="00AB7545" w:rsidP="00AB7545">
      <w:pPr>
        <w:pStyle w:val="GazetteNormalText"/>
      </w:pPr>
      <w:r w:rsidRPr="00FE6359">
        <w:t xml:space="preserve">A person may supply or cause to be supplied at wholesale or retail level the </w:t>
      </w:r>
      <w:r>
        <w:t xml:space="preserve">cancelled </w:t>
      </w:r>
      <w:r w:rsidRPr="00B3255B">
        <w:t xml:space="preserve">product, or product </w:t>
      </w:r>
      <w:r>
        <w:t>bearing a cancelled label</w:t>
      </w:r>
      <w:r w:rsidRPr="00826C0F">
        <w:t xml:space="preserve"> </w:t>
      </w:r>
      <w:r w:rsidRPr="00FE6359">
        <w:t xml:space="preserve">referred to in </w:t>
      </w:r>
      <w:r>
        <w:t>Table 3, for 1 year after the d</w:t>
      </w:r>
      <w:r w:rsidRPr="00FE6359">
        <w:t xml:space="preserve">ate of </w:t>
      </w:r>
      <w:r>
        <w:t>c</w:t>
      </w:r>
      <w:r w:rsidRPr="00FE6359">
        <w:t>ancellation</w:t>
      </w:r>
      <w:r>
        <w:t>.</w:t>
      </w:r>
    </w:p>
    <w:p w14:paraId="100CC5E9" w14:textId="77777777" w:rsidR="00AB7545" w:rsidRPr="000644E1" w:rsidRDefault="00AB7545" w:rsidP="000644E1">
      <w:pPr>
        <w:pStyle w:val="GazetteHeading2"/>
      </w:pPr>
      <w:r w:rsidRPr="000644E1">
        <w:t>Contraventions</w:t>
      </w:r>
    </w:p>
    <w:p w14:paraId="5511247B" w14:textId="0CC3EC4C" w:rsidR="00AB7545" w:rsidRPr="009C36DE" w:rsidRDefault="00AB7545" w:rsidP="00AB7545">
      <w:pPr>
        <w:pStyle w:val="GazetteNormalText"/>
      </w:pPr>
      <w:r w:rsidRPr="009C36DE">
        <w:t xml:space="preserve">After the day that is 1 year from the date of cancellation it will be an offence against the </w:t>
      </w:r>
      <w:proofErr w:type="spellStart"/>
      <w:r w:rsidRPr="009C36DE">
        <w:t>Agvet</w:t>
      </w:r>
      <w:proofErr w:type="spellEnd"/>
      <w:r w:rsidRPr="009C36DE">
        <w:t xml:space="preserve"> Code to have possession or custody of the cancelled products or products bearing a cancelled label with the intention to supply, or to supply the cancelled product or product bearing a cancelled label.</w:t>
      </w:r>
    </w:p>
    <w:p w14:paraId="0DB15C4D" w14:textId="77777777" w:rsidR="00AB7545" w:rsidRDefault="00AB7545" w:rsidP="00AB7545">
      <w:pPr>
        <w:pStyle w:val="GazetteNormalText"/>
      </w:pPr>
      <w:r w:rsidRPr="009C36DE">
        <w:lastRenderedPageBreak/>
        <w:t xml:space="preserve">It is an offence to possess, have custody of, use, or otherwise deal with the cancelled products or products bearing the cancelled label listed in Table </w:t>
      </w:r>
      <w:r>
        <w:t>3</w:t>
      </w:r>
      <w:r w:rsidRPr="009C36DE">
        <w:t xml:space="preserve"> in a manner that contravenes the above instructions.</w:t>
      </w:r>
    </w:p>
    <w:p w14:paraId="682EB2BD" w14:textId="77777777" w:rsidR="00AB7545" w:rsidRDefault="00AB7545" w:rsidP="00AB7545">
      <w:pPr>
        <w:pStyle w:val="GazetteNormalText"/>
      </w:pPr>
    </w:p>
    <w:p w14:paraId="628BE269" w14:textId="77777777" w:rsidR="00AB7545" w:rsidRDefault="00AB7545" w:rsidP="00AB7545">
      <w:pPr>
        <w:pStyle w:val="GazetteNormalText"/>
      </w:pPr>
    </w:p>
    <w:p w14:paraId="2B79C99C" w14:textId="77777777" w:rsidR="00AB7545" w:rsidRPr="0073130F" w:rsidRDefault="00AB7545" w:rsidP="00AB7545">
      <w:pPr>
        <w:pStyle w:val="GazetteNormalText"/>
      </w:pPr>
      <w:r w:rsidRPr="0073130F">
        <w:t>Sheila Logan</w:t>
      </w:r>
      <w:r w:rsidRPr="0073130F">
        <w:br/>
      </w:r>
      <w:r w:rsidRPr="0073130F">
        <w:rPr>
          <w:bCs/>
        </w:rPr>
        <w:t>Executive Director, Risk Assessment Capability</w:t>
      </w:r>
    </w:p>
    <w:p w14:paraId="7A383BFC" w14:textId="77777777" w:rsidR="00AB7545" w:rsidRPr="0073130F" w:rsidRDefault="00AB7545" w:rsidP="00AB7545">
      <w:pPr>
        <w:pStyle w:val="GazetteNormalText"/>
        <w:rPr>
          <w:i/>
          <w:iCs/>
        </w:rPr>
      </w:pPr>
      <w:r w:rsidRPr="0073130F">
        <w:t xml:space="preserve">With the delegated authority under sections 11, 32 and 44 of the </w:t>
      </w:r>
      <w:r w:rsidRPr="0073130F">
        <w:rPr>
          <w:i/>
          <w:iCs/>
        </w:rPr>
        <w:t>Agricultural and Veterinary Chemicals (Administration) Act 1992</w:t>
      </w:r>
    </w:p>
    <w:p w14:paraId="5A623C57" w14:textId="77777777" w:rsidR="00AB7545" w:rsidRPr="00EB50B5" w:rsidRDefault="00AB7545" w:rsidP="00AB7545">
      <w:pPr>
        <w:pStyle w:val="GazetteHeading2"/>
      </w:pPr>
      <w:r w:rsidRPr="00EB50B5">
        <w:t>Contact information</w:t>
      </w:r>
    </w:p>
    <w:p w14:paraId="05B1B0F2" w14:textId="77777777" w:rsidR="00AB7545" w:rsidRPr="00D87E00" w:rsidRDefault="00AB7545" w:rsidP="00AB7545">
      <w:pPr>
        <w:pStyle w:val="GazetteNormalText"/>
      </w:pPr>
      <w:r w:rsidRPr="00D87E00">
        <w:t>For any enquiries or further information about this matter, please contact:</w:t>
      </w:r>
    </w:p>
    <w:p w14:paraId="1FCC3C26" w14:textId="79F1ED8F" w:rsidR="00AB7545" w:rsidRPr="00D87E00" w:rsidRDefault="00AB7545" w:rsidP="00AB7545">
      <w:pPr>
        <w:pStyle w:val="GazetteContact"/>
      </w:pPr>
      <w:r w:rsidRPr="00D87E00">
        <w:t>Chemical Review</w:t>
      </w:r>
      <w:r w:rsidR="000644E1">
        <w:br/>
      </w:r>
      <w:r w:rsidRPr="00D87E00">
        <w:t>Australian Pesticides and Veterinary Medicines Authority</w:t>
      </w:r>
      <w:r w:rsidR="000644E1">
        <w:br/>
        <w:t>G</w:t>
      </w:r>
      <w:r w:rsidRPr="00D87E00">
        <w:t>PO Box 574</w:t>
      </w:r>
      <w:r w:rsidR="000644E1">
        <w:br/>
      </w:r>
      <w:r w:rsidRPr="00D87E00">
        <w:t>Canberra ACT 2601 Australia</w:t>
      </w:r>
    </w:p>
    <w:p w14:paraId="3495AD57" w14:textId="403F3BA4" w:rsidR="00AB7545" w:rsidRPr="00D87E00" w:rsidRDefault="00AB7545" w:rsidP="000644E1">
      <w:pPr>
        <w:pStyle w:val="GazetteContact"/>
        <w:spacing w:before="300"/>
      </w:pPr>
      <w:r w:rsidRPr="00D87E00">
        <w:t>Phone: +61 2 6770 2400</w:t>
      </w:r>
      <w:r w:rsidR="000644E1">
        <w:br/>
      </w:r>
      <w:r w:rsidRPr="00D87E00">
        <w:t xml:space="preserve">Email: </w:t>
      </w:r>
      <w:hyperlink r:id="rId48" w:history="1">
        <w:r w:rsidRPr="00D87E00">
          <w:t>chemicalreview@apvma.gov.au</w:t>
        </w:r>
      </w:hyperlink>
    </w:p>
    <w:p w14:paraId="6D27AC42" w14:textId="77777777" w:rsidR="00AB7545" w:rsidRPr="00C60D37" w:rsidRDefault="00AB7545" w:rsidP="00AB7545">
      <w:pPr>
        <w:pStyle w:val="GazetteHeading2"/>
      </w:pPr>
      <w:r w:rsidRPr="00C60D37">
        <w:t>Notice of merits review rights</w:t>
      </w:r>
    </w:p>
    <w:p w14:paraId="26084F06" w14:textId="18F1AEC2" w:rsidR="00AB7545" w:rsidRPr="00C60D37" w:rsidRDefault="00AB7545" w:rsidP="00AB7545">
      <w:pPr>
        <w:spacing w:before="120" w:after="120" w:line="280" w:lineRule="exact"/>
        <w:rPr>
          <w:rFonts w:eastAsia="Arial Unicode MS" w:hAnsi="Arial Unicode MS" w:cs="Arial Unicode MS"/>
          <w:color w:val="000000"/>
          <w:szCs w:val="18"/>
          <w:u w:color="000000"/>
          <w:bdr w:val="nil"/>
          <w:lang w:val="en-GB" w:eastAsia="en-AU"/>
        </w:rPr>
      </w:pPr>
      <w:r w:rsidRPr="00C60D37">
        <w:rPr>
          <w:rFonts w:eastAsia="Arial Unicode MS" w:hAnsi="Arial Unicode MS" w:cs="Arial Unicode MS"/>
          <w:color w:val="000000"/>
          <w:szCs w:val="18"/>
          <w:u w:color="000000"/>
          <w:bdr w:val="nil"/>
          <w:lang w:val="en-GB" w:eastAsia="en-AU"/>
        </w:rPr>
        <w:t xml:space="preserve">An application may be made to the Administrative Review Tribunal by or on behalf of a person whose interests are affected by a decision under subsections 34A(1) and section 34AA of the </w:t>
      </w:r>
      <w:proofErr w:type="spellStart"/>
      <w:r w:rsidRPr="00C60D37">
        <w:rPr>
          <w:rFonts w:eastAsia="Arial Unicode MS" w:hAnsi="Arial Unicode MS" w:cs="Arial Unicode MS"/>
          <w:color w:val="000000"/>
          <w:szCs w:val="18"/>
          <w:u w:color="000000"/>
          <w:bdr w:val="nil"/>
          <w:lang w:val="en-GB" w:eastAsia="en-AU"/>
        </w:rPr>
        <w:t>Agvet</w:t>
      </w:r>
      <w:proofErr w:type="spellEnd"/>
      <w:r w:rsidRPr="00C60D37">
        <w:rPr>
          <w:rFonts w:eastAsia="Arial Unicode MS" w:hAnsi="Arial Unicode MS" w:cs="Arial Unicode MS"/>
          <w:color w:val="000000"/>
          <w:szCs w:val="18"/>
          <w:u w:color="000000"/>
          <w:bdr w:val="nil"/>
          <w:lang w:val="en-GB" w:eastAsia="en-AU"/>
        </w:rPr>
        <w:t xml:space="preserve"> Code.</w:t>
      </w:r>
    </w:p>
    <w:p w14:paraId="1C986142" w14:textId="3703FCF6" w:rsidR="00A47B35" w:rsidRPr="0033395A" w:rsidRDefault="00AB7545" w:rsidP="000644E1">
      <w:pPr>
        <w:spacing w:before="120" w:after="120" w:line="280" w:lineRule="exact"/>
      </w:pPr>
      <w:r w:rsidRPr="00C60D37">
        <w:rPr>
          <w:rFonts w:eastAsia="Arial Unicode MS" w:hAnsi="Arial Unicode MS" w:cs="Arial Unicode MS"/>
          <w:color w:val="000000"/>
          <w:szCs w:val="18"/>
          <w:u w:color="000000"/>
          <w:bdr w:val="nil"/>
          <w:lang w:val="en-GB" w:eastAsia="en-AU"/>
        </w:rPr>
        <w:t>Subject to the Administrative Review Tribunal Act 2024, a person whose interests are affected by this decision may also make an application to the ART for a review of this decision. A person whose interest are affected by this decision may also, in accordance with the Administrative Review Tribunal Act 2024, make an application to receive a statement of reasons for this decision</w:t>
      </w:r>
      <w:r>
        <w:rPr>
          <w:rFonts w:eastAsia="Arial Unicode MS" w:hAnsi="Arial Unicode MS" w:cs="Arial Unicode MS"/>
          <w:color w:val="000000"/>
          <w:szCs w:val="18"/>
          <w:u w:color="000000"/>
          <w:bdr w:val="nil"/>
          <w:lang w:val="en-GB" w:eastAsia="en-AU"/>
        </w:rPr>
        <w:t>.</w:t>
      </w:r>
    </w:p>
    <w:sectPr w:rsidR="00A47B35" w:rsidRPr="0033395A" w:rsidSect="002E3D72">
      <w:headerReference w:type="even" r:id="rId49"/>
      <w:footerReference w:type="even" r:id="rId50"/>
      <w:footerReference w:type="default" r:id="rId5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2C07" w14:textId="77777777" w:rsidR="003E5B58" w:rsidRDefault="003E5B58" w:rsidP="002C53E5">
      <w:r>
        <w:separator/>
      </w:r>
    </w:p>
  </w:endnote>
  <w:endnote w:type="continuationSeparator" w:id="0">
    <w:p w14:paraId="10D62615" w14:textId="77777777" w:rsidR="003E5B58" w:rsidRDefault="003E5B5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10373"/>
      <w:docPartObj>
        <w:docPartGallery w:val="Page Numbers (Bottom of Page)"/>
        <w:docPartUnique/>
      </w:docPartObj>
    </w:sdtPr>
    <w:sdtEndPr>
      <w:rPr>
        <w:noProof/>
      </w:rPr>
    </w:sdtEndPr>
    <w:sdtContent>
      <w:p w14:paraId="2844A35C" w14:textId="77777777" w:rsidR="00AB7545" w:rsidRDefault="00AB7545">
        <w:pPr>
          <w:pStyle w:val="Footer"/>
          <w:jc w:val="right"/>
        </w:pPr>
        <w:r w:rsidRPr="00801115">
          <w:rPr>
            <w:rFonts w:cs="Arial"/>
            <w:szCs w:val="18"/>
          </w:rPr>
          <w:fldChar w:fldCharType="begin"/>
        </w:r>
        <w:r w:rsidRPr="00801115">
          <w:rPr>
            <w:rFonts w:cs="Arial"/>
            <w:szCs w:val="18"/>
          </w:rPr>
          <w:instrText xml:space="preserve"> PAGE   \* MERGEFORMAT </w:instrText>
        </w:r>
        <w:r w:rsidRPr="00801115">
          <w:rPr>
            <w:rFonts w:cs="Arial"/>
            <w:szCs w:val="18"/>
          </w:rPr>
          <w:fldChar w:fldCharType="separate"/>
        </w:r>
        <w:r w:rsidRPr="00801115">
          <w:rPr>
            <w:rFonts w:cs="Arial"/>
            <w:noProof/>
            <w:szCs w:val="18"/>
          </w:rPr>
          <w:t>2</w:t>
        </w:r>
        <w:r w:rsidRPr="00801115">
          <w:rPr>
            <w:rFonts w:cs="Arial"/>
            <w:noProof/>
            <w:szCs w:val="18"/>
          </w:rPr>
          <w:fldChar w:fldCharType="end"/>
        </w:r>
      </w:p>
    </w:sdtContent>
  </w:sdt>
  <w:p w14:paraId="6C3BD444" w14:textId="77777777" w:rsidR="00AB7545" w:rsidRDefault="00AB75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98975"/>
      <w:docPartObj>
        <w:docPartGallery w:val="Page Numbers (Bottom of Page)"/>
        <w:docPartUnique/>
      </w:docPartObj>
    </w:sdtPr>
    <w:sdtEndPr>
      <w:rPr>
        <w:rFonts w:cs="Arial"/>
        <w:noProof/>
        <w:sz w:val="16"/>
        <w:szCs w:val="16"/>
      </w:rPr>
    </w:sdtEndPr>
    <w:sdtContent>
      <w:p w14:paraId="31F24B61" w14:textId="77777777" w:rsidR="00AB7545" w:rsidRPr="00801115" w:rsidRDefault="00AB7545">
        <w:pPr>
          <w:pStyle w:val="Footer"/>
          <w:jc w:val="right"/>
          <w:rPr>
            <w:rFonts w:cs="Arial"/>
            <w:sz w:val="16"/>
            <w:szCs w:val="16"/>
          </w:rPr>
        </w:pPr>
        <w:r w:rsidRPr="00801115">
          <w:rPr>
            <w:rFonts w:cs="Arial"/>
            <w:sz w:val="16"/>
            <w:szCs w:val="16"/>
          </w:rPr>
          <w:fldChar w:fldCharType="begin"/>
        </w:r>
        <w:r w:rsidRPr="00801115">
          <w:rPr>
            <w:rFonts w:cs="Arial"/>
            <w:sz w:val="16"/>
            <w:szCs w:val="16"/>
          </w:rPr>
          <w:instrText xml:space="preserve"> PAGE   \* MERGEFORMAT </w:instrText>
        </w:r>
        <w:r w:rsidRPr="00801115">
          <w:rPr>
            <w:rFonts w:cs="Arial"/>
            <w:sz w:val="16"/>
            <w:szCs w:val="16"/>
          </w:rPr>
          <w:fldChar w:fldCharType="separate"/>
        </w:r>
        <w:r w:rsidRPr="00801115">
          <w:rPr>
            <w:rFonts w:cs="Arial"/>
            <w:noProof/>
            <w:sz w:val="16"/>
            <w:szCs w:val="16"/>
          </w:rPr>
          <w:t>2</w:t>
        </w:r>
        <w:r w:rsidRPr="00801115">
          <w:rPr>
            <w:rFonts w:cs="Arial"/>
            <w:noProof/>
            <w:sz w:val="16"/>
            <w:szCs w:val="16"/>
          </w:rPr>
          <w:fldChar w:fldCharType="end"/>
        </w:r>
      </w:p>
    </w:sdtContent>
  </w:sdt>
  <w:p w14:paraId="3742866E" w14:textId="77777777" w:rsidR="00AB7545" w:rsidRDefault="00AB7545" w:rsidP="00801115">
    <w:pPr>
      <w:pStyle w:val="Footer"/>
      <w:tabs>
        <w:tab w:val="clear" w:pos="4513"/>
        <w:tab w:val="clear" w:pos="9026"/>
        <w:tab w:val="left" w:pos="14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96733"/>
      <w:docPartObj>
        <w:docPartGallery w:val="Page Numbers (Bottom of Page)"/>
        <w:docPartUnique/>
      </w:docPartObj>
    </w:sdtPr>
    <w:sdtEndPr>
      <w:rPr>
        <w:noProof/>
      </w:rPr>
    </w:sdtEndPr>
    <w:sdtContent>
      <w:p w14:paraId="2B9A3DDE" w14:textId="77777777" w:rsidR="00AB7545" w:rsidRDefault="00AB7545">
        <w:pPr>
          <w:pStyle w:val="Footer"/>
          <w:jc w:val="right"/>
        </w:pPr>
        <w:r w:rsidRPr="00801115">
          <w:rPr>
            <w:rFonts w:cs="Arial"/>
            <w:szCs w:val="18"/>
          </w:rPr>
          <w:fldChar w:fldCharType="begin"/>
        </w:r>
        <w:r w:rsidRPr="00801115">
          <w:rPr>
            <w:rFonts w:cs="Arial"/>
            <w:szCs w:val="18"/>
          </w:rPr>
          <w:instrText xml:space="preserve"> PAGE   \* MERGEFORMAT </w:instrText>
        </w:r>
        <w:r w:rsidRPr="00801115">
          <w:rPr>
            <w:rFonts w:cs="Arial"/>
            <w:szCs w:val="18"/>
          </w:rPr>
          <w:fldChar w:fldCharType="separate"/>
        </w:r>
        <w:r w:rsidRPr="00801115">
          <w:rPr>
            <w:rFonts w:cs="Arial"/>
            <w:noProof/>
            <w:szCs w:val="18"/>
          </w:rPr>
          <w:t>2</w:t>
        </w:r>
        <w:r w:rsidRPr="00801115">
          <w:rPr>
            <w:rFonts w:cs="Arial"/>
            <w:noProof/>
            <w:szCs w:val="18"/>
          </w:rPr>
          <w:fldChar w:fldCharType="end"/>
        </w:r>
      </w:p>
    </w:sdtContent>
  </w:sdt>
  <w:p w14:paraId="5744410B" w14:textId="77777777" w:rsidR="00AB7545" w:rsidRDefault="00AB75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40667"/>
      <w:docPartObj>
        <w:docPartGallery w:val="Page Numbers (Bottom of Page)"/>
        <w:docPartUnique/>
      </w:docPartObj>
    </w:sdtPr>
    <w:sdtEndPr>
      <w:rPr>
        <w:rFonts w:cs="Arial"/>
        <w:noProof/>
        <w:sz w:val="16"/>
        <w:szCs w:val="16"/>
      </w:rPr>
    </w:sdtEndPr>
    <w:sdtContent>
      <w:p w14:paraId="7ED3646B" w14:textId="77777777" w:rsidR="00AB7545" w:rsidRPr="00801115" w:rsidRDefault="00AB7545">
        <w:pPr>
          <w:pStyle w:val="Footer"/>
          <w:jc w:val="right"/>
          <w:rPr>
            <w:rFonts w:cs="Arial"/>
            <w:sz w:val="16"/>
            <w:szCs w:val="16"/>
          </w:rPr>
        </w:pPr>
        <w:r w:rsidRPr="00801115">
          <w:rPr>
            <w:rFonts w:cs="Arial"/>
            <w:sz w:val="16"/>
            <w:szCs w:val="16"/>
          </w:rPr>
          <w:fldChar w:fldCharType="begin"/>
        </w:r>
        <w:r w:rsidRPr="00801115">
          <w:rPr>
            <w:rFonts w:cs="Arial"/>
            <w:sz w:val="16"/>
            <w:szCs w:val="16"/>
          </w:rPr>
          <w:instrText xml:space="preserve"> PAGE   \* MERGEFORMAT </w:instrText>
        </w:r>
        <w:r w:rsidRPr="00801115">
          <w:rPr>
            <w:rFonts w:cs="Arial"/>
            <w:sz w:val="16"/>
            <w:szCs w:val="16"/>
          </w:rPr>
          <w:fldChar w:fldCharType="separate"/>
        </w:r>
        <w:r w:rsidRPr="00801115">
          <w:rPr>
            <w:rFonts w:cs="Arial"/>
            <w:noProof/>
            <w:sz w:val="16"/>
            <w:szCs w:val="16"/>
          </w:rPr>
          <w:t>2</w:t>
        </w:r>
        <w:r w:rsidRPr="00801115">
          <w:rPr>
            <w:rFonts w:cs="Arial"/>
            <w:noProof/>
            <w:sz w:val="16"/>
            <w:szCs w:val="16"/>
          </w:rPr>
          <w:fldChar w:fldCharType="end"/>
        </w:r>
      </w:p>
    </w:sdtContent>
  </w:sdt>
  <w:p w14:paraId="0EC057AF" w14:textId="77777777" w:rsidR="00AB7545" w:rsidRDefault="00AB7545" w:rsidP="00801115">
    <w:pPr>
      <w:pStyle w:val="Footer"/>
      <w:tabs>
        <w:tab w:val="clear" w:pos="4513"/>
        <w:tab w:val="clear" w:pos="9026"/>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FEED" w14:textId="77777777" w:rsidR="003E5B58" w:rsidRDefault="003E5B58" w:rsidP="002C53E5">
      <w:r>
        <w:separator/>
      </w:r>
    </w:p>
  </w:footnote>
  <w:footnote w:type="continuationSeparator" w:id="0">
    <w:p w14:paraId="2E0DEC26" w14:textId="77777777" w:rsidR="003E5B58" w:rsidRDefault="003E5B5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89378"/>
      <w:docPartObj>
        <w:docPartGallery w:val="Page Numbers (Top of Page)"/>
        <w:docPartUnique/>
      </w:docPartObj>
    </w:sdtPr>
    <w:sdtEndPr>
      <w:rPr>
        <w:rFonts w:cs="Times New Roman"/>
        <w:sz w:val="18"/>
        <w:szCs w:val="24"/>
      </w:rPr>
    </w:sdtEndPr>
    <w:sdtContent>
      <w:p w14:paraId="1379C186" w14:textId="4CDF1DCB" w:rsidR="00C83605" w:rsidRPr="00335FCB" w:rsidRDefault="00C83605" w:rsidP="00C83605">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65304">
          <w:rPr>
            <w:rStyle w:val="PageNumber"/>
            <w:bCs/>
            <w:noProof/>
          </w:rPr>
          <w:t>Agvet chemical voluntary recall: Randlab Gentamicin Injection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49307"/>
      <w:docPartObj>
        <w:docPartGallery w:val="Page Numbers (Top of Page)"/>
        <w:docPartUnique/>
      </w:docPartObj>
    </w:sdtPr>
    <w:sdtEndPr>
      <w:rPr>
        <w:noProof/>
      </w:rPr>
    </w:sdtEndPr>
    <w:sdtContent>
      <w:p w14:paraId="41196EA5" w14:textId="32741158" w:rsidR="00C83605" w:rsidRDefault="00C83605" w:rsidP="00C8360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365304">
            <w:rPr>
              <w:noProof/>
            </w:rPr>
            <w:t>No. APVMA 17, 19 August 2025</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27402"/>
      <w:docPartObj>
        <w:docPartGallery w:val="Page Numbers (Top of Page)"/>
        <w:docPartUnique/>
      </w:docPartObj>
    </w:sdtPr>
    <w:sdtEndPr>
      <w:rPr>
        <w:rFonts w:cs="Times New Roman"/>
        <w:sz w:val="18"/>
        <w:szCs w:val="24"/>
      </w:rPr>
    </w:sdtEndPr>
    <w:sdtContent>
      <w:p w14:paraId="4DB10EAC" w14:textId="0C993328" w:rsidR="000644E1" w:rsidRPr="00335FCB" w:rsidRDefault="000644E1" w:rsidP="00F76EF9">
        <w:pPr>
          <w:pStyle w:val="GazetteHeaderOdd"/>
          <w:tabs>
            <w:tab w:val="clear" w:pos="4513"/>
            <w:tab w:val="clear" w:pos="9026"/>
            <w:tab w:val="right" w:pos="1701"/>
            <w:tab w:val="center" w:pos="212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65304">
          <w:rPr>
            <w:rStyle w:val="PageNumber"/>
            <w:bCs/>
            <w:noProof/>
          </w:rPr>
          <w:t>Notice under section 34AC of decision on reconsideration of the Agricultural and Veterinary Chemicals Code: fenitrothion reconsideration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32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04599"/>
      <w:docPartObj>
        <w:docPartGallery w:val="Page Numbers (Top of Page)"/>
        <w:docPartUnique/>
      </w:docPartObj>
    </w:sdtPr>
    <w:sdtEndPr>
      <w:rPr>
        <w:noProof/>
      </w:rPr>
    </w:sdtEndPr>
    <w:sdtContent>
      <w:p w14:paraId="1ED1DFB8" w14:textId="4A15F5B4" w:rsidR="000644E1" w:rsidRDefault="000644E1" w:rsidP="000644E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31</w:t>
        </w:r>
        <w:r>
          <w:rPr>
            <w:noProof/>
          </w:rPr>
          <w:fldChar w:fldCharType="end"/>
        </w:r>
        <w:r>
          <w:rPr>
            <w:noProof/>
          </w:rPr>
          <w:tab/>
        </w:r>
        <w:r w:rsidRPr="002C53E5">
          <w:t xml:space="preserve">Commonwealth of Australia </w:t>
        </w:r>
        <w:fldSimple w:instr=" STYLEREF  &quot;Gazette Cover H3&quot;  \* MERGEFORMAT ">
          <w:r w:rsidR="00365304">
            <w:rPr>
              <w:noProof/>
            </w:rPr>
            <w:t>No. APVMA 17, 19 August 2025</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0137"/>
      <w:docPartObj>
        <w:docPartGallery w:val="Page Numbers (Top of Page)"/>
        <w:docPartUnique/>
      </w:docPartObj>
    </w:sdtPr>
    <w:sdtEndPr>
      <w:rPr>
        <w:rFonts w:cs="Times New Roman"/>
        <w:sz w:val="18"/>
        <w:szCs w:val="24"/>
      </w:rPr>
    </w:sdtEndPr>
    <w:sdtContent>
      <w:p w14:paraId="42E378FB" w14:textId="0BD5C5F1" w:rsidR="000644E1" w:rsidRPr="00335FCB" w:rsidRDefault="000644E1" w:rsidP="000644E1">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65304">
          <w:rPr>
            <w:rStyle w:val="PageNumber"/>
            <w:bCs/>
            <w:noProof/>
          </w:rPr>
          <w:t>Notice of cancellation under section 45A of the Agricultural and Veterinary Chemicals Code: fenitrothion reconsideration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32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2ADE0C3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65304">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4C56EDA8" w14:textId="084B02AA" w:rsidR="00E212D6" w:rsidRPr="00335FCB" w:rsidRDefault="00E212D6" w:rsidP="00E212D6">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212E">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1144B02A" w14:textId="38B0A325" w:rsidR="00E212D6" w:rsidRDefault="00E212D6" w:rsidP="00E212D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B212E">
            <w:rPr>
              <w:noProof/>
            </w:rPr>
            <w:t>No. APVMA 17, 19 August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11691"/>
      <w:docPartObj>
        <w:docPartGallery w:val="Page Numbers (Top of Page)"/>
        <w:docPartUnique/>
      </w:docPartObj>
    </w:sdtPr>
    <w:sdtEndPr>
      <w:rPr>
        <w:rFonts w:cs="Times New Roman"/>
        <w:sz w:val="18"/>
        <w:szCs w:val="24"/>
      </w:rPr>
    </w:sdtEndPr>
    <w:sdtContent>
      <w:p w14:paraId="21699017" w14:textId="6FB4564D" w:rsidR="00E212D6" w:rsidRPr="00335FCB" w:rsidRDefault="00E212D6" w:rsidP="00E212D6">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00365304">
          <w:rPr>
            <w:rStyle w:val="PageNumber"/>
            <w:bCs/>
          </w:rPr>
          <w:fldChar w:fldCharType="separate"/>
        </w:r>
        <w:r w:rsidR="00AB212E">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46740"/>
      <w:docPartObj>
        <w:docPartGallery w:val="Page Numbers (Top of Page)"/>
        <w:docPartUnique/>
      </w:docPartObj>
    </w:sdtPr>
    <w:sdtEndPr>
      <w:rPr>
        <w:noProof/>
      </w:rPr>
    </w:sdtEndPr>
    <w:sdtContent>
      <w:p w14:paraId="4D680AF0" w14:textId="16BAD8B0" w:rsidR="00C83605" w:rsidRDefault="00C83605" w:rsidP="00C83605">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AB212E">
            <w:rPr>
              <w:noProof/>
            </w:rPr>
            <w:t>No. APVMA 17, 19 August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1763"/>
      <w:docPartObj>
        <w:docPartGallery w:val="Page Numbers (Top of Page)"/>
        <w:docPartUnique/>
      </w:docPartObj>
    </w:sdtPr>
    <w:sdtEndPr>
      <w:rPr>
        <w:rFonts w:cs="Times New Roman"/>
        <w:sz w:val="18"/>
        <w:szCs w:val="24"/>
      </w:rPr>
    </w:sdtEndPr>
    <w:sdtContent>
      <w:p w14:paraId="6D19D70E" w14:textId="04171BCA" w:rsidR="00C83605" w:rsidRPr="00335FCB" w:rsidRDefault="00C83605" w:rsidP="00C83605">
        <w:pPr>
          <w:pStyle w:val="GazetteHeaderOdd"/>
          <w:tabs>
            <w:tab w:val="clear" w:pos="4513"/>
            <w:tab w:val="clear" w:pos="9026"/>
            <w:tab w:val="center" w:pos="184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212E">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495C08"/>
    <w:multiLevelType w:val="multilevel"/>
    <w:tmpl w:val="D60063A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E61338C"/>
    <w:multiLevelType w:val="hybridMultilevel"/>
    <w:tmpl w:val="891A3FD0"/>
    <w:lvl w:ilvl="0" w:tplc="0C090001">
      <w:start w:val="1"/>
      <w:numFmt w:val="bullet"/>
      <w:lvlText w:val=""/>
      <w:lvlJc w:val="left"/>
      <w:pPr>
        <w:ind w:left="1942" w:hanging="360"/>
      </w:pPr>
      <w:rPr>
        <w:rFonts w:ascii="Symbol" w:hAnsi="Symbol" w:hint="default"/>
      </w:rPr>
    </w:lvl>
    <w:lvl w:ilvl="1" w:tplc="0C090003" w:tentative="1">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12" w15:restartNumberingAfterBreak="0">
    <w:nsid w:val="24D25489"/>
    <w:multiLevelType w:val="hybridMultilevel"/>
    <w:tmpl w:val="8BDABC2A"/>
    <w:lvl w:ilvl="0" w:tplc="0C090001">
      <w:start w:val="1"/>
      <w:numFmt w:val="bullet"/>
      <w:lvlText w:val=""/>
      <w:lvlJc w:val="left"/>
      <w:pPr>
        <w:ind w:left="1942" w:hanging="360"/>
      </w:pPr>
      <w:rPr>
        <w:rFonts w:ascii="Symbol" w:hAnsi="Symbol" w:hint="default"/>
      </w:rPr>
    </w:lvl>
    <w:lvl w:ilvl="1" w:tplc="0C090003" w:tentative="1">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BB4ED0"/>
    <w:multiLevelType w:val="hybridMultilevel"/>
    <w:tmpl w:val="88C21420"/>
    <w:lvl w:ilvl="0" w:tplc="0C090001">
      <w:start w:val="1"/>
      <w:numFmt w:val="bullet"/>
      <w:lvlText w:val=""/>
      <w:lvlJc w:val="left"/>
      <w:pPr>
        <w:ind w:left="1250" w:hanging="360"/>
      </w:pPr>
      <w:rPr>
        <w:rFonts w:ascii="Symbol" w:hAnsi="Symbol" w:hint="default"/>
      </w:rPr>
    </w:lvl>
    <w:lvl w:ilvl="1" w:tplc="0C090003" w:tentative="1">
      <w:start w:val="1"/>
      <w:numFmt w:val="bullet"/>
      <w:lvlText w:val="o"/>
      <w:lvlJc w:val="left"/>
      <w:pPr>
        <w:ind w:left="1970" w:hanging="360"/>
      </w:pPr>
      <w:rPr>
        <w:rFonts w:ascii="Courier New" w:hAnsi="Courier New" w:cs="Courier New" w:hint="default"/>
      </w:rPr>
    </w:lvl>
    <w:lvl w:ilvl="2" w:tplc="0C090005" w:tentative="1">
      <w:start w:val="1"/>
      <w:numFmt w:val="bullet"/>
      <w:lvlText w:val=""/>
      <w:lvlJc w:val="left"/>
      <w:pPr>
        <w:ind w:left="2690" w:hanging="360"/>
      </w:pPr>
      <w:rPr>
        <w:rFonts w:ascii="Wingdings" w:hAnsi="Wingdings" w:hint="default"/>
      </w:rPr>
    </w:lvl>
    <w:lvl w:ilvl="3" w:tplc="0C090001" w:tentative="1">
      <w:start w:val="1"/>
      <w:numFmt w:val="bullet"/>
      <w:lvlText w:val=""/>
      <w:lvlJc w:val="left"/>
      <w:pPr>
        <w:ind w:left="3410" w:hanging="360"/>
      </w:pPr>
      <w:rPr>
        <w:rFonts w:ascii="Symbol" w:hAnsi="Symbol" w:hint="default"/>
      </w:rPr>
    </w:lvl>
    <w:lvl w:ilvl="4" w:tplc="0C090003" w:tentative="1">
      <w:start w:val="1"/>
      <w:numFmt w:val="bullet"/>
      <w:lvlText w:val="o"/>
      <w:lvlJc w:val="left"/>
      <w:pPr>
        <w:ind w:left="4130" w:hanging="360"/>
      </w:pPr>
      <w:rPr>
        <w:rFonts w:ascii="Courier New" w:hAnsi="Courier New" w:cs="Courier New" w:hint="default"/>
      </w:rPr>
    </w:lvl>
    <w:lvl w:ilvl="5" w:tplc="0C090005" w:tentative="1">
      <w:start w:val="1"/>
      <w:numFmt w:val="bullet"/>
      <w:lvlText w:val=""/>
      <w:lvlJc w:val="left"/>
      <w:pPr>
        <w:ind w:left="4850" w:hanging="360"/>
      </w:pPr>
      <w:rPr>
        <w:rFonts w:ascii="Wingdings" w:hAnsi="Wingdings" w:hint="default"/>
      </w:rPr>
    </w:lvl>
    <w:lvl w:ilvl="6" w:tplc="0C090001" w:tentative="1">
      <w:start w:val="1"/>
      <w:numFmt w:val="bullet"/>
      <w:lvlText w:val=""/>
      <w:lvlJc w:val="left"/>
      <w:pPr>
        <w:ind w:left="5570" w:hanging="360"/>
      </w:pPr>
      <w:rPr>
        <w:rFonts w:ascii="Symbol" w:hAnsi="Symbol" w:hint="default"/>
      </w:rPr>
    </w:lvl>
    <w:lvl w:ilvl="7" w:tplc="0C090003" w:tentative="1">
      <w:start w:val="1"/>
      <w:numFmt w:val="bullet"/>
      <w:lvlText w:val="o"/>
      <w:lvlJc w:val="left"/>
      <w:pPr>
        <w:ind w:left="6290" w:hanging="360"/>
      </w:pPr>
      <w:rPr>
        <w:rFonts w:ascii="Courier New" w:hAnsi="Courier New" w:cs="Courier New" w:hint="default"/>
      </w:rPr>
    </w:lvl>
    <w:lvl w:ilvl="8" w:tplc="0C090005" w:tentative="1">
      <w:start w:val="1"/>
      <w:numFmt w:val="bullet"/>
      <w:lvlText w:val=""/>
      <w:lvlJc w:val="left"/>
      <w:pPr>
        <w:ind w:left="7010" w:hanging="360"/>
      </w:pPr>
      <w:rPr>
        <w:rFonts w:ascii="Wingdings" w:hAnsi="Wingdings" w:hint="default"/>
      </w:rPr>
    </w:lvl>
  </w:abstractNum>
  <w:abstractNum w:abstractNumId="17"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D078E6"/>
    <w:multiLevelType w:val="hybridMultilevel"/>
    <w:tmpl w:val="BC1045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C94B77"/>
    <w:multiLevelType w:val="hybridMultilevel"/>
    <w:tmpl w:val="AA6EB97C"/>
    <w:lvl w:ilvl="0" w:tplc="0C090001">
      <w:start w:val="1"/>
      <w:numFmt w:val="bullet"/>
      <w:lvlText w:val=""/>
      <w:lvlJc w:val="left"/>
      <w:pPr>
        <w:ind w:left="1250" w:hanging="360"/>
      </w:pPr>
      <w:rPr>
        <w:rFonts w:ascii="Symbol" w:hAnsi="Symbol" w:hint="default"/>
      </w:rPr>
    </w:lvl>
    <w:lvl w:ilvl="1" w:tplc="0C090003" w:tentative="1">
      <w:start w:val="1"/>
      <w:numFmt w:val="bullet"/>
      <w:lvlText w:val="o"/>
      <w:lvlJc w:val="left"/>
      <w:pPr>
        <w:ind w:left="1970" w:hanging="360"/>
      </w:pPr>
      <w:rPr>
        <w:rFonts w:ascii="Courier New" w:hAnsi="Courier New" w:cs="Courier New" w:hint="default"/>
      </w:rPr>
    </w:lvl>
    <w:lvl w:ilvl="2" w:tplc="0C090005" w:tentative="1">
      <w:start w:val="1"/>
      <w:numFmt w:val="bullet"/>
      <w:lvlText w:val=""/>
      <w:lvlJc w:val="left"/>
      <w:pPr>
        <w:ind w:left="2690" w:hanging="360"/>
      </w:pPr>
      <w:rPr>
        <w:rFonts w:ascii="Wingdings" w:hAnsi="Wingdings" w:hint="default"/>
      </w:rPr>
    </w:lvl>
    <w:lvl w:ilvl="3" w:tplc="0C090001" w:tentative="1">
      <w:start w:val="1"/>
      <w:numFmt w:val="bullet"/>
      <w:lvlText w:val=""/>
      <w:lvlJc w:val="left"/>
      <w:pPr>
        <w:ind w:left="3410" w:hanging="360"/>
      </w:pPr>
      <w:rPr>
        <w:rFonts w:ascii="Symbol" w:hAnsi="Symbol" w:hint="default"/>
      </w:rPr>
    </w:lvl>
    <w:lvl w:ilvl="4" w:tplc="0C090003" w:tentative="1">
      <w:start w:val="1"/>
      <w:numFmt w:val="bullet"/>
      <w:lvlText w:val="o"/>
      <w:lvlJc w:val="left"/>
      <w:pPr>
        <w:ind w:left="4130" w:hanging="360"/>
      </w:pPr>
      <w:rPr>
        <w:rFonts w:ascii="Courier New" w:hAnsi="Courier New" w:cs="Courier New" w:hint="default"/>
      </w:rPr>
    </w:lvl>
    <w:lvl w:ilvl="5" w:tplc="0C090005" w:tentative="1">
      <w:start w:val="1"/>
      <w:numFmt w:val="bullet"/>
      <w:lvlText w:val=""/>
      <w:lvlJc w:val="left"/>
      <w:pPr>
        <w:ind w:left="4850" w:hanging="360"/>
      </w:pPr>
      <w:rPr>
        <w:rFonts w:ascii="Wingdings" w:hAnsi="Wingdings" w:hint="default"/>
      </w:rPr>
    </w:lvl>
    <w:lvl w:ilvl="6" w:tplc="0C090001" w:tentative="1">
      <w:start w:val="1"/>
      <w:numFmt w:val="bullet"/>
      <w:lvlText w:val=""/>
      <w:lvlJc w:val="left"/>
      <w:pPr>
        <w:ind w:left="5570" w:hanging="360"/>
      </w:pPr>
      <w:rPr>
        <w:rFonts w:ascii="Symbol" w:hAnsi="Symbol" w:hint="default"/>
      </w:rPr>
    </w:lvl>
    <w:lvl w:ilvl="7" w:tplc="0C090003" w:tentative="1">
      <w:start w:val="1"/>
      <w:numFmt w:val="bullet"/>
      <w:lvlText w:val="o"/>
      <w:lvlJc w:val="left"/>
      <w:pPr>
        <w:ind w:left="6290" w:hanging="360"/>
      </w:pPr>
      <w:rPr>
        <w:rFonts w:ascii="Courier New" w:hAnsi="Courier New" w:cs="Courier New" w:hint="default"/>
      </w:rPr>
    </w:lvl>
    <w:lvl w:ilvl="8" w:tplc="0C090005" w:tentative="1">
      <w:start w:val="1"/>
      <w:numFmt w:val="bullet"/>
      <w:lvlText w:val=""/>
      <w:lvlJc w:val="left"/>
      <w:pPr>
        <w:ind w:left="7010" w:hanging="360"/>
      </w:pPr>
      <w:rPr>
        <w:rFonts w:ascii="Wingdings" w:hAnsi="Wingdings" w:hint="default"/>
      </w:rPr>
    </w:lvl>
  </w:abstractNum>
  <w:abstractNum w:abstractNumId="22" w15:restartNumberingAfterBreak="0">
    <w:nsid w:val="4FCE51F7"/>
    <w:multiLevelType w:val="hybridMultilevel"/>
    <w:tmpl w:val="8BD26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4" w15:restartNumberingAfterBreak="0">
    <w:nsid w:val="55876D38"/>
    <w:multiLevelType w:val="hybridMultilevel"/>
    <w:tmpl w:val="782EEBA2"/>
    <w:lvl w:ilvl="0" w:tplc="0C090001">
      <w:start w:val="1"/>
      <w:numFmt w:val="bullet"/>
      <w:lvlText w:val=""/>
      <w:lvlJc w:val="left"/>
      <w:pPr>
        <w:ind w:left="1942" w:hanging="360"/>
      </w:pPr>
      <w:rPr>
        <w:rFonts w:ascii="Symbol" w:hAnsi="Symbol" w:hint="default"/>
      </w:rPr>
    </w:lvl>
    <w:lvl w:ilvl="1" w:tplc="0C090003">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25"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16721C"/>
    <w:multiLevelType w:val="hybridMultilevel"/>
    <w:tmpl w:val="BFD4C4A4"/>
    <w:lvl w:ilvl="0" w:tplc="0C090001">
      <w:start w:val="1"/>
      <w:numFmt w:val="bullet"/>
      <w:lvlText w:val=""/>
      <w:lvlJc w:val="left"/>
      <w:pPr>
        <w:ind w:left="1942" w:hanging="360"/>
      </w:pPr>
      <w:rPr>
        <w:rFonts w:ascii="Symbol" w:hAnsi="Symbol" w:hint="default"/>
      </w:rPr>
    </w:lvl>
    <w:lvl w:ilvl="1" w:tplc="0C090003" w:tentative="1">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2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4"/>
  </w:num>
  <w:num w:numId="3" w16cid:durableId="2026127260">
    <w:abstractNumId w:val="25"/>
  </w:num>
  <w:num w:numId="4" w16cid:durableId="1938126673">
    <w:abstractNumId w:val="6"/>
  </w:num>
  <w:num w:numId="5" w16cid:durableId="613485662">
    <w:abstractNumId w:val="27"/>
  </w:num>
  <w:num w:numId="6" w16cid:durableId="214702721">
    <w:abstractNumId w:val="23"/>
  </w:num>
  <w:num w:numId="7" w16cid:durableId="56169581">
    <w:abstractNumId w:val="13"/>
  </w:num>
  <w:num w:numId="8" w16cid:durableId="2030642151">
    <w:abstractNumId w:val="15"/>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10"/>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28"/>
  </w:num>
  <w:num w:numId="18" w16cid:durableId="729889887">
    <w:abstractNumId w:val="20"/>
  </w:num>
  <w:num w:numId="19" w16cid:durableId="406994900">
    <w:abstractNumId w:val="17"/>
  </w:num>
  <w:num w:numId="20" w16cid:durableId="70009658">
    <w:abstractNumId w:val="9"/>
  </w:num>
  <w:num w:numId="21" w16cid:durableId="1285308225">
    <w:abstractNumId w:val="31"/>
  </w:num>
  <w:num w:numId="22" w16cid:durableId="53431307">
    <w:abstractNumId w:val="19"/>
  </w:num>
  <w:num w:numId="23" w16cid:durableId="2015766616">
    <w:abstractNumId w:val="29"/>
  </w:num>
  <w:num w:numId="24" w16cid:durableId="20784448">
    <w:abstractNumId w:val="30"/>
  </w:num>
  <w:num w:numId="25" w16cid:durableId="1638611131">
    <w:abstractNumId w:val="0"/>
  </w:num>
  <w:num w:numId="26" w16cid:durableId="1186554904">
    <w:abstractNumId w:val="18"/>
  </w:num>
  <w:num w:numId="27" w16cid:durableId="714548320">
    <w:abstractNumId w:val="11"/>
  </w:num>
  <w:num w:numId="28" w16cid:durableId="313608175">
    <w:abstractNumId w:val="26"/>
  </w:num>
  <w:num w:numId="29" w16cid:durableId="1443113061">
    <w:abstractNumId w:val="24"/>
  </w:num>
  <w:num w:numId="30" w16cid:durableId="902181508">
    <w:abstractNumId w:val="12"/>
  </w:num>
  <w:num w:numId="31" w16cid:durableId="1483036506">
    <w:abstractNumId w:val="22"/>
  </w:num>
  <w:num w:numId="32" w16cid:durableId="1942058213">
    <w:abstractNumId w:val="21"/>
  </w:num>
  <w:num w:numId="33" w16cid:durableId="1796294178">
    <w:abstractNumId w:val="16"/>
  </w:num>
  <w:num w:numId="34" w16cid:durableId="1546479932">
    <w:abstractNumId w:val="8"/>
  </w:num>
  <w:num w:numId="35" w16cid:durableId="873884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5060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1FCA"/>
    <w:rsid w:val="000474DA"/>
    <w:rsid w:val="000644E1"/>
    <w:rsid w:val="000A1EF3"/>
    <w:rsid w:val="000A21FC"/>
    <w:rsid w:val="00111DE5"/>
    <w:rsid w:val="00117CD0"/>
    <w:rsid w:val="00153604"/>
    <w:rsid w:val="00164325"/>
    <w:rsid w:val="0027119F"/>
    <w:rsid w:val="00271343"/>
    <w:rsid w:val="002760FD"/>
    <w:rsid w:val="002A01D5"/>
    <w:rsid w:val="002B5C0F"/>
    <w:rsid w:val="002C53E5"/>
    <w:rsid w:val="002E3D72"/>
    <w:rsid w:val="00304C66"/>
    <w:rsid w:val="0032095E"/>
    <w:rsid w:val="00336B4E"/>
    <w:rsid w:val="003636FE"/>
    <w:rsid w:val="00365304"/>
    <w:rsid w:val="003C1999"/>
    <w:rsid w:val="003E5B58"/>
    <w:rsid w:val="004136D1"/>
    <w:rsid w:val="00423E6E"/>
    <w:rsid w:val="00427975"/>
    <w:rsid w:val="00435F2E"/>
    <w:rsid w:val="00436E80"/>
    <w:rsid w:val="00442F77"/>
    <w:rsid w:val="0045442E"/>
    <w:rsid w:val="00484CC8"/>
    <w:rsid w:val="004B2942"/>
    <w:rsid w:val="004E2DD3"/>
    <w:rsid w:val="004E4EB1"/>
    <w:rsid w:val="00510E14"/>
    <w:rsid w:val="005164EF"/>
    <w:rsid w:val="005168F7"/>
    <w:rsid w:val="005340F9"/>
    <w:rsid w:val="00546A23"/>
    <w:rsid w:val="00553BB1"/>
    <w:rsid w:val="00557AEB"/>
    <w:rsid w:val="0056456A"/>
    <w:rsid w:val="00593D79"/>
    <w:rsid w:val="005C234E"/>
    <w:rsid w:val="005E09EF"/>
    <w:rsid w:val="00600416"/>
    <w:rsid w:val="00610B1A"/>
    <w:rsid w:val="00610E13"/>
    <w:rsid w:val="00616EBE"/>
    <w:rsid w:val="006512C6"/>
    <w:rsid w:val="00662C9E"/>
    <w:rsid w:val="00663288"/>
    <w:rsid w:val="006636BA"/>
    <w:rsid w:val="00674B10"/>
    <w:rsid w:val="00712F84"/>
    <w:rsid w:val="0072056F"/>
    <w:rsid w:val="007229E3"/>
    <w:rsid w:val="00731EFD"/>
    <w:rsid w:val="007757F8"/>
    <w:rsid w:val="00790F1C"/>
    <w:rsid w:val="007D7059"/>
    <w:rsid w:val="00806AAB"/>
    <w:rsid w:val="00806D43"/>
    <w:rsid w:val="0080731C"/>
    <w:rsid w:val="00807954"/>
    <w:rsid w:val="008503EB"/>
    <w:rsid w:val="008929E3"/>
    <w:rsid w:val="008F5C49"/>
    <w:rsid w:val="00903679"/>
    <w:rsid w:val="009042ED"/>
    <w:rsid w:val="0094143F"/>
    <w:rsid w:val="009E098B"/>
    <w:rsid w:val="00A47B35"/>
    <w:rsid w:val="00A66AB1"/>
    <w:rsid w:val="00AB212E"/>
    <w:rsid w:val="00AB3B75"/>
    <w:rsid w:val="00AB7545"/>
    <w:rsid w:val="00AE1D5C"/>
    <w:rsid w:val="00AE56F2"/>
    <w:rsid w:val="00B04A06"/>
    <w:rsid w:val="00B101A6"/>
    <w:rsid w:val="00B23850"/>
    <w:rsid w:val="00B40577"/>
    <w:rsid w:val="00B41898"/>
    <w:rsid w:val="00B44029"/>
    <w:rsid w:val="00BA2F5C"/>
    <w:rsid w:val="00BB4DE8"/>
    <w:rsid w:val="00BE17EF"/>
    <w:rsid w:val="00C26181"/>
    <w:rsid w:val="00C322D4"/>
    <w:rsid w:val="00C7039C"/>
    <w:rsid w:val="00C83605"/>
    <w:rsid w:val="00C95AA6"/>
    <w:rsid w:val="00CA3C84"/>
    <w:rsid w:val="00CA67F1"/>
    <w:rsid w:val="00CB73E0"/>
    <w:rsid w:val="00D34675"/>
    <w:rsid w:val="00D62909"/>
    <w:rsid w:val="00D73255"/>
    <w:rsid w:val="00D83123"/>
    <w:rsid w:val="00DC3817"/>
    <w:rsid w:val="00DE6C25"/>
    <w:rsid w:val="00E208DB"/>
    <w:rsid w:val="00E212D6"/>
    <w:rsid w:val="00E73E38"/>
    <w:rsid w:val="00E73FCE"/>
    <w:rsid w:val="00E8531E"/>
    <w:rsid w:val="00EA74E5"/>
    <w:rsid w:val="00EB564D"/>
    <w:rsid w:val="00EC1414"/>
    <w:rsid w:val="00EC3002"/>
    <w:rsid w:val="00ED10BB"/>
    <w:rsid w:val="00ED5D1B"/>
    <w:rsid w:val="00EE6503"/>
    <w:rsid w:val="00EF4D7E"/>
    <w:rsid w:val="00F768F2"/>
    <w:rsid w:val="00F76EF9"/>
    <w:rsid w:val="00F83065"/>
    <w:rsid w:val="00FA310A"/>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600416"/>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60041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600416"/>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aliases w:val="DAR007,Signature Table"/>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11DE5"/>
    <w:pPr>
      <w:spacing w:before="480" w:after="360" w:line="600" w:lineRule="exact"/>
    </w:pPr>
    <w:rPr>
      <w:sz w:val="72"/>
    </w:rPr>
  </w:style>
  <w:style w:type="paragraph" w:customStyle="1" w:styleId="GazetteCoverH2">
    <w:name w:val="Gazette Cover H2"/>
    <w:basedOn w:val="GazetteHeading2"/>
    <w:qFormat/>
    <w:rsid w:val="00111DE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C300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C3002"/>
    <w:pPr>
      <w:spacing w:line="200" w:lineRule="exact"/>
    </w:pPr>
  </w:style>
  <w:style w:type="character" w:styleId="CommentReference">
    <w:name w:val="annotation reference"/>
    <w:basedOn w:val="DefaultParagraphFont"/>
    <w:uiPriority w:val="99"/>
    <w:unhideWhenUsed/>
    <w:rsid w:val="00EC3002"/>
    <w:rPr>
      <w:sz w:val="16"/>
      <w:szCs w:val="16"/>
    </w:rPr>
  </w:style>
  <w:style w:type="paragraph" w:styleId="CommentText">
    <w:name w:val="annotation text"/>
    <w:basedOn w:val="Normal"/>
    <w:link w:val="CommentTextChar"/>
    <w:uiPriority w:val="99"/>
    <w:unhideWhenUsed/>
    <w:rsid w:val="00EC300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C3002"/>
    <w:rPr>
      <w:sz w:val="20"/>
      <w:szCs w:val="20"/>
    </w:rPr>
  </w:style>
  <w:style w:type="paragraph" w:styleId="CommentSubject">
    <w:name w:val="annotation subject"/>
    <w:basedOn w:val="CommentText"/>
    <w:next w:val="CommentText"/>
    <w:link w:val="CommentSubjectChar"/>
    <w:uiPriority w:val="99"/>
    <w:semiHidden/>
    <w:unhideWhenUsed/>
    <w:rsid w:val="00EC3002"/>
    <w:rPr>
      <w:b/>
      <w:bCs/>
    </w:rPr>
  </w:style>
  <w:style w:type="character" w:customStyle="1" w:styleId="CommentSubjectChar">
    <w:name w:val="Comment Subject Char"/>
    <w:basedOn w:val="CommentTextChar"/>
    <w:link w:val="CommentSubject"/>
    <w:uiPriority w:val="99"/>
    <w:semiHidden/>
    <w:rsid w:val="00EC3002"/>
    <w:rPr>
      <w:b/>
      <w:bCs/>
      <w:sz w:val="20"/>
      <w:szCs w:val="20"/>
    </w:rPr>
  </w:style>
  <w:style w:type="paragraph" w:styleId="BalloonText">
    <w:name w:val="Balloon Text"/>
    <w:basedOn w:val="Normal"/>
    <w:link w:val="BalloonTextChar"/>
    <w:uiPriority w:val="99"/>
    <w:semiHidden/>
    <w:unhideWhenUsed/>
    <w:rsid w:val="00EC300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C3002"/>
    <w:rPr>
      <w:rFonts w:ascii="Segoe UI" w:hAnsi="Segoe UI" w:cs="Segoe UI"/>
      <w:sz w:val="18"/>
      <w:szCs w:val="18"/>
    </w:rPr>
  </w:style>
  <w:style w:type="character" w:customStyle="1" w:styleId="Response">
    <w:name w:val="Response"/>
    <w:basedOn w:val="DefaultParagraphFont"/>
    <w:uiPriority w:val="1"/>
    <w:qFormat/>
    <w:rsid w:val="00EC3002"/>
    <w:rPr>
      <w:rFonts w:ascii="Arial" w:hAnsi="Arial"/>
      <w:color w:val="44546A" w:themeColor="text2"/>
    </w:rPr>
  </w:style>
  <w:style w:type="paragraph" w:customStyle="1" w:styleId="S8Gazetttetableheading">
    <w:name w:val="S8 Gazettte table heading"/>
    <w:basedOn w:val="Normal"/>
    <w:qFormat/>
    <w:rsid w:val="00EC3002"/>
    <w:pPr>
      <w:spacing w:before="60" w:after="60"/>
      <w:jc w:val="both"/>
    </w:pPr>
    <w:rPr>
      <w:rFonts w:ascii="Franklin Gothic Medium" w:eastAsiaTheme="minorHAnsi" w:hAnsi="Franklin Gothic Medium" w:cstheme="minorHAnsi"/>
      <w:szCs w:val="22"/>
    </w:rPr>
  </w:style>
  <w:style w:type="character" w:styleId="FollowedHyperlink">
    <w:name w:val="FollowedHyperlink"/>
    <w:basedOn w:val="DefaultParagraphFont"/>
    <w:uiPriority w:val="99"/>
    <w:semiHidden/>
    <w:unhideWhenUsed/>
    <w:rsid w:val="00A47B35"/>
    <w:rPr>
      <w:color w:val="954F72" w:themeColor="followedHyperlink"/>
      <w:u w:val="single"/>
    </w:rPr>
  </w:style>
  <w:style w:type="character" w:styleId="UnresolvedMention">
    <w:name w:val="Unresolved Mention"/>
    <w:basedOn w:val="DefaultParagraphFont"/>
    <w:uiPriority w:val="99"/>
    <w:semiHidden/>
    <w:unhideWhenUsed/>
    <w:rsid w:val="00A47B35"/>
    <w:rPr>
      <w:color w:val="605E5C"/>
      <w:shd w:val="clear" w:color="auto" w:fill="E1DFDD"/>
    </w:rPr>
  </w:style>
  <w:style w:type="paragraph" w:customStyle="1" w:styleId="StatementofReasonsTableCaption">
    <w:name w:val="Statement of Reasons Table Caption"/>
    <w:basedOn w:val="Caption"/>
    <w:link w:val="StatementofReasonsTableCaptionChar"/>
    <w:qFormat/>
    <w:rsid w:val="00AB7545"/>
    <w:pPr>
      <w:keepNext/>
    </w:pPr>
  </w:style>
  <w:style w:type="character" w:customStyle="1" w:styleId="StatementofReasonsTableCaptionChar">
    <w:name w:val="Statement of Reasons Table Caption Char"/>
    <w:basedOn w:val="DefaultParagraphFont"/>
    <w:link w:val="StatementofReasonsTableCaption"/>
    <w:rsid w:val="00AB7545"/>
    <w:rPr>
      <w:rFonts w:ascii="Franklin Gothic Medium" w:hAnsi="Franklin Gothic Medium"/>
      <w:iCs/>
      <w:sz w:val="20"/>
      <w:szCs w:val="18"/>
    </w:rPr>
  </w:style>
  <w:style w:type="paragraph" w:customStyle="1" w:styleId="StatementofReasonsLevel1">
    <w:name w:val="Statement of Reasons Level 1"/>
    <w:basedOn w:val="GazetteListNumbered"/>
    <w:link w:val="StatementofReasonsLevel1Char"/>
    <w:qFormat/>
    <w:rsid w:val="00AB7545"/>
    <w:pPr>
      <w:numPr>
        <w:numId w:val="34"/>
      </w:numPr>
    </w:pPr>
  </w:style>
  <w:style w:type="character" w:customStyle="1" w:styleId="StatementofReasonsLevel1Char">
    <w:name w:val="Statement of Reasons Level 1 Char"/>
    <w:basedOn w:val="DefaultParagraphFont"/>
    <w:link w:val="StatementofReasonsLevel1"/>
    <w:rsid w:val="00AB7545"/>
    <w:rPr>
      <w:rFonts w:ascii="Arial"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link w:val="StatementofReasonsLevel2Char"/>
    <w:qFormat/>
    <w:rsid w:val="00AB7545"/>
    <w:pPr>
      <w:numPr>
        <w:ilvl w:val="1"/>
      </w:numPr>
      <w:tabs>
        <w:tab w:val="num" w:pos="1440"/>
      </w:tabs>
      <w:ind w:left="754" w:hanging="357"/>
    </w:pPr>
  </w:style>
  <w:style w:type="paragraph" w:customStyle="1" w:styleId="StatementofReasonsLevel3">
    <w:name w:val="Statement of Reasons Level 3"/>
    <w:basedOn w:val="StatementofReasonsLevel1"/>
    <w:qFormat/>
    <w:rsid w:val="00AB7545"/>
    <w:pPr>
      <w:numPr>
        <w:ilvl w:val="2"/>
      </w:numPr>
      <w:tabs>
        <w:tab w:val="num" w:pos="2160"/>
      </w:tabs>
      <w:ind w:left="2160" w:hanging="180"/>
    </w:pPr>
  </w:style>
  <w:style w:type="paragraph" w:customStyle="1" w:styleId="StatementofReasonsLevel4">
    <w:name w:val="Statement of Reasons Level 4"/>
    <w:basedOn w:val="StatementofReasonsLevel1"/>
    <w:qFormat/>
    <w:rsid w:val="00AB7545"/>
    <w:pPr>
      <w:numPr>
        <w:ilvl w:val="3"/>
      </w:numPr>
      <w:tabs>
        <w:tab w:val="num" w:pos="2880"/>
      </w:tabs>
      <w:ind w:left="2880" w:hanging="360"/>
    </w:pPr>
  </w:style>
  <w:style w:type="paragraph" w:customStyle="1" w:styleId="StatementofReasonsLevel5">
    <w:name w:val="Statement of Reasons Level 5"/>
    <w:basedOn w:val="StatementofReasonsLevel1"/>
    <w:link w:val="StatementofReasonsLevel5Char"/>
    <w:qFormat/>
    <w:rsid w:val="00AB7545"/>
    <w:pPr>
      <w:numPr>
        <w:ilvl w:val="4"/>
      </w:numPr>
      <w:tabs>
        <w:tab w:val="num" w:pos="3600"/>
      </w:tabs>
      <w:ind w:left="3600" w:hanging="360"/>
    </w:pPr>
  </w:style>
  <w:style w:type="paragraph" w:customStyle="1" w:styleId="StatementofReasonsLevel6">
    <w:name w:val="Statement of Reasons Level 6"/>
    <w:basedOn w:val="StatementofReasonsLevel1"/>
    <w:link w:val="StatementofReasonsLevel6Char"/>
    <w:qFormat/>
    <w:rsid w:val="00AB7545"/>
    <w:pPr>
      <w:numPr>
        <w:ilvl w:val="5"/>
      </w:numPr>
      <w:tabs>
        <w:tab w:val="num" w:pos="4320"/>
      </w:tabs>
      <w:ind w:left="4320" w:hanging="180"/>
    </w:pPr>
  </w:style>
  <w:style w:type="paragraph" w:customStyle="1" w:styleId="NormalText">
    <w:name w:val="Normal Text"/>
    <w:basedOn w:val="Normal"/>
    <w:link w:val="NormalTextChar"/>
    <w:qFormat/>
    <w:rsid w:val="00AB7545"/>
    <w:pPr>
      <w:suppressAutoHyphens/>
      <w:spacing w:before="240" w:after="240" w:line="280" w:lineRule="exact"/>
    </w:pPr>
    <w:rPr>
      <w:rFonts w:cs="Arial"/>
      <w:kern w:val="20"/>
      <w:sz w:val="19"/>
      <w:u w:color="000000"/>
    </w:rPr>
  </w:style>
  <w:style w:type="character" w:customStyle="1" w:styleId="NormalTextChar">
    <w:name w:val="Normal Text Char"/>
    <w:basedOn w:val="DefaultParagraphFont"/>
    <w:link w:val="NormalText"/>
    <w:rsid w:val="00AB7545"/>
    <w:rPr>
      <w:rFonts w:ascii="Arial" w:eastAsia="Times New Roman" w:hAnsi="Arial" w:cs="Arial"/>
      <w:kern w:val="20"/>
      <w:sz w:val="19"/>
      <w:szCs w:val="24"/>
      <w:u w:color="000000"/>
    </w:rPr>
  </w:style>
  <w:style w:type="character" w:customStyle="1" w:styleId="GazetteHeading2Char">
    <w:name w:val="Gazette Heading 2 Char"/>
    <w:basedOn w:val="DefaultParagraphFont"/>
    <w:link w:val="GazetteHeading2"/>
    <w:rsid w:val="00AB7545"/>
    <w:rPr>
      <w:rFonts w:ascii="Franklin Gothic Medium" w:eastAsiaTheme="majorEastAsia" w:hAnsi="Franklin Gothic Medium" w:cstheme="majorBidi"/>
      <w:bCs/>
      <w:iCs/>
      <w:sz w:val="24"/>
      <w:szCs w:val="26"/>
      <w:lang w:val="en-GB"/>
    </w:rPr>
  </w:style>
  <w:style w:type="paragraph" w:customStyle="1" w:styleId="StatementofReasonsHeading3">
    <w:name w:val="Statement of Reasons Heading 3"/>
    <w:basedOn w:val="StatementofReasonsLevel2"/>
    <w:link w:val="StatementofReasonsHeading3Char"/>
    <w:qFormat/>
    <w:rsid w:val="00AB7545"/>
    <w:pPr>
      <w:numPr>
        <w:ilvl w:val="0"/>
        <w:numId w:val="0"/>
      </w:numPr>
      <w:spacing w:before="240" w:after="240"/>
    </w:pPr>
    <w:rPr>
      <w:rFonts w:ascii="Franklin Gothic Medium" w:hAnsi="Franklin Gothic Medium"/>
      <w:sz w:val="22"/>
    </w:rPr>
  </w:style>
  <w:style w:type="character" w:customStyle="1" w:styleId="StatementofReasonsHeading3Char">
    <w:name w:val="Statement of Reasons Heading 3 Char"/>
    <w:basedOn w:val="DefaultParagraphFont"/>
    <w:link w:val="StatementofReasonsHeading3"/>
    <w:rsid w:val="00AB7545"/>
    <w:rPr>
      <w:rFonts w:ascii="Franklin Gothic Medium" w:eastAsia="Arial Unicode MS" w:hAnsi="Franklin Gothic Medium" w:cs="Arial Unicode MS"/>
      <w:color w:val="000000"/>
      <w:szCs w:val="18"/>
      <w:u w:color="000000"/>
      <w:bdr w:val="nil"/>
      <w:lang w:val="en-GB" w:eastAsia="en-AU"/>
    </w:rPr>
  </w:style>
  <w:style w:type="character" w:customStyle="1" w:styleId="StatementofReasonsLevel2Char">
    <w:name w:val="Statement of Reasons Level 2 Char"/>
    <w:basedOn w:val="StatementofReasonsLevel1Char"/>
    <w:link w:val="StatementofReasonsLevel2"/>
    <w:rsid w:val="00AB7545"/>
    <w:rPr>
      <w:rFonts w:ascii="Arial" w:eastAsia="Arial Unicode MS" w:hAnsi="Arial Unicode MS" w:cs="Arial Unicode MS"/>
      <w:color w:val="000000"/>
      <w:sz w:val="18"/>
      <w:szCs w:val="18"/>
      <w:u w:color="000000"/>
      <w:bdr w:val="nil"/>
      <w:lang w:val="en-GB" w:eastAsia="en-AU"/>
    </w:rPr>
  </w:style>
  <w:style w:type="character" w:customStyle="1" w:styleId="StatementofReasonsLevel5Char">
    <w:name w:val="Statement of Reasons Level 5 Char"/>
    <w:basedOn w:val="StatementofReasonsLevel1Char"/>
    <w:link w:val="StatementofReasonsLevel5"/>
    <w:rsid w:val="00AB7545"/>
    <w:rPr>
      <w:rFonts w:ascii="Arial" w:eastAsia="Arial Unicode MS" w:hAnsi="Arial Unicode MS" w:cs="Arial Unicode MS"/>
      <w:color w:val="000000"/>
      <w:sz w:val="18"/>
      <w:szCs w:val="18"/>
      <w:u w:color="000000"/>
      <w:bdr w:val="nil"/>
      <w:lang w:val="en-GB" w:eastAsia="en-AU"/>
    </w:rPr>
  </w:style>
  <w:style w:type="character" w:customStyle="1" w:styleId="StatementofReasonsLevel6Char">
    <w:name w:val="Statement of Reasons Level 6 Char"/>
    <w:basedOn w:val="StatementofReasonsLevel1Char"/>
    <w:link w:val="StatementofReasonsLevel6"/>
    <w:rsid w:val="00AB7545"/>
    <w:rPr>
      <w:rFonts w:ascii="Arial" w:eastAsia="Arial Unicode MS" w:hAnsi="Arial Unicode MS" w:cs="Arial Unicode MS"/>
      <w:color w:val="000000"/>
      <w:sz w:val="18"/>
      <w:szCs w:val="18"/>
      <w:u w:color="000000"/>
      <w:bdr w:val="nil"/>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yperlink" Target="https://apvma.us2.list-manage.com/subscribe?u=f09f7f9ed2a2867a19b99e2e4&amp;id=a025640240" TargetMode="External" Id="rId39" /><Relationship Type="http://schemas.openxmlformats.org/officeDocument/2006/relationships/footer" Target="footer2.xml" Id="rId21" /><Relationship Type="http://schemas.openxmlformats.org/officeDocument/2006/relationships/header" Target="header10.xml" Id="rId34" /><Relationship Type="http://schemas.openxmlformats.org/officeDocument/2006/relationships/hyperlink" Target="mailto:chemicalreview@apvma.gov.au" TargetMode="External" Id="rId42" /><Relationship Type="http://schemas.openxmlformats.org/officeDocument/2006/relationships/hyperlink" Target="https://www.apvma.gov.au/chemicals-and-products/chemical-review/listing/fenitrothion/fenitrothion-final-review-technical-report" TargetMode="External" Id="rId47" /><Relationship Type="http://schemas.openxmlformats.org/officeDocument/2006/relationships/footer" Target="footer6.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oleObject" Target="embeddings/oleObject1.bin"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72856" TargetMode="External" Id="rId32" /><Relationship Type="http://schemas.openxmlformats.org/officeDocument/2006/relationships/hyperlink" Target="https://www.apvma.gov.au/regulation/recalls/agvet-chemical-recalls/250813-randlab-gentamicin-injection" TargetMode="External" Id="rId37" /><Relationship Type="http://schemas.openxmlformats.org/officeDocument/2006/relationships/hyperlink" Target="https://www.apvma.gov.au/news-and-publications/publications/gazette/special-gazette-9-apr-24" TargetMode="External" Id="rId40" /><Relationship Type="http://schemas.openxmlformats.org/officeDocument/2006/relationships/footer" Target="footer4.xml" Id="rId45" /><Relationship Type="http://schemas.openxmlformats.org/officeDocument/2006/relationships/theme" Target="theme/theme1.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72856" TargetMode="External" Id="rId31" /><Relationship Type="http://schemas.openxmlformats.org/officeDocument/2006/relationships/header" Target="header13.xml" Id="rId44" /><Relationship Type="http://schemas.openxmlformats.org/officeDocument/2006/relationships/fontTable" Target="fontTable.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image" Target="media/image4.png" Id="rId30" /><Relationship Type="http://schemas.openxmlformats.org/officeDocument/2006/relationships/header" Target="header11.xml" Id="rId35" /><Relationship Type="http://schemas.openxmlformats.org/officeDocument/2006/relationships/header" Target="header12.xml" Id="rId43" /><Relationship Type="http://schemas.openxmlformats.org/officeDocument/2006/relationships/hyperlink" Target="mailto:chemicalreview@apvma.gov.au" TargetMode="External" Id="rId48" /><Relationship Type="http://schemas.openxmlformats.org/officeDocument/2006/relationships/endnotes" Target="endnotes.xml" Id="rId8" /><Relationship Type="http://schemas.openxmlformats.org/officeDocument/2006/relationships/footer" Target="footer7.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mailto:casemanagement@apvma.gov.au" TargetMode="External" Id="rId33" /><Relationship Type="http://schemas.openxmlformats.org/officeDocument/2006/relationships/hyperlink" Target="https://apvma.gov.au/node/27171" TargetMode="External" Id="rId38" /><Relationship Type="http://schemas.openxmlformats.org/officeDocument/2006/relationships/footer" Target="footer5.xml" Id="rId46" /><Relationship Type="http://schemas.openxmlformats.org/officeDocument/2006/relationships/header" Target="header4.xml" Id="rId20" /><Relationship Type="http://schemas.openxmlformats.org/officeDocument/2006/relationships/hyperlink" Target="https://www.apvma.gov.au/chemicals-and-products/chemical-review/listing/fenitrothion/fenitrothion-final-review-technical-report" TargetMode="External" Id="rId4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image" Target="media/image3.emf" Id="rId28" /><Relationship Type="http://schemas.openxmlformats.org/officeDocument/2006/relationships/hyperlink" Target="https://apvma.gov.au/node/59876" TargetMode="External" Id="rId36" /><Relationship Type="http://schemas.openxmlformats.org/officeDocument/2006/relationships/header" Target="header14.xml" Id="rId49" /><Relationship Type="http://schemas.openxmlformats.org/officeDocument/2006/relationships/customXml" Target="/customXML/item3.xml" Id="R0907730dfd8e45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A3598939</value>
    </field>
    <field name="Objective-Title">
      <value order="0">Gazette No 17, Tuesday 19 August 2025</value>
    </field>
    <field name="Objective-Description">
      <value order="0"/>
    </field>
    <field name="Objective-CreationStamp">
      <value order="0">2025-08-18T04:33:50Z</value>
    </field>
    <field name="Objective-IsApproved">
      <value order="0">false</value>
    </field>
    <field name="Objective-IsPublished">
      <value order="0">false</value>
    </field>
    <field name="Objective-DatePublished">
      <value order="0"/>
    </field>
    <field name="Objective-ModificationStamp">
      <value order="0">2025-08-18T06:28:08Z</value>
    </field>
    <field name="Objective-Owner">
      <value order="0">Kierra Maciver</value>
    </field>
    <field name="Objective-Path">
      <value order="0">APVMA:PUBLIC AFFAIRS AND COMMUNICATION:01 - Public Affairs and Communications - Media and External Communications:02 - Media and External Communications - Gazette - 2021-2025:2025:17 Gazette - 19 August 2025:03 - Compiled</value>
    </field>
    <field name="Objective-Parent">
      <value order="0">03 - Compiled</value>
    </field>
    <field name="Objective-State">
      <value order="0">Being Drafted</value>
    </field>
    <field name="Objective-VersionId">
      <value order="0">vA5411722</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44</Pages>
  <Words>14409</Words>
  <Characters>82134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96351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XX, Tuesday XX Month YYYY</dc:title>
  <dc:subject/>
  <dc:creator>APVMA</dc:creator>
  <cp:keywords/>
  <dc:description/>
  <cp:lastModifiedBy>GRIFFIN, Jordanna</cp:lastModifiedBy>
  <cp:revision>17</cp:revision>
  <cp:lastPrinted>2025-08-18T06:08:00Z</cp:lastPrinted>
  <dcterms:created xsi:type="dcterms:W3CDTF">2025-08-14T04:04:00Z</dcterms:created>
  <dcterms:modified xsi:type="dcterms:W3CDTF">2025-08-18T06:28:00Z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A3598939</vt:lpwstr>
  </property>
  <property fmtid="{D5CDD505-2E9C-101B-9397-08002B2CF9AE}" pid="4" name="Objective-Title">
    <vt:lpwstr>Gazette No 17, Tuesday 19 August 2025</vt:lpwstr>
  </property>
  <property fmtid="{D5CDD505-2E9C-101B-9397-08002B2CF9AE}" pid="5" name="Objective-Description">
    <vt:lpwstr/>
  </property>
  <property fmtid="{D5CDD505-2E9C-101B-9397-08002B2CF9AE}" pid="6" name="Objective-CreationStamp">
    <vt:filetime>2025-08-18T04:33:50Z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2025-08-18T06:28:08Z</vt:filetime>
  </property>
  <property fmtid="{D5CDD505-2E9C-101B-9397-08002B2CF9AE}" pid="11" name="Objective-Owner">
    <vt:lpwstr>Kierra Maciver</vt:lpwstr>
  </property>
  <property fmtid="{D5CDD505-2E9C-101B-9397-08002B2CF9AE}" pid="12" name="Objective-Path">
    <vt:lpwstr>APVMA:PUBLIC AFFAIRS AND COMMUNICATION:01 - Public Affairs and Communications - Media and External Communications:02 - Media and External Communications - Gazette - 2021-2025:2025:17 Gazette - 19 August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vA5411722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