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6432CE3E">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57C69C84" w:rsidR="003C0891" w:rsidRDefault="006D36C8" w:rsidP="00193533">
      <w:pPr>
        <w:pStyle w:val="APVMACoverSubtitle"/>
        <w:jc w:val="center"/>
      </w:pPr>
      <w:r>
        <w:t xml:space="preserve">on </w:t>
      </w:r>
      <w:r w:rsidR="008D3560" w:rsidRPr="008D3560">
        <w:t xml:space="preserve">sulfoxaflor </w:t>
      </w:r>
      <w:r>
        <w:t>in the product</w:t>
      </w:r>
      <w:r w:rsidR="008D3560" w:rsidRPr="008D3560">
        <w:t xml:space="preserve"> Expedite Full Insecticide</w:t>
      </w:r>
      <w:r w:rsidR="008D3560">
        <w:t xml:space="preserve"> </w:t>
      </w:r>
      <w:r>
        <w:t xml:space="preserve">for use on </w:t>
      </w:r>
      <w:r w:rsidR="008D3560">
        <w:t>faba beans</w:t>
      </w:r>
      <w:r w:rsidR="00DE4091">
        <w:t>.</w:t>
      </w:r>
    </w:p>
    <w:p w14:paraId="7FB897BF" w14:textId="43C0D560" w:rsidR="006D36C8" w:rsidRDefault="006D36C8" w:rsidP="00193533">
      <w:pPr>
        <w:pStyle w:val="APVMACoverSubtitle"/>
        <w:jc w:val="center"/>
      </w:pPr>
      <w:r>
        <w:t xml:space="preserve">APVMA product number </w:t>
      </w:r>
      <w:r w:rsidR="008D3560" w:rsidRPr="008D3560">
        <w:t>65464</w:t>
      </w:r>
      <w:r w:rsidR="008D3560">
        <w:t>.</w:t>
      </w:r>
      <w:r w:rsidR="00DE4091">
        <w:br/>
      </w:r>
      <w:r w:rsidR="008D3560">
        <w:t xml:space="preserve">Label name </w:t>
      </w:r>
      <w:r w:rsidR="008D3560" w:rsidRPr="008D3560">
        <w:t xml:space="preserve">Transform WG </w:t>
      </w:r>
      <w:proofErr w:type="spellStart"/>
      <w:r w:rsidR="008D3560" w:rsidRPr="008D3560">
        <w:t>Isoclast</w:t>
      </w:r>
      <w:proofErr w:type="spellEnd"/>
      <w:r w:rsidR="008D3560" w:rsidRPr="008D3560">
        <w:t xml:space="preserve"> active Insecticide</w:t>
      </w:r>
      <w:r w:rsidR="00DE4091">
        <w:t>.</w:t>
      </w:r>
    </w:p>
    <w:p w14:paraId="5C6E8565" w14:textId="35410FFB" w:rsidR="00193533" w:rsidRPr="00E41FED" w:rsidRDefault="00E70E89"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Ju</w:t>
      </w:r>
      <w:r w:rsidR="00C63CA7">
        <w:t>ly</w:t>
      </w:r>
      <w:r>
        <w:t xml:space="preserve"> </w:t>
      </w:r>
      <w:r w:rsidR="008D3560">
        <w:t>2025</w:t>
      </w:r>
    </w:p>
    <w:p w14:paraId="170061D7" w14:textId="4F19A960" w:rsidR="00862E63" w:rsidRPr="005C0ACC" w:rsidRDefault="00862E63" w:rsidP="00021A6A">
      <w:pPr>
        <w:pStyle w:val="Copyrightpage"/>
      </w:pPr>
      <w:r w:rsidRPr="005C0ACC">
        <w:lastRenderedPageBreak/>
        <w:t xml:space="preserve">© Australian Pesticides and Veterinary Medicines Authority </w:t>
      </w:r>
      <w:r w:rsidR="008D3560" w:rsidRPr="008D3560">
        <w:t>2025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195123E0"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231BAE" w:rsidRPr="00231BAE">
        <w:t>GPO Box 574</w:t>
      </w:r>
      <w:r w:rsidR="00231BAE">
        <w:br/>
      </w:r>
      <w:r w:rsidR="00231BAE" w:rsidRPr="00231BAE">
        <w:t>Canberra ACT 2601,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562B1EB2" w14:textId="7AED0E2C" w:rsidR="00231BAE"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02969272" w:history="1">
        <w:r w:rsidR="00231BAE" w:rsidRPr="00C81650">
          <w:rPr>
            <w:rStyle w:val="Hyperlink"/>
          </w:rPr>
          <w:t>Preface</w:t>
        </w:r>
        <w:r w:rsidR="00231BAE">
          <w:rPr>
            <w:webHidden/>
          </w:rPr>
          <w:tab/>
        </w:r>
        <w:r w:rsidR="00231BAE">
          <w:rPr>
            <w:webHidden/>
          </w:rPr>
          <w:fldChar w:fldCharType="begin"/>
        </w:r>
        <w:r w:rsidR="00231BAE">
          <w:rPr>
            <w:webHidden/>
          </w:rPr>
          <w:instrText xml:space="preserve"> PAGEREF _Toc202969272 \h </w:instrText>
        </w:r>
        <w:r w:rsidR="00231BAE">
          <w:rPr>
            <w:webHidden/>
          </w:rPr>
        </w:r>
        <w:r w:rsidR="00231BAE">
          <w:rPr>
            <w:webHidden/>
          </w:rPr>
          <w:fldChar w:fldCharType="separate"/>
        </w:r>
        <w:r w:rsidR="005B43FF">
          <w:rPr>
            <w:webHidden/>
          </w:rPr>
          <w:t>1</w:t>
        </w:r>
        <w:r w:rsidR="00231BAE">
          <w:rPr>
            <w:webHidden/>
          </w:rPr>
          <w:fldChar w:fldCharType="end"/>
        </w:r>
      </w:hyperlink>
    </w:p>
    <w:p w14:paraId="4F456383" w14:textId="3FE30B84"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73" w:history="1">
        <w:r w:rsidRPr="00C81650">
          <w:rPr>
            <w:rStyle w:val="Hyperlink"/>
          </w:rPr>
          <w:t>About this document</w:t>
        </w:r>
        <w:r>
          <w:rPr>
            <w:webHidden/>
          </w:rPr>
          <w:tab/>
        </w:r>
        <w:r>
          <w:rPr>
            <w:webHidden/>
          </w:rPr>
          <w:fldChar w:fldCharType="begin"/>
        </w:r>
        <w:r>
          <w:rPr>
            <w:webHidden/>
          </w:rPr>
          <w:instrText xml:space="preserve"> PAGEREF _Toc202969273 \h </w:instrText>
        </w:r>
        <w:r>
          <w:rPr>
            <w:webHidden/>
          </w:rPr>
        </w:r>
        <w:r>
          <w:rPr>
            <w:webHidden/>
          </w:rPr>
          <w:fldChar w:fldCharType="separate"/>
        </w:r>
        <w:r w:rsidR="005B43FF">
          <w:rPr>
            <w:webHidden/>
          </w:rPr>
          <w:t>1</w:t>
        </w:r>
        <w:r>
          <w:rPr>
            <w:webHidden/>
          </w:rPr>
          <w:fldChar w:fldCharType="end"/>
        </w:r>
      </w:hyperlink>
    </w:p>
    <w:p w14:paraId="3407720E" w14:textId="4DACE221"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74" w:history="1">
        <w:r w:rsidRPr="00C81650">
          <w:rPr>
            <w:rStyle w:val="Hyperlink"/>
          </w:rPr>
          <w:t>Making a submission</w:t>
        </w:r>
        <w:r>
          <w:rPr>
            <w:webHidden/>
          </w:rPr>
          <w:tab/>
        </w:r>
        <w:r>
          <w:rPr>
            <w:webHidden/>
          </w:rPr>
          <w:fldChar w:fldCharType="begin"/>
        </w:r>
        <w:r>
          <w:rPr>
            <w:webHidden/>
          </w:rPr>
          <w:instrText xml:space="preserve"> PAGEREF _Toc202969274 \h </w:instrText>
        </w:r>
        <w:r>
          <w:rPr>
            <w:webHidden/>
          </w:rPr>
        </w:r>
        <w:r>
          <w:rPr>
            <w:webHidden/>
          </w:rPr>
          <w:fldChar w:fldCharType="separate"/>
        </w:r>
        <w:r w:rsidR="005B43FF">
          <w:rPr>
            <w:webHidden/>
          </w:rPr>
          <w:t>1</w:t>
        </w:r>
        <w:r>
          <w:rPr>
            <w:webHidden/>
          </w:rPr>
          <w:fldChar w:fldCharType="end"/>
        </w:r>
      </w:hyperlink>
    </w:p>
    <w:p w14:paraId="1CAF5848" w14:textId="54371259"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75" w:history="1">
        <w:r w:rsidRPr="00C81650">
          <w:rPr>
            <w:rStyle w:val="Hyperlink"/>
          </w:rPr>
          <w:t>Further information</w:t>
        </w:r>
        <w:r>
          <w:rPr>
            <w:webHidden/>
          </w:rPr>
          <w:tab/>
        </w:r>
        <w:r>
          <w:rPr>
            <w:webHidden/>
          </w:rPr>
          <w:fldChar w:fldCharType="begin"/>
        </w:r>
        <w:r>
          <w:rPr>
            <w:webHidden/>
          </w:rPr>
          <w:instrText xml:space="preserve"> PAGEREF _Toc202969275 \h </w:instrText>
        </w:r>
        <w:r>
          <w:rPr>
            <w:webHidden/>
          </w:rPr>
        </w:r>
        <w:r>
          <w:rPr>
            <w:webHidden/>
          </w:rPr>
          <w:fldChar w:fldCharType="separate"/>
        </w:r>
        <w:r w:rsidR="005B43FF">
          <w:rPr>
            <w:webHidden/>
          </w:rPr>
          <w:t>2</w:t>
        </w:r>
        <w:r>
          <w:rPr>
            <w:webHidden/>
          </w:rPr>
          <w:fldChar w:fldCharType="end"/>
        </w:r>
      </w:hyperlink>
    </w:p>
    <w:p w14:paraId="0DDA89CB" w14:textId="0DC4EA12" w:rsidR="00231BAE" w:rsidRDefault="00231BA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2969276" w:history="1">
        <w:r w:rsidRPr="00C81650">
          <w:rPr>
            <w:rStyle w:val="Hyperlink"/>
          </w:rPr>
          <w:t>Introduction</w:t>
        </w:r>
        <w:r>
          <w:rPr>
            <w:webHidden/>
          </w:rPr>
          <w:tab/>
        </w:r>
        <w:r>
          <w:rPr>
            <w:webHidden/>
          </w:rPr>
          <w:fldChar w:fldCharType="begin"/>
        </w:r>
        <w:r>
          <w:rPr>
            <w:webHidden/>
          </w:rPr>
          <w:instrText xml:space="preserve"> PAGEREF _Toc202969276 \h </w:instrText>
        </w:r>
        <w:r>
          <w:rPr>
            <w:webHidden/>
          </w:rPr>
        </w:r>
        <w:r>
          <w:rPr>
            <w:webHidden/>
          </w:rPr>
          <w:fldChar w:fldCharType="separate"/>
        </w:r>
        <w:r w:rsidR="005B43FF">
          <w:rPr>
            <w:webHidden/>
          </w:rPr>
          <w:t>3</w:t>
        </w:r>
        <w:r>
          <w:rPr>
            <w:webHidden/>
          </w:rPr>
          <w:fldChar w:fldCharType="end"/>
        </w:r>
      </w:hyperlink>
    </w:p>
    <w:p w14:paraId="13E4D6BD" w14:textId="0154DA0A" w:rsidR="00231BAE" w:rsidRDefault="00231BA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2969277" w:history="1">
        <w:r w:rsidRPr="00C81650">
          <w:rPr>
            <w:rStyle w:val="Hyperlink"/>
          </w:rPr>
          <w:t>Trade considerations</w:t>
        </w:r>
        <w:r>
          <w:rPr>
            <w:webHidden/>
          </w:rPr>
          <w:tab/>
        </w:r>
        <w:r>
          <w:rPr>
            <w:webHidden/>
          </w:rPr>
          <w:fldChar w:fldCharType="begin"/>
        </w:r>
        <w:r>
          <w:rPr>
            <w:webHidden/>
          </w:rPr>
          <w:instrText xml:space="preserve"> PAGEREF _Toc202969277 \h </w:instrText>
        </w:r>
        <w:r>
          <w:rPr>
            <w:webHidden/>
          </w:rPr>
        </w:r>
        <w:r>
          <w:rPr>
            <w:webHidden/>
          </w:rPr>
          <w:fldChar w:fldCharType="separate"/>
        </w:r>
        <w:r w:rsidR="005B43FF">
          <w:rPr>
            <w:webHidden/>
          </w:rPr>
          <w:t>4</w:t>
        </w:r>
        <w:r>
          <w:rPr>
            <w:webHidden/>
          </w:rPr>
          <w:fldChar w:fldCharType="end"/>
        </w:r>
      </w:hyperlink>
    </w:p>
    <w:p w14:paraId="4D0EC7A8" w14:textId="62372B04"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78" w:history="1">
        <w:r w:rsidRPr="00C81650">
          <w:rPr>
            <w:rStyle w:val="Hyperlink"/>
          </w:rPr>
          <w:t>Commodities exported</w:t>
        </w:r>
        <w:r>
          <w:rPr>
            <w:webHidden/>
          </w:rPr>
          <w:tab/>
        </w:r>
        <w:r>
          <w:rPr>
            <w:webHidden/>
          </w:rPr>
          <w:fldChar w:fldCharType="begin"/>
        </w:r>
        <w:r>
          <w:rPr>
            <w:webHidden/>
          </w:rPr>
          <w:instrText xml:space="preserve"> PAGEREF _Toc202969278 \h </w:instrText>
        </w:r>
        <w:r>
          <w:rPr>
            <w:webHidden/>
          </w:rPr>
        </w:r>
        <w:r>
          <w:rPr>
            <w:webHidden/>
          </w:rPr>
          <w:fldChar w:fldCharType="separate"/>
        </w:r>
        <w:r w:rsidR="005B43FF">
          <w:rPr>
            <w:webHidden/>
          </w:rPr>
          <w:t>4</w:t>
        </w:r>
        <w:r>
          <w:rPr>
            <w:webHidden/>
          </w:rPr>
          <w:fldChar w:fldCharType="end"/>
        </w:r>
      </w:hyperlink>
    </w:p>
    <w:p w14:paraId="4B0E5E4F" w14:textId="5BD320BE"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79" w:history="1">
        <w:r w:rsidRPr="00C81650">
          <w:rPr>
            <w:rStyle w:val="Hyperlink"/>
          </w:rPr>
          <w:t>Destination and value of exports</w:t>
        </w:r>
        <w:r>
          <w:rPr>
            <w:webHidden/>
          </w:rPr>
          <w:tab/>
        </w:r>
        <w:r>
          <w:rPr>
            <w:webHidden/>
          </w:rPr>
          <w:fldChar w:fldCharType="begin"/>
        </w:r>
        <w:r>
          <w:rPr>
            <w:webHidden/>
          </w:rPr>
          <w:instrText xml:space="preserve"> PAGEREF _Toc202969279 \h </w:instrText>
        </w:r>
        <w:r>
          <w:rPr>
            <w:webHidden/>
          </w:rPr>
        </w:r>
        <w:r>
          <w:rPr>
            <w:webHidden/>
          </w:rPr>
          <w:fldChar w:fldCharType="separate"/>
        </w:r>
        <w:r w:rsidR="005B43FF">
          <w:rPr>
            <w:webHidden/>
          </w:rPr>
          <w:t>4</w:t>
        </w:r>
        <w:r>
          <w:rPr>
            <w:webHidden/>
          </w:rPr>
          <w:fldChar w:fldCharType="end"/>
        </w:r>
      </w:hyperlink>
    </w:p>
    <w:p w14:paraId="0144D438" w14:textId="743C48E2"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80" w:history="1">
        <w:r w:rsidRPr="00C81650">
          <w:rPr>
            <w:rStyle w:val="Hyperlink"/>
          </w:rPr>
          <w:t>Proposed Australian use pattern</w:t>
        </w:r>
        <w:r>
          <w:rPr>
            <w:webHidden/>
          </w:rPr>
          <w:tab/>
        </w:r>
        <w:r>
          <w:rPr>
            <w:webHidden/>
          </w:rPr>
          <w:fldChar w:fldCharType="begin"/>
        </w:r>
        <w:r>
          <w:rPr>
            <w:webHidden/>
          </w:rPr>
          <w:instrText xml:space="preserve"> PAGEREF _Toc202969280 \h </w:instrText>
        </w:r>
        <w:r>
          <w:rPr>
            <w:webHidden/>
          </w:rPr>
        </w:r>
        <w:r>
          <w:rPr>
            <w:webHidden/>
          </w:rPr>
          <w:fldChar w:fldCharType="separate"/>
        </w:r>
        <w:r w:rsidR="005B43FF">
          <w:rPr>
            <w:webHidden/>
          </w:rPr>
          <w:t>5</w:t>
        </w:r>
        <w:r>
          <w:rPr>
            <w:webHidden/>
          </w:rPr>
          <w:fldChar w:fldCharType="end"/>
        </w:r>
      </w:hyperlink>
    </w:p>
    <w:p w14:paraId="488E21D0" w14:textId="6B75FCC1"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81" w:history="1">
        <w:r w:rsidRPr="00C81650">
          <w:rPr>
            <w:rStyle w:val="Hyperlink"/>
          </w:rPr>
          <w:t>Results from residues trials presented to the APVMA</w:t>
        </w:r>
        <w:r>
          <w:rPr>
            <w:webHidden/>
          </w:rPr>
          <w:tab/>
        </w:r>
        <w:r>
          <w:rPr>
            <w:webHidden/>
          </w:rPr>
          <w:fldChar w:fldCharType="begin"/>
        </w:r>
        <w:r>
          <w:rPr>
            <w:webHidden/>
          </w:rPr>
          <w:instrText xml:space="preserve"> PAGEREF _Toc202969281 \h </w:instrText>
        </w:r>
        <w:r>
          <w:rPr>
            <w:webHidden/>
          </w:rPr>
        </w:r>
        <w:r>
          <w:rPr>
            <w:webHidden/>
          </w:rPr>
          <w:fldChar w:fldCharType="separate"/>
        </w:r>
        <w:r w:rsidR="005B43FF">
          <w:rPr>
            <w:webHidden/>
          </w:rPr>
          <w:t>6</w:t>
        </w:r>
        <w:r>
          <w:rPr>
            <w:webHidden/>
          </w:rPr>
          <w:fldChar w:fldCharType="end"/>
        </w:r>
      </w:hyperlink>
    </w:p>
    <w:p w14:paraId="0FB40E9F" w14:textId="2F4D0125"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82" w:history="1">
        <w:r w:rsidRPr="00C81650">
          <w:rPr>
            <w:rStyle w:val="Hyperlink"/>
          </w:rPr>
          <w:t>Codex Alimentarius Commission and overseas MRLs</w:t>
        </w:r>
        <w:r>
          <w:rPr>
            <w:webHidden/>
          </w:rPr>
          <w:tab/>
        </w:r>
        <w:r>
          <w:rPr>
            <w:webHidden/>
          </w:rPr>
          <w:fldChar w:fldCharType="begin"/>
        </w:r>
        <w:r>
          <w:rPr>
            <w:webHidden/>
          </w:rPr>
          <w:instrText xml:space="preserve"> PAGEREF _Toc202969282 \h </w:instrText>
        </w:r>
        <w:r>
          <w:rPr>
            <w:webHidden/>
          </w:rPr>
        </w:r>
        <w:r>
          <w:rPr>
            <w:webHidden/>
          </w:rPr>
          <w:fldChar w:fldCharType="separate"/>
        </w:r>
        <w:r w:rsidR="005B43FF">
          <w:rPr>
            <w:webHidden/>
          </w:rPr>
          <w:t>7</w:t>
        </w:r>
        <w:r>
          <w:rPr>
            <w:webHidden/>
          </w:rPr>
          <w:fldChar w:fldCharType="end"/>
        </w:r>
      </w:hyperlink>
    </w:p>
    <w:p w14:paraId="09A1917A" w14:textId="65E34DC0"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83" w:history="1">
        <w:r w:rsidRPr="00C81650">
          <w:rPr>
            <w:rStyle w:val="Hyperlink"/>
          </w:rPr>
          <w:t>Current and proposed Australian MRLs for sulfoxaflor</w:t>
        </w:r>
        <w:r>
          <w:rPr>
            <w:webHidden/>
          </w:rPr>
          <w:tab/>
        </w:r>
        <w:r>
          <w:rPr>
            <w:webHidden/>
          </w:rPr>
          <w:fldChar w:fldCharType="begin"/>
        </w:r>
        <w:r>
          <w:rPr>
            <w:webHidden/>
          </w:rPr>
          <w:instrText xml:space="preserve"> PAGEREF _Toc202969283 \h </w:instrText>
        </w:r>
        <w:r>
          <w:rPr>
            <w:webHidden/>
          </w:rPr>
        </w:r>
        <w:r>
          <w:rPr>
            <w:webHidden/>
          </w:rPr>
          <w:fldChar w:fldCharType="separate"/>
        </w:r>
        <w:r w:rsidR="005B43FF">
          <w:rPr>
            <w:webHidden/>
          </w:rPr>
          <w:t>8</w:t>
        </w:r>
        <w:r>
          <w:rPr>
            <w:webHidden/>
          </w:rPr>
          <w:fldChar w:fldCharType="end"/>
        </w:r>
      </w:hyperlink>
    </w:p>
    <w:p w14:paraId="1656B324" w14:textId="6E20517E" w:rsidR="00231BAE" w:rsidRDefault="00231BAE">
      <w:pPr>
        <w:pStyle w:val="TOC2"/>
        <w:rPr>
          <w:rFonts w:asciiTheme="minorHAnsi" w:eastAsiaTheme="minorEastAsia" w:hAnsiTheme="minorHAnsi" w:cstheme="minorBidi"/>
          <w:b w:val="0"/>
          <w:color w:val="auto"/>
          <w:kern w:val="2"/>
          <w:sz w:val="24"/>
          <w:lang w:eastAsia="en-AU"/>
          <w14:ligatures w14:val="standardContextual"/>
        </w:rPr>
      </w:pPr>
      <w:hyperlink w:anchor="_Toc202969284" w:history="1">
        <w:r w:rsidRPr="00C81650">
          <w:rPr>
            <w:rStyle w:val="Hyperlink"/>
          </w:rPr>
          <w:t>Potential risk to trade</w:t>
        </w:r>
        <w:r>
          <w:rPr>
            <w:webHidden/>
          </w:rPr>
          <w:tab/>
        </w:r>
        <w:r>
          <w:rPr>
            <w:webHidden/>
          </w:rPr>
          <w:fldChar w:fldCharType="begin"/>
        </w:r>
        <w:r>
          <w:rPr>
            <w:webHidden/>
          </w:rPr>
          <w:instrText xml:space="preserve"> PAGEREF _Toc202969284 \h </w:instrText>
        </w:r>
        <w:r>
          <w:rPr>
            <w:webHidden/>
          </w:rPr>
        </w:r>
        <w:r>
          <w:rPr>
            <w:webHidden/>
          </w:rPr>
          <w:fldChar w:fldCharType="separate"/>
        </w:r>
        <w:r w:rsidR="005B43FF">
          <w:rPr>
            <w:webHidden/>
          </w:rPr>
          <w:t>9</w:t>
        </w:r>
        <w:r>
          <w:rPr>
            <w:webHidden/>
          </w:rPr>
          <w:fldChar w:fldCharType="end"/>
        </w:r>
      </w:hyperlink>
    </w:p>
    <w:p w14:paraId="172319F0" w14:textId="7123581E" w:rsidR="00231BAE" w:rsidRDefault="00231BA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2969285" w:history="1">
        <w:r w:rsidRPr="00C81650">
          <w:rPr>
            <w:rStyle w:val="Hyperlink"/>
          </w:rPr>
          <w:t>Conclusion</w:t>
        </w:r>
        <w:r>
          <w:rPr>
            <w:webHidden/>
          </w:rPr>
          <w:tab/>
        </w:r>
        <w:r>
          <w:rPr>
            <w:webHidden/>
          </w:rPr>
          <w:fldChar w:fldCharType="begin"/>
        </w:r>
        <w:r>
          <w:rPr>
            <w:webHidden/>
          </w:rPr>
          <w:instrText xml:space="preserve"> PAGEREF _Toc202969285 \h </w:instrText>
        </w:r>
        <w:r>
          <w:rPr>
            <w:webHidden/>
          </w:rPr>
        </w:r>
        <w:r>
          <w:rPr>
            <w:webHidden/>
          </w:rPr>
          <w:fldChar w:fldCharType="separate"/>
        </w:r>
        <w:r w:rsidR="005B43FF">
          <w:rPr>
            <w:webHidden/>
          </w:rPr>
          <w:t>11</w:t>
        </w:r>
        <w:r>
          <w:rPr>
            <w:webHidden/>
          </w:rPr>
          <w:fldChar w:fldCharType="end"/>
        </w:r>
      </w:hyperlink>
    </w:p>
    <w:p w14:paraId="7A4490E8" w14:textId="77777777" w:rsidR="00231BAE"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3377FAB6" w14:textId="28C6907E" w:rsidR="00231BAE" w:rsidRDefault="00231BAE">
      <w:pPr>
        <w:pStyle w:val="TableofFigures"/>
        <w:rPr>
          <w:rFonts w:asciiTheme="minorHAnsi" w:eastAsiaTheme="minorEastAsia" w:hAnsiTheme="minorHAnsi" w:cstheme="minorBidi"/>
          <w:kern w:val="2"/>
          <w:sz w:val="24"/>
          <w:lang w:eastAsia="en-AU"/>
          <w14:ligatures w14:val="standardContextual"/>
        </w:rPr>
      </w:pPr>
      <w:hyperlink w:anchor="_Toc202969286" w:history="1">
        <w:r w:rsidRPr="004C1A71">
          <w:rPr>
            <w:rStyle w:val="Hyperlink"/>
          </w:rPr>
          <w:t>Table 1:</w:t>
        </w:r>
        <w:r>
          <w:rPr>
            <w:rFonts w:asciiTheme="minorHAnsi" w:eastAsiaTheme="minorEastAsia" w:hAnsiTheme="minorHAnsi" w:cstheme="minorBidi"/>
            <w:kern w:val="2"/>
            <w:sz w:val="24"/>
            <w:lang w:eastAsia="en-AU"/>
            <w14:ligatures w14:val="standardContextual"/>
          </w:rPr>
          <w:tab/>
        </w:r>
        <w:r w:rsidRPr="004C1A71">
          <w:rPr>
            <w:rStyle w:val="Hyperlink"/>
          </w:rPr>
          <w:t>Proposed use pattern for faba beans being considered by the APVMA</w:t>
        </w:r>
        <w:r>
          <w:rPr>
            <w:webHidden/>
          </w:rPr>
          <w:tab/>
        </w:r>
        <w:r>
          <w:rPr>
            <w:webHidden/>
          </w:rPr>
          <w:fldChar w:fldCharType="begin"/>
        </w:r>
        <w:r>
          <w:rPr>
            <w:webHidden/>
          </w:rPr>
          <w:instrText xml:space="preserve"> PAGEREF _Toc202969286 \h </w:instrText>
        </w:r>
        <w:r>
          <w:rPr>
            <w:webHidden/>
          </w:rPr>
        </w:r>
        <w:r>
          <w:rPr>
            <w:webHidden/>
          </w:rPr>
          <w:fldChar w:fldCharType="separate"/>
        </w:r>
        <w:r w:rsidR="005B43FF">
          <w:rPr>
            <w:webHidden/>
          </w:rPr>
          <w:t>5</w:t>
        </w:r>
        <w:r>
          <w:rPr>
            <w:webHidden/>
          </w:rPr>
          <w:fldChar w:fldCharType="end"/>
        </w:r>
      </w:hyperlink>
    </w:p>
    <w:p w14:paraId="1CD9D749" w14:textId="3529144A" w:rsidR="00231BAE" w:rsidRDefault="00231BAE">
      <w:pPr>
        <w:pStyle w:val="TableofFigures"/>
        <w:rPr>
          <w:rFonts w:asciiTheme="minorHAnsi" w:eastAsiaTheme="minorEastAsia" w:hAnsiTheme="minorHAnsi" w:cstheme="minorBidi"/>
          <w:kern w:val="2"/>
          <w:sz w:val="24"/>
          <w:lang w:eastAsia="en-AU"/>
          <w14:ligatures w14:val="standardContextual"/>
        </w:rPr>
      </w:pPr>
      <w:hyperlink w:anchor="_Toc202969287" w:history="1">
        <w:r w:rsidRPr="004C1A71">
          <w:rPr>
            <w:rStyle w:val="Hyperlink"/>
          </w:rPr>
          <w:t>Table 2:</w:t>
        </w:r>
        <w:r>
          <w:rPr>
            <w:rFonts w:asciiTheme="minorHAnsi" w:eastAsiaTheme="minorEastAsia" w:hAnsiTheme="minorHAnsi" w:cstheme="minorBidi"/>
            <w:kern w:val="2"/>
            <w:sz w:val="24"/>
            <w:lang w:eastAsia="en-AU"/>
            <w14:ligatures w14:val="standardContextual"/>
          </w:rPr>
          <w:tab/>
        </w:r>
        <w:r w:rsidRPr="004C1A71">
          <w:rPr>
            <w:rStyle w:val="Hyperlink"/>
          </w:rPr>
          <w:t>Relevant international MRLs for sulfoxaflor on dry beans</w:t>
        </w:r>
        <w:r>
          <w:rPr>
            <w:webHidden/>
          </w:rPr>
          <w:tab/>
        </w:r>
        <w:r>
          <w:rPr>
            <w:webHidden/>
          </w:rPr>
          <w:fldChar w:fldCharType="begin"/>
        </w:r>
        <w:r>
          <w:rPr>
            <w:webHidden/>
          </w:rPr>
          <w:instrText xml:space="preserve"> PAGEREF _Toc202969287 \h </w:instrText>
        </w:r>
        <w:r>
          <w:rPr>
            <w:webHidden/>
          </w:rPr>
        </w:r>
        <w:r>
          <w:rPr>
            <w:webHidden/>
          </w:rPr>
          <w:fldChar w:fldCharType="separate"/>
        </w:r>
        <w:r w:rsidR="005B43FF">
          <w:rPr>
            <w:webHidden/>
          </w:rPr>
          <w:t>7</w:t>
        </w:r>
        <w:r>
          <w:rPr>
            <w:webHidden/>
          </w:rPr>
          <w:fldChar w:fldCharType="end"/>
        </w:r>
      </w:hyperlink>
    </w:p>
    <w:p w14:paraId="6C24C3B7" w14:textId="7BEFE0DA" w:rsidR="00231BAE" w:rsidRDefault="00231BAE">
      <w:pPr>
        <w:pStyle w:val="TableofFigures"/>
        <w:rPr>
          <w:rFonts w:asciiTheme="minorHAnsi" w:eastAsiaTheme="minorEastAsia" w:hAnsiTheme="minorHAnsi" w:cstheme="minorBidi"/>
          <w:kern w:val="2"/>
          <w:sz w:val="24"/>
          <w:lang w:eastAsia="en-AU"/>
          <w14:ligatures w14:val="standardContextual"/>
        </w:rPr>
      </w:pPr>
      <w:hyperlink w:anchor="_Toc202969288" w:history="1">
        <w:r w:rsidRPr="004C1A71">
          <w:rPr>
            <w:rStyle w:val="Hyperlink"/>
          </w:rPr>
          <w:t>Table 3:</w:t>
        </w:r>
        <w:r>
          <w:rPr>
            <w:rFonts w:asciiTheme="minorHAnsi" w:eastAsiaTheme="minorEastAsia" w:hAnsiTheme="minorHAnsi" w:cstheme="minorBidi"/>
            <w:kern w:val="2"/>
            <w:sz w:val="24"/>
            <w:lang w:eastAsia="en-AU"/>
            <w14:ligatures w14:val="standardContextual"/>
          </w:rPr>
          <w:tab/>
        </w:r>
        <w:r w:rsidRPr="004C1A71">
          <w:rPr>
            <w:rStyle w:val="Hyperlink"/>
          </w:rPr>
          <w:t>Current relevant MRLs for sulfoxaflor in Table 1 of the MRL Standard</w:t>
        </w:r>
        <w:r>
          <w:rPr>
            <w:webHidden/>
          </w:rPr>
          <w:tab/>
        </w:r>
        <w:r>
          <w:rPr>
            <w:webHidden/>
          </w:rPr>
          <w:fldChar w:fldCharType="begin"/>
        </w:r>
        <w:r>
          <w:rPr>
            <w:webHidden/>
          </w:rPr>
          <w:instrText xml:space="preserve"> PAGEREF _Toc202969288 \h </w:instrText>
        </w:r>
        <w:r>
          <w:rPr>
            <w:webHidden/>
          </w:rPr>
        </w:r>
        <w:r>
          <w:rPr>
            <w:webHidden/>
          </w:rPr>
          <w:fldChar w:fldCharType="separate"/>
        </w:r>
        <w:r w:rsidR="005B43FF">
          <w:rPr>
            <w:webHidden/>
          </w:rPr>
          <w:t>8</w:t>
        </w:r>
        <w:r>
          <w:rPr>
            <w:webHidden/>
          </w:rPr>
          <w:fldChar w:fldCharType="end"/>
        </w:r>
      </w:hyperlink>
    </w:p>
    <w:p w14:paraId="59752629" w14:textId="49563F2E" w:rsidR="00231BAE" w:rsidRDefault="00231BAE">
      <w:pPr>
        <w:pStyle w:val="TableofFigures"/>
        <w:rPr>
          <w:rFonts w:asciiTheme="minorHAnsi" w:eastAsiaTheme="minorEastAsia" w:hAnsiTheme="minorHAnsi" w:cstheme="minorBidi"/>
          <w:kern w:val="2"/>
          <w:sz w:val="24"/>
          <w:lang w:eastAsia="en-AU"/>
          <w14:ligatures w14:val="standardContextual"/>
        </w:rPr>
      </w:pPr>
      <w:hyperlink w:anchor="_Toc202969289" w:history="1">
        <w:r w:rsidRPr="004C1A71">
          <w:rPr>
            <w:rStyle w:val="Hyperlink"/>
          </w:rPr>
          <w:t>Table 4:</w:t>
        </w:r>
        <w:r>
          <w:rPr>
            <w:rFonts w:asciiTheme="minorHAnsi" w:eastAsiaTheme="minorEastAsia" w:hAnsiTheme="minorHAnsi" w:cstheme="minorBidi"/>
            <w:kern w:val="2"/>
            <w:sz w:val="24"/>
            <w:lang w:eastAsia="en-AU"/>
            <w14:ligatures w14:val="standardContextual"/>
          </w:rPr>
          <w:tab/>
        </w:r>
        <w:r w:rsidRPr="004C1A71">
          <w:rPr>
            <w:rStyle w:val="Hyperlink"/>
          </w:rPr>
          <w:t>Current relevant MRLs for sulfoxaflor in Table 4 of the MRL Standard</w:t>
        </w:r>
        <w:r>
          <w:rPr>
            <w:webHidden/>
          </w:rPr>
          <w:tab/>
        </w:r>
        <w:r>
          <w:rPr>
            <w:webHidden/>
          </w:rPr>
          <w:fldChar w:fldCharType="begin"/>
        </w:r>
        <w:r>
          <w:rPr>
            <w:webHidden/>
          </w:rPr>
          <w:instrText xml:space="preserve"> PAGEREF _Toc202969289 \h </w:instrText>
        </w:r>
        <w:r>
          <w:rPr>
            <w:webHidden/>
          </w:rPr>
        </w:r>
        <w:r>
          <w:rPr>
            <w:webHidden/>
          </w:rPr>
          <w:fldChar w:fldCharType="separate"/>
        </w:r>
        <w:r w:rsidR="005B43FF">
          <w:rPr>
            <w:webHidden/>
          </w:rPr>
          <w:t>8</w:t>
        </w:r>
        <w:r>
          <w:rPr>
            <w:webHidden/>
          </w:rPr>
          <w:fldChar w:fldCharType="end"/>
        </w:r>
      </w:hyperlink>
    </w:p>
    <w:p w14:paraId="7E45D546" w14:textId="20552010" w:rsidR="00231BAE" w:rsidRDefault="00231BAE">
      <w:pPr>
        <w:pStyle w:val="TableofFigures"/>
        <w:rPr>
          <w:rFonts w:asciiTheme="minorHAnsi" w:eastAsiaTheme="minorEastAsia" w:hAnsiTheme="minorHAnsi" w:cstheme="minorBidi"/>
          <w:kern w:val="2"/>
          <w:sz w:val="24"/>
          <w:lang w:eastAsia="en-AU"/>
          <w14:ligatures w14:val="standardContextual"/>
        </w:rPr>
      </w:pPr>
      <w:hyperlink w:anchor="_Toc202969290" w:history="1">
        <w:r w:rsidRPr="004C1A71">
          <w:rPr>
            <w:rStyle w:val="Hyperlink"/>
          </w:rPr>
          <w:t>Table 5:</w:t>
        </w:r>
        <w:r>
          <w:rPr>
            <w:rFonts w:asciiTheme="minorHAnsi" w:eastAsiaTheme="minorEastAsia" w:hAnsiTheme="minorHAnsi" w:cstheme="minorBidi"/>
            <w:kern w:val="2"/>
            <w:sz w:val="24"/>
            <w:lang w:eastAsia="en-AU"/>
            <w14:ligatures w14:val="standardContextual"/>
          </w:rPr>
          <w:tab/>
        </w:r>
        <w:r w:rsidRPr="004C1A71">
          <w:rPr>
            <w:rStyle w:val="Hyperlink"/>
          </w:rPr>
          <w:t>Amendments to Table 1 of the MRL Standard for sulfoxaflor</w:t>
        </w:r>
        <w:r>
          <w:rPr>
            <w:webHidden/>
          </w:rPr>
          <w:tab/>
        </w:r>
        <w:r>
          <w:rPr>
            <w:webHidden/>
          </w:rPr>
          <w:fldChar w:fldCharType="begin"/>
        </w:r>
        <w:r>
          <w:rPr>
            <w:webHidden/>
          </w:rPr>
          <w:instrText xml:space="preserve"> PAGEREF _Toc202969290 \h </w:instrText>
        </w:r>
        <w:r>
          <w:rPr>
            <w:webHidden/>
          </w:rPr>
        </w:r>
        <w:r>
          <w:rPr>
            <w:webHidden/>
          </w:rPr>
          <w:fldChar w:fldCharType="separate"/>
        </w:r>
        <w:r w:rsidR="005B43FF">
          <w:rPr>
            <w:webHidden/>
          </w:rPr>
          <w:t>8</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02969272"/>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202969273"/>
      <w:r>
        <w:t>About this document</w:t>
      </w:r>
      <w:bookmarkEnd w:id="4"/>
      <w:bookmarkEnd w:id="5"/>
    </w:p>
    <w:p w14:paraId="29EE149D" w14:textId="77777777"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or veterinary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6" w:name="_Toc202969274"/>
      <w:r>
        <w:t>Making a submission</w:t>
      </w:r>
      <w:bookmarkEnd w:id="6"/>
    </w:p>
    <w:p w14:paraId="5DCD1FC6" w14:textId="59DA7EAE" w:rsidR="006D36C8" w:rsidRPr="00AF1ED4" w:rsidRDefault="006D36C8" w:rsidP="00AF1ED4">
      <w:pPr>
        <w:pStyle w:val="APVMAText"/>
      </w:pPr>
      <w:r w:rsidRPr="00AF1ED4">
        <w:t xml:space="preserve">The APVMA invites any person to submit a relevant written submission as to whether the application to vary the registration of </w:t>
      </w:r>
      <w:r w:rsidR="00F37FFB" w:rsidRPr="00F37FFB">
        <w:t xml:space="preserve">Transform WG Isoclast active Insecticide </w:t>
      </w:r>
      <w:r w:rsidRPr="00AF1ED4">
        <w:t>should be granted.</w:t>
      </w:r>
      <w:r w:rsidR="00BA67F0" w:rsidRPr="00AF1ED4">
        <w:t xml:space="preserve"> </w:t>
      </w:r>
      <w:r w:rsidRPr="00AF1ED4">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34DB82B9" w:rsidR="006D36C8" w:rsidRDefault="006D36C8" w:rsidP="006D36C8">
      <w:pPr>
        <w:pStyle w:val="APVMAText"/>
      </w:pPr>
      <w:r>
        <w:t>Submissions must be received by the APVMA by close of business on</w:t>
      </w:r>
      <w:r w:rsidR="00696A51">
        <w:t xml:space="preserve"> </w:t>
      </w:r>
      <w:r w:rsidR="00DE4091">
        <w:t>7</w:t>
      </w:r>
      <w:r w:rsidR="00F37FFB">
        <w:t xml:space="preserve"> </w:t>
      </w:r>
      <w:r w:rsidR="00DE4091">
        <w:t>August</w:t>
      </w:r>
      <w:r w:rsidR="009D4E70">
        <w:t xml:space="preserve"> 2025</w:t>
      </w:r>
      <w:r>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0C5568A3" w:rsidR="006D36C8" w:rsidRDefault="008836D1" w:rsidP="005148C0">
      <w:pPr>
        <w:pStyle w:val="APVMAAddress"/>
        <w:tabs>
          <w:tab w:val="clear" w:pos="1361"/>
          <w:tab w:val="left" w:pos="851"/>
        </w:tabs>
        <w:ind w:left="0"/>
      </w:pPr>
      <w:r>
        <w:t>Executive Director</w:t>
      </w:r>
      <w:r w:rsidR="008D3560">
        <w:t>,</w:t>
      </w:r>
      <w:r>
        <w:t xml:space="preserve"> </w:t>
      </w:r>
      <w:r w:rsidR="008D3560">
        <w:t>Risk Assessment Capability</w:t>
      </w:r>
      <w:r w:rsidR="00BE4CC9">
        <w:br/>
      </w:r>
      <w:r w:rsidR="006D36C8">
        <w:t>Australian Pesticides and Veterinary Medicines Authority</w:t>
      </w:r>
      <w:r w:rsidR="00BE4CC9">
        <w:br/>
      </w:r>
      <w:r w:rsidR="00231BAE" w:rsidRPr="00231BAE">
        <w:t>GPO Box 574</w:t>
      </w:r>
      <w:r w:rsidR="00231BAE">
        <w:br/>
      </w:r>
      <w:r w:rsidR="00231BAE" w:rsidRPr="00231BAE">
        <w:t>Canberra ACT 2601, Australia</w:t>
      </w:r>
    </w:p>
    <w:p w14:paraId="6EDED567" w14:textId="6A603675" w:rsidR="006D36C8" w:rsidRPr="006D36C8" w:rsidRDefault="006D36C8" w:rsidP="00BE4CC9">
      <w:pPr>
        <w:pStyle w:val="APVMAAddress"/>
        <w:tabs>
          <w:tab w:val="clear" w:pos="1361"/>
          <w:tab w:val="left" w:pos="851"/>
        </w:tabs>
        <w:spacing w:before="240"/>
        <w:ind w:left="0"/>
      </w:pPr>
      <w:r>
        <w:rPr>
          <w:b/>
        </w:rPr>
        <w:t>Phone:</w:t>
      </w:r>
      <w:r>
        <w:tab/>
        <w:t xml:space="preserve">+61 2 </w:t>
      </w:r>
      <w:r w:rsidR="00BD0287">
        <w:t>6770 2300</w:t>
      </w:r>
      <w:r w:rsidR="00BE4CC9">
        <w:br/>
      </w:r>
      <w:r>
        <w:rPr>
          <w:b/>
        </w:rPr>
        <w:t>Email:</w:t>
      </w:r>
      <w:r>
        <w:tab/>
      </w:r>
      <w:r w:rsidR="008D3560" w:rsidRPr="008D3560">
        <w:t>enquiries@apvma.gov.au</w:t>
      </w:r>
    </w:p>
    <w:p w14:paraId="75ADC83A" w14:textId="77777777" w:rsidR="006D36C8" w:rsidRDefault="006D36C8" w:rsidP="00032787">
      <w:pPr>
        <w:pStyle w:val="APVMAPreliminariesH2"/>
      </w:pPr>
      <w:bookmarkStart w:id="7" w:name="_Toc2243844"/>
      <w:bookmarkStart w:id="8" w:name="_Toc202969275"/>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63F4D9AE" w:rsidR="00BE4CC9" w:rsidRDefault="006D36C8" w:rsidP="00E63AC3">
      <w:pPr>
        <w:pStyle w:val="APVMAText"/>
        <w:sectPr w:rsidR="00BE4CC9">
          <w:headerReference w:type="even" r:id="rId21"/>
          <w:headerReference w:type="default" r:id="rId22"/>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202969276"/>
      <w:r>
        <w:lastRenderedPageBreak/>
        <w:t>I</w:t>
      </w:r>
      <w:r w:rsidR="006D36C8">
        <w:t>ntroduction</w:t>
      </w:r>
      <w:bookmarkEnd w:id="9"/>
    </w:p>
    <w:p w14:paraId="7CBCBE40" w14:textId="3EEC4B58" w:rsidR="00704C88" w:rsidRDefault="006D36C8" w:rsidP="007B1953">
      <w:pPr>
        <w:pStyle w:val="APVMAText"/>
        <w:rPr>
          <w:lang w:val="en-US"/>
        </w:rPr>
      </w:pPr>
      <w:bookmarkStart w:id="10" w:name="_Toc414373835"/>
      <w:r>
        <w:t xml:space="preserve">The APVMA has before it an application from </w:t>
      </w:r>
      <w:r w:rsidR="008D3560" w:rsidRPr="008D3560">
        <w:t>Corteva Agriscience Australia Pty Ltd</w:t>
      </w:r>
      <w:r>
        <w:t xml:space="preserve"> to vary the registration of </w:t>
      </w:r>
      <w:r w:rsidR="008D3560" w:rsidRPr="008D3560">
        <w:t>Expedite Full Insecticide</w:t>
      </w:r>
      <w:r w:rsidR="008D3560">
        <w:t xml:space="preserve"> (Label name </w:t>
      </w:r>
      <w:r w:rsidR="008D3560" w:rsidRPr="008D3560">
        <w:t>Transform WG Isoclast active Insecticide</w:t>
      </w:r>
      <w:r w:rsidR="008D3560">
        <w:t>)</w:t>
      </w:r>
      <w:r>
        <w:t xml:space="preserve"> to </w:t>
      </w:r>
      <w:r w:rsidR="008D3560">
        <w:t xml:space="preserve">include use </w:t>
      </w:r>
      <w:r w:rsidR="008D3560" w:rsidRPr="008D3560">
        <w:t>on faba beans</w:t>
      </w:r>
      <w:r w:rsidR="000124F2">
        <w:rPr>
          <w:lang w:val="en-US"/>
        </w:rPr>
        <w:t>.</w:t>
      </w:r>
      <w:bookmarkEnd w:id="10"/>
    </w:p>
    <w:p w14:paraId="524378B1" w14:textId="688BDF18" w:rsidR="008D3560" w:rsidRDefault="008D3560" w:rsidP="007B1953">
      <w:pPr>
        <w:pStyle w:val="APVMAText"/>
        <w:rPr>
          <w:lang w:val="en-US"/>
        </w:rPr>
      </w:pPr>
      <w:r w:rsidRPr="008D3560">
        <w:rPr>
          <w:lang w:val="en-US"/>
        </w:rPr>
        <w:t xml:space="preserve">The applicant has not submitted </w:t>
      </w:r>
      <w:r>
        <w:rPr>
          <w:lang w:val="en-US"/>
        </w:rPr>
        <w:t xml:space="preserve">any new </w:t>
      </w:r>
      <w:r w:rsidRPr="008D3560">
        <w:rPr>
          <w:lang w:val="en-US"/>
        </w:rPr>
        <w:t xml:space="preserve">residues data in support of the application but </w:t>
      </w:r>
      <w:r>
        <w:rPr>
          <w:lang w:val="en-US"/>
        </w:rPr>
        <w:t xml:space="preserve">resubmitted the </w:t>
      </w:r>
      <w:r w:rsidRPr="008D3560">
        <w:rPr>
          <w:lang w:val="en-US"/>
        </w:rPr>
        <w:t xml:space="preserve">previously evaluated </w:t>
      </w:r>
      <w:r>
        <w:rPr>
          <w:lang w:val="en-US"/>
        </w:rPr>
        <w:t>Australian trial</w:t>
      </w:r>
      <w:r w:rsidRPr="008D3560">
        <w:rPr>
          <w:lang w:val="en-US"/>
        </w:rPr>
        <w:t xml:space="preserve"> data </w:t>
      </w:r>
      <w:r>
        <w:rPr>
          <w:lang w:val="en-US"/>
        </w:rPr>
        <w:t xml:space="preserve">outlined </w:t>
      </w:r>
      <w:r w:rsidRPr="008D3560">
        <w:rPr>
          <w:lang w:val="en-US"/>
        </w:rPr>
        <w:t>in a Trade Advice Notice (TAN)</w:t>
      </w:r>
      <w:r>
        <w:rPr>
          <w:rStyle w:val="FootnoteReference"/>
          <w:lang w:val="en-US"/>
        </w:rPr>
        <w:footnoteReference w:id="2"/>
      </w:r>
      <w:r w:rsidRPr="008D3560">
        <w:rPr>
          <w:lang w:val="en-US"/>
        </w:rPr>
        <w:t xml:space="preserve"> </w:t>
      </w:r>
      <w:r>
        <w:rPr>
          <w:lang w:val="en-US"/>
        </w:rPr>
        <w:t xml:space="preserve">in 2016 </w:t>
      </w:r>
      <w:r w:rsidRPr="008D3560">
        <w:rPr>
          <w:lang w:val="en-US"/>
        </w:rPr>
        <w:t xml:space="preserve">related to the </w:t>
      </w:r>
      <w:r>
        <w:rPr>
          <w:lang w:val="en-US"/>
        </w:rPr>
        <w:t>R</w:t>
      </w:r>
      <w:r w:rsidRPr="008D3560">
        <w:rPr>
          <w:lang w:val="en-US"/>
        </w:rPr>
        <w:t xml:space="preserve">esidues evaluation of the proposed use of Expedite Full Insecticide (Product No. 65464) on pulses and other crops. At the time of the trade consultation for that application, which proposed a Maximum Residue Limit (MRL) for VD 0070 Pulses [except soya bean (dry)] at 0.7 mg/kg, concern was raised by </w:t>
      </w:r>
      <w:r w:rsidR="00BE4CC9">
        <w:rPr>
          <w:lang w:val="en-US"/>
        </w:rPr>
        <w:t>2</w:t>
      </w:r>
      <w:r w:rsidRPr="008D3560">
        <w:rPr>
          <w:lang w:val="en-US"/>
        </w:rPr>
        <w:t xml:space="preserve"> stakeholders concerning the risk of breaching tolerance levels of export markets. Registration was therefore subsequently restricted to just adzuki beans, mung beans and navy beans, which were the pulse crops covered by the Codex Beans (dry) MRL</w:t>
      </w:r>
      <w:r>
        <w:rPr>
          <w:lang w:val="en-US"/>
        </w:rPr>
        <w:t xml:space="preserve">. </w:t>
      </w:r>
      <w:r w:rsidRPr="008D3560">
        <w:rPr>
          <w:lang w:val="en-US"/>
        </w:rPr>
        <w:t xml:space="preserve">It is noted that the </w:t>
      </w:r>
      <w:r>
        <w:rPr>
          <w:lang w:val="en-US"/>
        </w:rPr>
        <w:t xml:space="preserve">currently </w:t>
      </w:r>
      <w:r w:rsidRPr="008D3560">
        <w:rPr>
          <w:lang w:val="en-US"/>
        </w:rPr>
        <w:t>registered Transform WG Isoclast active Insecticide use patterns on adzuki beans, mung beans and navy beans are the same as that currently proposed for faba beans.</w:t>
      </w:r>
    </w:p>
    <w:p w14:paraId="33DDB32F" w14:textId="22A43CD6" w:rsidR="008D3560" w:rsidRDefault="008D3560" w:rsidP="007B1953">
      <w:pPr>
        <w:pStyle w:val="APVMAText"/>
      </w:pPr>
      <w:r>
        <w:rPr>
          <w:lang w:val="en-US"/>
        </w:rPr>
        <w:t xml:space="preserve">In 2022 </w:t>
      </w:r>
      <w:r w:rsidRPr="008D3560">
        <w:rPr>
          <w:lang w:val="en-US"/>
        </w:rPr>
        <w:t>Pulse Australia Limited</w:t>
      </w:r>
      <w:r w:rsidRPr="008D3560">
        <w:t xml:space="preserve"> </w:t>
      </w:r>
      <w:r>
        <w:t xml:space="preserve">applied for a </w:t>
      </w:r>
      <w:r w:rsidRPr="008D3560">
        <w:rPr>
          <w:lang w:val="en-US"/>
        </w:rPr>
        <w:t xml:space="preserve">minor use permit </w:t>
      </w:r>
      <w:r>
        <w:rPr>
          <w:lang w:val="en-US"/>
        </w:rPr>
        <w:t>to allow</w:t>
      </w:r>
      <w:r w:rsidRPr="008D3560">
        <w:rPr>
          <w:lang w:val="en-US"/>
        </w:rPr>
        <w:t xml:space="preserve"> the use of sulfoxaflor on faba beans, for the control of faba bean aphids and green peach aphids.</w:t>
      </w:r>
      <w:r w:rsidRPr="008D3560">
        <w:t xml:space="preserve"> </w:t>
      </w:r>
      <w:r>
        <w:t>The TAN</w:t>
      </w:r>
      <w:r>
        <w:rPr>
          <w:rStyle w:val="FootnoteReference"/>
        </w:rPr>
        <w:footnoteReference w:id="3"/>
      </w:r>
      <w:r>
        <w:t xml:space="preserve"> for this application outlined that a</w:t>
      </w:r>
      <w:r w:rsidRPr="008D3560">
        <w:t xml:space="preserve">lthough the Codex MRL of 0.3 mg/kg established for dry beans was established based on consideration of the USA GAP [4 applications (2 consecutive) at 80 g a.i./ha, 14 days minimum re-treatment interval and a 7 days pre-harvest interval] which allows use on a number of crops including faba beans, it may only cover Phaseolus species. It </w:t>
      </w:r>
      <w:r>
        <w:t>was</w:t>
      </w:r>
      <w:r w:rsidRPr="008D3560">
        <w:t xml:space="preserve"> noted however, that the major market for Australian faba beans (Egypt), defers to EU MRLs in the absence of a relevant Codex MRL. This is also the case for the United Arab Emirates, while Saudi Arabia defers to the lower of the EU or USA MRLs. The EU MRL for dry beans at 0.3 mg/kg, which was not established at the time of the residues evaluation of the proposed use of Expedite Full Insecticide on pulses, is established at a level close to the observed HR in Australian pulses (including faba beans).</w:t>
      </w:r>
      <w:r>
        <w:t xml:space="preserve"> The APVMA received no objections to the proposed use and the minor use permit, PER</w:t>
      </w:r>
      <w:r w:rsidRPr="008D3560">
        <w:t>92758</w:t>
      </w:r>
      <w:r>
        <w:t xml:space="preserve">, was approved for use from </w:t>
      </w:r>
      <w:r w:rsidRPr="008D3560">
        <w:t xml:space="preserve">6 July 2023 </w:t>
      </w:r>
      <w:r>
        <w:t>to</w:t>
      </w:r>
      <w:r w:rsidRPr="008D3560">
        <w:t xml:space="preserve"> 31 </w:t>
      </w:r>
      <w:r>
        <w:t>July</w:t>
      </w:r>
      <w:r w:rsidRPr="008D3560">
        <w:t xml:space="preserve"> 2025</w:t>
      </w:r>
      <w:r>
        <w:t>.</w:t>
      </w:r>
    </w:p>
    <w:p w14:paraId="280E0A22" w14:textId="77777777" w:rsidR="00BE4CC9" w:rsidRDefault="008D3560" w:rsidP="007B1953">
      <w:pPr>
        <w:pStyle w:val="APVMAText"/>
        <w:sectPr w:rsidR="00BE4CC9">
          <w:headerReference w:type="even" r:id="rId24"/>
          <w:pgSz w:w="11906" w:h="16838" w:code="9"/>
          <w:pgMar w:top="2835" w:right="1134" w:bottom="1134" w:left="1134" w:header="1701" w:footer="680" w:gutter="0"/>
          <w:cols w:space="708"/>
          <w:docGrid w:linePitch="360"/>
        </w:sectPr>
      </w:pPr>
      <w:r w:rsidRPr="008D3560">
        <w:t xml:space="preserve">The </w:t>
      </w:r>
      <w:r>
        <w:t>applicant has now applied for the use of sulfoxaflor on faba beans to be transferred to registration.</w:t>
      </w:r>
    </w:p>
    <w:p w14:paraId="6FDBA0BF" w14:textId="1F2CDA12" w:rsidR="006D36C8" w:rsidRDefault="006D36C8" w:rsidP="007B1953">
      <w:pPr>
        <w:pStyle w:val="Heading1"/>
        <w:ind w:left="680" w:hanging="680"/>
      </w:pPr>
      <w:bookmarkStart w:id="11" w:name="_Toc2243846"/>
      <w:bookmarkStart w:id="12" w:name="_Toc202969277"/>
      <w:r w:rsidRPr="00032787">
        <w:lastRenderedPageBreak/>
        <w:t>Trade</w:t>
      </w:r>
      <w:r w:rsidR="007B1953">
        <w:t xml:space="preserve"> c</w:t>
      </w:r>
      <w:r>
        <w:t>onsiderations</w:t>
      </w:r>
      <w:bookmarkEnd w:id="11"/>
      <w:bookmarkEnd w:id="12"/>
    </w:p>
    <w:p w14:paraId="57B2B732" w14:textId="77777777" w:rsidR="006D36C8" w:rsidRDefault="006D36C8" w:rsidP="007B1953">
      <w:pPr>
        <w:pStyle w:val="Heading2"/>
        <w:numPr>
          <w:ilvl w:val="0"/>
          <w:numId w:val="0"/>
        </w:numPr>
      </w:pPr>
      <w:bookmarkStart w:id="13" w:name="_Toc2243847"/>
      <w:bookmarkStart w:id="14" w:name="_Toc202969278"/>
      <w:r>
        <w:t xml:space="preserve">Commodities </w:t>
      </w:r>
      <w:r w:rsidRPr="00753ED8">
        <w:t>exported</w:t>
      </w:r>
      <w:bookmarkEnd w:id="13"/>
      <w:bookmarkEnd w:id="14"/>
    </w:p>
    <w:p w14:paraId="1B2A9E75" w14:textId="77777777" w:rsidR="008D3560" w:rsidRPr="0014560B" w:rsidRDefault="008D3560" w:rsidP="008D3560">
      <w:pPr>
        <w:pStyle w:val="APVMAText"/>
      </w:pPr>
      <w:bookmarkStart w:id="15" w:name="_Toc231889745"/>
      <w:bookmarkStart w:id="16" w:name="_Toc2243848"/>
      <w:r w:rsidRPr="0014560B">
        <w:t xml:space="preserve">Faba beans are considered to be </w:t>
      </w:r>
      <w:r>
        <w:t xml:space="preserve">a </w:t>
      </w:r>
      <w:r w:rsidRPr="0014560B">
        <w:t>major export commodit</w:t>
      </w:r>
      <w:r>
        <w:t>y</w:t>
      </w:r>
      <w:r w:rsidRPr="00291041">
        <w:rPr>
          <w:vertAlign w:val="superscript"/>
        </w:rPr>
        <w:footnoteReference w:id="4"/>
      </w:r>
      <w:r w:rsidRPr="0014560B">
        <w:t xml:space="preserve">, as are commodities of animal origin, such as meat, offal and dairy products, which may be derived from livestock fed feeds produced from treated </w:t>
      </w:r>
      <w:r>
        <w:t>faba beans</w:t>
      </w:r>
      <w:r w:rsidRPr="0014560B">
        <w:t>.</w:t>
      </w:r>
      <w:r w:rsidRPr="00291041">
        <w:t xml:space="preserve"> </w:t>
      </w:r>
      <w:r w:rsidRPr="0014560B">
        <w:t xml:space="preserve">Residues in these commodities resulting from the use of </w:t>
      </w:r>
      <w:r>
        <w:t>sulfoxaflor</w:t>
      </w:r>
      <w:r w:rsidRPr="0014560B">
        <w:t xml:space="preserve"> may have the potential to unduly prejudice trade.</w:t>
      </w:r>
    </w:p>
    <w:p w14:paraId="4D0DB53C" w14:textId="77777777" w:rsidR="008D3560" w:rsidRDefault="008D3560" w:rsidP="008D3560">
      <w:pPr>
        <w:pStyle w:val="APVMAText"/>
      </w:pPr>
      <w:r w:rsidRPr="0014560B">
        <w:t xml:space="preserve">No amendments to the current edible animal commodities have been proposed, thus risk to trade arising from animals that have been fed feeds containing </w:t>
      </w:r>
      <w:r>
        <w:t>sulfoxaflor</w:t>
      </w:r>
      <w:r w:rsidRPr="0014560B">
        <w:t xml:space="preserve">, remains unchanged to that previously assessed. </w:t>
      </w:r>
      <w:r>
        <w:t>The risk to trade with respect to the proposed use on faba beans is considered below.</w:t>
      </w:r>
    </w:p>
    <w:p w14:paraId="4E7D018C" w14:textId="77777777" w:rsidR="006D36C8" w:rsidRDefault="006D36C8" w:rsidP="007B1953">
      <w:pPr>
        <w:pStyle w:val="Heading2"/>
        <w:numPr>
          <w:ilvl w:val="0"/>
          <w:numId w:val="0"/>
        </w:numPr>
      </w:pPr>
      <w:bookmarkStart w:id="18" w:name="_Toc202969279"/>
      <w:r>
        <w:t>Destination and value of exports</w:t>
      </w:r>
      <w:bookmarkEnd w:id="15"/>
      <w:bookmarkEnd w:id="16"/>
      <w:bookmarkEnd w:id="18"/>
    </w:p>
    <w:p w14:paraId="0BF6CCFC" w14:textId="3DA781C2" w:rsidR="00130879" w:rsidRDefault="00130879" w:rsidP="00BE4CC9">
      <w:pPr>
        <w:pStyle w:val="APVMAText"/>
      </w:pPr>
      <w:r w:rsidRPr="006C1107">
        <w:t xml:space="preserve">Australian exports of pulses </w:t>
      </w:r>
      <w:r>
        <w:t xml:space="preserve">(lupins, field peas, chickpeas, faba beans, mung beans, navy beans and lentils) </w:t>
      </w:r>
      <w:r w:rsidRPr="006C1107">
        <w:t>totalled</w:t>
      </w:r>
      <w:r>
        <w:t xml:space="preserve"> 1731 kt, 2560 kt, </w:t>
      </w:r>
      <w:r w:rsidRPr="00673671">
        <w:t>2956 kt, 3656 kt, and 3699 kt (value $1263 m, $1647 m, $2315 m, $2887 m, and $2972 m), in 2019-20, 2020-21, 2021-22, 2022-23, and 2023-24 respectively</w:t>
      </w:r>
      <w:r w:rsidRPr="00673671">
        <w:rPr>
          <w:rStyle w:val="FootnoteReference"/>
          <w:szCs w:val="20"/>
        </w:rPr>
        <w:t xml:space="preserve"> </w:t>
      </w:r>
      <w:r w:rsidRPr="00673671">
        <w:rPr>
          <w:rStyle w:val="FootnoteReference"/>
          <w:szCs w:val="20"/>
        </w:rPr>
        <w:footnoteReference w:id="5"/>
      </w:r>
      <w:r w:rsidRPr="00673671">
        <w:t>.</w:t>
      </w:r>
    </w:p>
    <w:p w14:paraId="46ABD496" w14:textId="34747E57" w:rsidR="008D3560" w:rsidRDefault="008D3560" w:rsidP="00BE4CC9">
      <w:pPr>
        <w:pStyle w:val="APVMAText"/>
      </w:pPr>
      <w:r>
        <w:t>The major markets for faba beans</w:t>
      </w:r>
      <w:r w:rsidRPr="00531926">
        <w:t xml:space="preserve"> are countries in the Middle East</w:t>
      </w:r>
      <w:r>
        <w:t>, specifically Egypt, Saudi Arabia and the United Arab Emirates</w:t>
      </w:r>
      <w:r w:rsidRPr="00291041">
        <w:rPr>
          <w:vertAlign w:val="superscript"/>
        </w:rPr>
        <w:footnoteReference w:id="6"/>
      </w:r>
      <w:r>
        <w:t>.</w:t>
      </w:r>
    </w:p>
    <w:p w14:paraId="3EC6D648" w14:textId="4F3CD01D" w:rsidR="006D36C8" w:rsidRDefault="007B1953" w:rsidP="00032787">
      <w:pPr>
        <w:pStyle w:val="Heading2"/>
      </w:pPr>
      <w:bookmarkStart w:id="19" w:name="_Toc231889746"/>
      <w:bookmarkStart w:id="20" w:name="_Toc2243849"/>
      <w:bookmarkStart w:id="21" w:name="_Toc202969280"/>
      <w:r>
        <w:lastRenderedPageBreak/>
        <w:t xml:space="preserve">Proposed Australian use </w:t>
      </w:r>
      <w:r w:rsidR="006D36C8">
        <w:t>pattern</w:t>
      </w:r>
      <w:bookmarkEnd w:id="19"/>
      <w:bookmarkEnd w:id="20"/>
      <w:bookmarkEnd w:id="21"/>
    </w:p>
    <w:p w14:paraId="3AED2408" w14:textId="070B899B" w:rsidR="006D36C8" w:rsidRDefault="006D36C8" w:rsidP="00957A91">
      <w:pPr>
        <w:pStyle w:val="Caption"/>
      </w:pPr>
      <w:bookmarkStart w:id="22" w:name="_Toc252955168"/>
      <w:bookmarkStart w:id="23" w:name="_Toc202969286"/>
      <w:r>
        <w:t xml:space="preserve">Table </w:t>
      </w:r>
      <w:r w:rsidR="008D3560">
        <w:t>1</w:t>
      </w:r>
      <w:r>
        <w:t>:</w:t>
      </w:r>
      <w:r>
        <w:tab/>
        <w:t xml:space="preserve">Proposed use pattern </w:t>
      </w:r>
      <w:bookmarkEnd w:id="22"/>
      <w:r w:rsidR="008D3560" w:rsidRPr="008D3560">
        <w:t>for faba beans being considered by the APVMA</w:t>
      </w:r>
      <w:bookmarkEnd w:id="23"/>
    </w:p>
    <w:tbl>
      <w:tblPr>
        <w:tblW w:w="5000" w:type="pct"/>
        <w:tblBorders>
          <w:bottom w:val="single" w:sz="4" w:space="0" w:color="auto"/>
          <w:insideH w:val="single" w:sz="4" w:space="0" w:color="auto"/>
        </w:tblBorders>
        <w:tblLook w:val="0020" w:firstRow="1" w:lastRow="0" w:firstColumn="0" w:lastColumn="0" w:noHBand="0" w:noVBand="0"/>
      </w:tblPr>
      <w:tblGrid>
        <w:gridCol w:w="993"/>
        <w:gridCol w:w="2269"/>
        <w:gridCol w:w="2126"/>
        <w:gridCol w:w="4250"/>
      </w:tblGrid>
      <w:tr w:rsidR="006D36C8" w14:paraId="72B660C5" w14:textId="77777777" w:rsidTr="008D3560">
        <w:trPr>
          <w:tblHeader/>
        </w:trPr>
        <w:tc>
          <w:tcPr>
            <w:tcW w:w="515" w:type="pct"/>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1177" w:type="pct"/>
            <w:tcBorders>
              <w:top w:val="single" w:sz="4" w:space="0" w:color="auto"/>
            </w:tcBorders>
            <w:shd w:val="clear" w:color="auto" w:fill="00747A" w:themeFill="background2"/>
          </w:tcPr>
          <w:p w14:paraId="36728C59" w14:textId="77777777" w:rsidR="006D36C8" w:rsidRDefault="006D36C8" w:rsidP="00790A8E">
            <w:pPr>
              <w:pStyle w:val="APVMATableHead"/>
            </w:pPr>
            <w:r>
              <w:t>Pest</w:t>
            </w:r>
          </w:p>
        </w:tc>
        <w:tc>
          <w:tcPr>
            <w:tcW w:w="1103" w:type="pct"/>
            <w:tcBorders>
              <w:top w:val="single" w:sz="4" w:space="0" w:color="auto"/>
            </w:tcBorders>
            <w:shd w:val="clear" w:color="auto" w:fill="00747A" w:themeFill="background2"/>
          </w:tcPr>
          <w:p w14:paraId="637EFEE8" w14:textId="2E89F565" w:rsidR="006D36C8" w:rsidRDefault="006D36C8" w:rsidP="008D3560">
            <w:pPr>
              <w:pStyle w:val="APVMATableHeadRight"/>
              <w:jc w:val="left"/>
            </w:pPr>
            <w:r>
              <w:t>Rate/</w:t>
            </w:r>
            <w:r w:rsidR="007368E2">
              <w:t>concentration</w:t>
            </w:r>
          </w:p>
        </w:tc>
        <w:tc>
          <w:tcPr>
            <w:tcW w:w="2205" w:type="pct"/>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6D36C8" w14:paraId="779381D3" w14:textId="77777777" w:rsidTr="008D3560">
        <w:trPr>
          <w:cantSplit/>
        </w:trPr>
        <w:tc>
          <w:tcPr>
            <w:tcW w:w="515" w:type="pct"/>
          </w:tcPr>
          <w:p w14:paraId="59AB6492" w14:textId="4C535C31" w:rsidR="006D36C8" w:rsidRDefault="008D3560" w:rsidP="00790A8E">
            <w:pPr>
              <w:pStyle w:val="APVMATableText"/>
            </w:pPr>
            <w:r w:rsidRPr="008D3560">
              <w:t>Faba beans</w:t>
            </w:r>
          </w:p>
        </w:tc>
        <w:tc>
          <w:tcPr>
            <w:tcW w:w="1177" w:type="pct"/>
          </w:tcPr>
          <w:p w14:paraId="7C651D36" w14:textId="77777777" w:rsidR="008D3560" w:rsidRDefault="008D3560" w:rsidP="008D3560">
            <w:pPr>
              <w:pStyle w:val="APVMATableText"/>
            </w:pPr>
            <w:r>
              <w:t>Aphids</w:t>
            </w:r>
          </w:p>
          <w:p w14:paraId="1F3E0A62" w14:textId="4E1EA5C4" w:rsidR="006D36C8" w:rsidRPr="00B4338F" w:rsidRDefault="008D3560" w:rsidP="008D3560">
            <w:pPr>
              <w:pStyle w:val="APVMATableText"/>
            </w:pPr>
            <w:r>
              <w:t>(including blue green aphid, cow pea aphid and green peach aphid).</w:t>
            </w:r>
          </w:p>
        </w:tc>
        <w:tc>
          <w:tcPr>
            <w:tcW w:w="1103" w:type="pct"/>
          </w:tcPr>
          <w:p w14:paraId="6E9E89C3" w14:textId="77777777" w:rsidR="008D3560" w:rsidRDefault="008D3560" w:rsidP="008D3560">
            <w:pPr>
              <w:pStyle w:val="APVMATableText"/>
            </w:pPr>
            <w:r>
              <w:t>50 g/ha</w:t>
            </w:r>
          </w:p>
          <w:p w14:paraId="2A21272C" w14:textId="0765000B" w:rsidR="006D36C8" w:rsidRPr="008141E6" w:rsidRDefault="008D3560" w:rsidP="008D3560">
            <w:pPr>
              <w:pStyle w:val="APVMATableText"/>
            </w:pPr>
            <w:r>
              <w:t>(25 g a.i./ha)</w:t>
            </w:r>
          </w:p>
        </w:tc>
        <w:tc>
          <w:tcPr>
            <w:tcW w:w="2205" w:type="pct"/>
          </w:tcPr>
          <w:p w14:paraId="0B119FE1" w14:textId="31C4E913" w:rsidR="008D3560" w:rsidRDefault="008D3560" w:rsidP="008D3560">
            <w:pPr>
              <w:pStyle w:val="APVMATableText"/>
            </w:pPr>
            <w:r>
              <w:t xml:space="preserve">Monitor crops for pest species by regular field scouting. Target sprays against insect populations when they exceed threshold levels. Make repeated applications at 14 - </w:t>
            </w:r>
            <w:proofErr w:type="gramStart"/>
            <w:r>
              <w:t>21 day</w:t>
            </w:r>
            <w:proofErr w:type="gramEnd"/>
            <w:r>
              <w:t xml:space="preserve"> intervals as new infestations occur unless otherwise directed in the CRITICAL COMMENTS.</w:t>
            </w:r>
          </w:p>
          <w:p w14:paraId="35D2C5B6" w14:textId="090C23C5" w:rsidR="008D3560" w:rsidRDefault="008D3560" w:rsidP="008D3560">
            <w:pPr>
              <w:pStyle w:val="APVMATableText"/>
            </w:pPr>
            <w:r>
              <w:t>DO NOT make more than two (2) applications per crop.</w:t>
            </w:r>
          </w:p>
          <w:p w14:paraId="5000F6D1" w14:textId="0E4DACAF" w:rsidR="008D3560" w:rsidRDefault="008D3560" w:rsidP="008D3560">
            <w:pPr>
              <w:pStyle w:val="APVMATableText"/>
            </w:pPr>
            <w:r>
              <w:t>Ground Spraying (Broadacre crops): Apply in a minimum of 50 L/ha of water, with spray</w:t>
            </w:r>
            <w:r w:rsidR="00BE4CC9">
              <w:t xml:space="preserve"> </w:t>
            </w:r>
            <w:r>
              <w:t>droplets no smaller than medium category according to nozzle manufacturer specifications that refer to the ASAE S-572 Standard. Increase spray volumes as the crop grows.</w:t>
            </w:r>
          </w:p>
          <w:p w14:paraId="54E88718" w14:textId="50098FAF" w:rsidR="006D36C8" w:rsidRPr="000D72C3" w:rsidRDefault="008D3560" w:rsidP="008D3560">
            <w:pPr>
              <w:pStyle w:val="APVMATableText"/>
            </w:pPr>
            <w:r>
              <w:t>Aerial Spraying (Broadacre arable crops only): Apply in a minimum of 30 L/ha of water with spray droplets no smaller than a medium spray droplet size category according to nozzle manufacturer specifications that refer to the ASAE S-572 Standard.</w:t>
            </w:r>
          </w:p>
        </w:tc>
      </w:tr>
    </w:tbl>
    <w:p w14:paraId="751A9E5E" w14:textId="77777777" w:rsidR="006D36C8" w:rsidRDefault="006D36C8" w:rsidP="006D36C8">
      <w:pPr>
        <w:pStyle w:val="APVMAText"/>
      </w:pPr>
      <w:r>
        <w:t>Withholding periods:</w:t>
      </w:r>
    </w:p>
    <w:p w14:paraId="193A6BCC" w14:textId="22BC2F4D" w:rsidR="006D36C8" w:rsidRDefault="006D36C8" w:rsidP="008D3560">
      <w:pPr>
        <w:pStyle w:val="APVMAText"/>
      </w:pPr>
      <w:r>
        <w:t xml:space="preserve">Harvest: </w:t>
      </w:r>
      <w:r w:rsidR="008D3560">
        <w:t>DO NOT harvest for 14 days after the last application.</w:t>
      </w:r>
    </w:p>
    <w:p w14:paraId="71462E06" w14:textId="4E865FDF" w:rsidR="006D36C8" w:rsidRDefault="006D36C8" w:rsidP="00383003">
      <w:pPr>
        <w:pStyle w:val="APVMAText"/>
      </w:pPr>
      <w:r>
        <w:t xml:space="preserve">Grazing: </w:t>
      </w:r>
      <w:r w:rsidR="008D3560" w:rsidRPr="008D3560">
        <w:t>DO NOT graze or cut for stockfeed for 14 days after application.</w:t>
      </w:r>
    </w:p>
    <w:p w14:paraId="2C608FDF" w14:textId="54E660F5" w:rsidR="006D36C8" w:rsidRDefault="006D36C8" w:rsidP="006D36C8">
      <w:pPr>
        <w:pStyle w:val="APVMAText"/>
      </w:pPr>
      <w:r w:rsidRPr="00F25206">
        <w:t>Restraints:</w:t>
      </w:r>
    </w:p>
    <w:p w14:paraId="7A1BBAF8" w14:textId="1E543DA8" w:rsidR="008D3560" w:rsidRDefault="008D3560" w:rsidP="006D36C8">
      <w:pPr>
        <w:pStyle w:val="APVMAText"/>
      </w:pPr>
      <w:r w:rsidRPr="008D3560">
        <w:t xml:space="preserve">DO NOT apply more than two (2) times to canola, cereals, forage brassicas, lucerne and pulses, or four (4) times to cotton and soybean in </w:t>
      </w:r>
      <w:proofErr w:type="gramStart"/>
      <w:r w:rsidRPr="008D3560">
        <w:t>any one</w:t>
      </w:r>
      <w:proofErr w:type="gramEnd"/>
      <w:r w:rsidRPr="008D3560">
        <w:t xml:space="preserve"> (1) season.</w:t>
      </w:r>
    </w:p>
    <w:p w14:paraId="7A67D8FD" w14:textId="2522775D" w:rsidR="008D3560" w:rsidRDefault="006D36C8" w:rsidP="008D3560">
      <w:pPr>
        <w:pStyle w:val="APVMAText"/>
      </w:pPr>
      <w:r>
        <w:t>Trade advice:</w:t>
      </w:r>
    </w:p>
    <w:p w14:paraId="6EE8012E" w14:textId="701F435A" w:rsidR="008D3560" w:rsidRDefault="008D3560" w:rsidP="008D3560">
      <w:pPr>
        <w:pStyle w:val="APVMAText"/>
      </w:pPr>
      <w:r>
        <w:t>EXPORT SLAUGHTER INTERVAL (ESI) – 14 days:</w:t>
      </w:r>
    </w:p>
    <w:p w14:paraId="55823536" w14:textId="77777777" w:rsidR="008D3560" w:rsidRDefault="008D3560" w:rsidP="008D3560">
      <w:pPr>
        <w:pStyle w:val="APVMAText"/>
      </w:pPr>
      <w:r>
        <w:t>After observing the grazing withholding period, livestock that has been grazed on or fed treated crops should be placed on clean feed for 14 days prior to slaughter.</w:t>
      </w:r>
    </w:p>
    <w:p w14:paraId="5FBC6311" w14:textId="77777777" w:rsidR="008D3560" w:rsidRDefault="008D3560" w:rsidP="008D3560">
      <w:pPr>
        <w:pStyle w:val="APVMAText"/>
      </w:pPr>
      <w:r>
        <w:t>LIVESTOCK DESTINED FOR EXPORT MARKETS</w:t>
      </w:r>
    </w:p>
    <w:p w14:paraId="59316FE5" w14:textId="77777777" w:rsidR="008D3560" w:rsidRDefault="008D3560" w:rsidP="008D3560">
      <w:pPr>
        <w:pStyle w:val="APVMAText"/>
      </w:pPr>
      <w:r>
        <w:t>The grazing withholding periods (above) only apply to stock slaughtered for the domestic market. Some export markets apply different standards. To meet these standards, ensure that in addition to complying with the grazing withholding period, that the Export Slaughter Interval, is observed before stock are sold or slaughtered.</w:t>
      </w:r>
    </w:p>
    <w:p w14:paraId="2B4BF9C1" w14:textId="589E9389" w:rsidR="008D3560" w:rsidRDefault="008D3560" w:rsidP="008D3560">
      <w:pPr>
        <w:pStyle w:val="APVMAText"/>
      </w:pPr>
      <w:r>
        <w:lastRenderedPageBreak/>
        <w:t>CROPS FOR EXPORT - Before using Transform® WG on crops destined for export it is essential to consult your exporter or Corteva Agriscience to ensure that an appropriate MRL is in place in the importing country.</w:t>
      </w:r>
    </w:p>
    <w:p w14:paraId="28529C15" w14:textId="77777777" w:rsidR="006D36C8" w:rsidRDefault="006D36C8" w:rsidP="00032787">
      <w:pPr>
        <w:pStyle w:val="Heading2"/>
      </w:pPr>
      <w:bookmarkStart w:id="24" w:name="_Toc231889747"/>
      <w:bookmarkStart w:id="25" w:name="_Toc2243850"/>
      <w:bookmarkStart w:id="26" w:name="_Toc202969281"/>
      <w:r>
        <w:t>Results from residues trials presented to the APVMA</w:t>
      </w:r>
      <w:bookmarkEnd w:id="24"/>
      <w:bookmarkEnd w:id="25"/>
      <w:bookmarkEnd w:id="26"/>
    </w:p>
    <w:p w14:paraId="3E3952AE" w14:textId="18058BF8" w:rsidR="008D3560" w:rsidRPr="00F5015D" w:rsidRDefault="008D3560" w:rsidP="008D3560">
      <w:pPr>
        <w:pStyle w:val="APVMAText"/>
      </w:pPr>
      <w:r>
        <w:t>It was noted in the TAN</w:t>
      </w:r>
      <w:r w:rsidRPr="00C15FC5">
        <w:rPr>
          <w:vertAlign w:val="superscript"/>
        </w:rPr>
        <w:t>1</w:t>
      </w:r>
      <w:r>
        <w:t xml:space="preserve"> </w:t>
      </w:r>
      <w:r w:rsidRPr="00665878">
        <w:t>related to the residues evaluation of the proposed use of Expedite Full Insecticide on pulses and other crops</w:t>
      </w:r>
      <w:r>
        <w:t xml:space="preserve"> that</w:t>
      </w:r>
      <w:r w:rsidR="000E154E">
        <w:t xml:space="preserve"> </w:t>
      </w:r>
      <w:r w:rsidR="00F5015D" w:rsidRPr="00F5015D">
        <w:t>s</w:t>
      </w:r>
      <w:r w:rsidRPr="00F5015D">
        <w:t>ix new Australian trials on field peas, lentils and faba beans are supported by 19 previously submitted overseas trials on soybeans and six on dry beans.</w:t>
      </w:r>
    </w:p>
    <w:p w14:paraId="101A9D4F" w14:textId="3649F4E4" w:rsidR="00F5015D" w:rsidRPr="003F29CF" w:rsidRDefault="00F5015D" w:rsidP="00F5015D">
      <w:pPr>
        <w:pStyle w:val="APVMAText"/>
      </w:pPr>
      <w:r w:rsidRPr="003F29CF">
        <w:t>In the Australian trials, residues of sulfoxaflor at harvest 14 days,</w:t>
      </w:r>
      <w:r w:rsidR="000E154E" w:rsidRPr="003F29CF">
        <w:t xml:space="preserve"> </w:t>
      </w:r>
      <w:r w:rsidRPr="003F29CF">
        <w:t>or later where higher residues were observed, after the last of 2 applications at 24 g ai/ha (1× proposed) were 0.02 and 0.29 mg/kg in field peas, 0.04 and 0.06 mg/kg in lentils, and 0.04 and 0.32 mg/kg in faba beans. The STMR for the combined data set for pulse grains is 0.05 mg/kg. The OECD MRL calculator recommends an MRL of 0.7 mg/kg.</w:t>
      </w:r>
    </w:p>
    <w:p w14:paraId="08514C93" w14:textId="7CAA6F81" w:rsidR="003F29CF" w:rsidRPr="003F29CF" w:rsidRDefault="00C72AE4" w:rsidP="008D3560">
      <w:pPr>
        <w:pStyle w:val="APVMAText"/>
      </w:pPr>
      <w:r w:rsidRPr="003F29CF">
        <w:t>When looking specifically at the Australian faba bean trials, residues of sulfoxaflor in faba bean grain, 14 days after the last of two applications at 24 g ai/ha (1× proposed) were &lt;0.01 and 0.013 mg/kg. After the last of two applications 28 days before harvest grain residues were &lt;0.01 and 0.32 mg/kg, and after the last of two applications at 35 days before harvest grain residues were 0.035 and 0.20 mg/kg.</w:t>
      </w:r>
    </w:p>
    <w:p w14:paraId="17DE3710" w14:textId="7EEA9489" w:rsidR="008D3560" w:rsidRPr="00F5015D" w:rsidRDefault="008D3560" w:rsidP="008D3560">
      <w:pPr>
        <w:pStyle w:val="APVMAText"/>
      </w:pPr>
      <w:r w:rsidRPr="00F5015D">
        <w:t>In trials in the USA and Brazil residues of sulfoxaflor in soybeans at a 7-day harvest interval after 4 applications at 100 g ai/ha (4× proposed) were: &lt;0.01 (8), 0.01, 0.02 (3), 0.03 (2), 0.04 (3), 0.09, and 0.21 mg/kg.</w:t>
      </w:r>
    </w:p>
    <w:p w14:paraId="42F32D17" w14:textId="06BA29A6" w:rsidR="008D3560" w:rsidRPr="00F5015D" w:rsidRDefault="008D3560" w:rsidP="008D3560">
      <w:pPr>
        <w:pStyle w:val="APVMAText"/>
      </w:pPr>
      <w:r w:rsidRPr="00F5015D">
        <w:t>In 6 trials on dry beans in Brazil, Germany and Spain, following 4 applications of sulfoxaflor at a total rate of 0.350 to 0.365 lb a.i./A (~400 g a.i./ha), residues of sulfoxaflor were 0.02, 0.05, 0.09, 0.09, 0.10 and 0.11 mg/kg in/on dried beans harvested at a 7 day PHI.</w:t>
      </w:r>
    </w:p>
    <w:p w14:paraId="0615A1C0" w14:textId="76C75152" w:rsidR="008D3560" w:rsidRDefault="008D3560" w:rsidP="008D3560">
      <w:pPr>
        <w:pStyle w:val="APVMAText"/>
      </w:pPr>
      <w:r>
        <w:t>Based on these data a sulfoxaflor MRL for VD 0071 Beans (dry) was established at 0.7 mg/kg to cover residues arising in adzuki, mung and navy beans from the registered uses.</w:t>
      </w:r>
    </w:p>
    <w:p w14:paraId="06EB06CA" w14:textId="61D6592F" w:rsidR="008D3560" w:rsidRDefault="008D3560" w:rsidP="008D3560">
      <w:pPr>
        <w:pStyle w:val="APVMAText"/>
      </w:pPr>
      <w:r>
        <w:t>As the permitted use for PER</w:t>
      </w:r>
      <w:r w:rsidRPr="008D3560">
        <w:t>92758</w:t>
      </w:r>
      <w:r>
        <w:t xml:space="preserve"> (equivalent to the proposed use pattern) for sulfoxaflor on faba beans </w:t>
      </w:r>
      <w:r w:rsidRPr="00C872A5">
        <w:t xml:space="preserve">(VD 0523) </w:t>
      </w:r>
      <w:r>
        <w:t>is the same as and based on the registered uses on adzuki, mung and navy beans, and all 4 crops are members of the APVMA Crop subgroup 015A, Dry beans</w:t>
      </w:r>
      <w:r w:rsidRPr="00C872A5">
        <w:rPr>
          <w:vertAlign w:val="superscript"/>
        </w:rPr>
        <w:footnoteReference w:id="7"/>
      </w:r>
      <w:r>
        <w:t>, it was considered appropriate to estimate an MRL for the use on faba beans based on the residues data previously considered for registration of the other 3 crops.</w:t>
      </w:r>
    </w:p>
    <w:p w14:paraId="0170242A" w14:textId="52109A8B" w:rsidR="008D3560" w:rsidRDefault="008D3560" w:rsidP="008D3560">
      <w:pPr>
        <w:pStyle w:val="APVMAText"/>
      </w:pPr>
      <w:r>
        <w:t xml:space="preserve">It is noted that under the new APVMA Crop Groups, the MRL for VD 0071 Beans (dry) only covers </w:t>
      </w:r>
      <w:r w:rsidRPr="00C872A5">
        <w:t>Phaseolus</w:t>
      </w:r>
      <w:r>
        <w:t xml:space="preserve"> species and cultivars. As faba beans are classified as </w:t>
      </w:r>
      <w:r w:rsidRPr="008D3560">
        <w:rPr>
          <w:i/>
          <w:iCs/>
        </w:rPr>
        <w:t>Vicia</w:t>
      </w:r>
      <w:r>
        <w:t xml:space="preserve"> rather than </w:t>
      </w:r>
      <w:r w:rsidRPr="008D3560">
        <w:rPr>
          <w:i/>
          <w:iCs/>
        </w:rPr>
        <w:t>Phaseolus</w:t>
      </w:r>
      <w:r>
        <w:t>, it was appropriate to establish a separate (temporary) MRL for VD 0523 Broad bean (dry) at the same level, 0.7 mg/kg, for the proposed use on faba beans.</w:t>
      </w:r>
    </w:p>
    <w:p w14:paraId="40759240" w14:textId="4E449AF4" w:rsidR="008D3560" w:rsidRDefault="008D3560" w:rsidP="008D3560">
      <w:pPr>
        <w:pStyle w:val="APVMAText"/>
      </w:pPr>
      <w:r>
        <w:lastRenderedPageBreak/>
        <w:t xml:space="preserve">It is now proposed that the current temporary MRL for </w:t>
      </w:r>
      <w:r w:rsidRPr="008D3560">
        <w:t>VD 0523 Broad bean (dry)</w:t>
      </w:r>
      <w:r>
        <w:t xml:space="preserve"> at T0.7 mg/kg be made permanent.</w:t>
      </w:r>
    </w:p>
    <w:p w14:paraId="0CB29406" w14:textId="12455002" w:rsidR="006D36C8" w:rsidRDefault="00957A91" w:rsidP="00032787">
      <w:pPr>
        <w:pStyle w:val="Heading2"/>
      </w:pPr>
      <w:bookmarkStart w:id="27" w:name="_Toc231889749"/>
      <w:bookmarkStart w:id="28" w:name="_Toc2243852"/>
      <w:bookmarkStart w:id="29" w:name="_Toc202969282"/>
      <w:r>
        <w:t>Codex Alimentarius C</w:t>
      </w:r>
      <w:r w:rsidR="006D36C8">
        <w:t>ommission and overseas MRLs</w:t>
      </w:r>
      <w:bookmarkEnd w:id="27"/>
      <w:bookmarkEnd w:id="28"/>
      <w:bookmarkEnd w:id="29"/>
    </w:p>
    <w:p w14:paraId="39E5714A" w14:textId="38F97176" w:rsidR="006D36C8" w:rsidRDefault="006D36C8" w:rsidP="006D36C8">
      <w:pPr>
        <w:pStyle w:val="APVMAText"/>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trade, and accommodate differences in Good Agricultural Practice (GAP) employed by various countries. Some countries may accept Codex CXLs when importing foods. </w:t>
      </w:r>
      <w:r w:rsidR="008D3560">
        <w:t>Sulfoxaflor</w:t>
      </w:r>
      <w:r>
        <w:t xml:space="preserve"> has </w:t>
      </w:r>
      <w:r w:rsidR="00021A6A">
        <w:t>been</w:t>
      </w:r>
      <w:r>
        <w:t xml:space="preserve"> considered by Codex.</w:t>
      </w:r>
    </w:p>
    <w:p w14:paraId="6BD55151" w14:textId="14270832" w:rsidR="00905BA5" w:rsidRDefault="00905BA5" w:rsidP="00905BA5">
      <w:pPr>
        <w:pStyle w:val="Caption"/>
      </w:pPr>
      <w:bookmarkStart w:id="30" w:name="_Toc77579834"/>
      <w:bookmarkStart w:id="31" w:name="_Toc83128731"/>
      <w:bookmarkStart w:id="32" w:name="_Toc113948416"/>
      <w:bookmarkStart w:id="33" w:name="_Toc119912605"/>
      <w:bookmarkStart w:id="34" w:name="_Toc202969287"/>
      <w:r>
        <w:t xml:space="preserve">Table </w:t>
      </w:r>
      <w:r>
        <w:fldChar w:fldCharType="begin"/>
      </w:r>
      <w:r>
        <w:instrText xml:space="preserve"> SEQ Table \* ARABIC </w:instrText>
      </w:r>
      <w:r>
        <w:fldChar w:fldCharType="separate"/>
      </w:r>
      <w:r w:rsidR="005B43FF">
        <w:rPr>
          <w:noProof/>
        </w:rPr>
        <w:t>1</w:t>
      </w:r>
      <w:r>
        <w:rPr>
          <w:noProof/>
        </w:rPr>
        <w:fldChar w:fldCharType="end"/>
      </w:r>
      <w:r>
        <w:t>:</w:t>
      </w:r>
      <w:r>
        <w:tab/>
        <w:t>Relevant international MRLs</w:t>
      </w:r>
      <w:bookmarkEnd w:id="30"/>
      <w:bookmarkEnd w:id="31"/>
      <w:r>
        <w:t xml:space="preserve"> for sulfoxaflor on </w:t>
      </w:r>
      <w:bookmarkEnd w:id="32"/>
      <w:r>
        <w:t>dry beans</w:t>
      </w:r>
      <w:bookmarkEnd w:id="33"/>
      <w:bookmarkEnd w:id="34"/>
    </w:p>
    <w:tbl>
      <w:tblPr>
        <w:tblStyle w:val="TableGrid"/>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99"/>
        <w:gridCol w:w="926"/>
        <w:gridCol w:w="990"/>
        <w:gridCol w:w="1118"/>
        <w:gridCol w:w="989"/>
        <w:gridCol w:w="979"/>
        <w:gridCol w:w="985"/>
        <w:gridCol w:w="1538"/>
      </w:tblGrid>
      <w:tr w:rsidR="00905BA5" w14:paraId="7F173245" w14:textId="77777777" w:rsidTr="00905BA5">
        <w:tc>
          <w:tcPr>
            <w:tcW w:w="0" w:type="auto"/>
            <w:vMerge w:val="restart"/>
            <w:tcBorders>
              <w:top w:val="single" w:sz="4" w:space="0" w:color="auto"/>
              <w:bottom w:val="single" w:sz="4" w:space="0" w:color="auto"/>
            </w:tcBorders>
            <w:shd w:val="clear" w:color="auto" w:fill="00747A"/>
            <w:vAlign w:val="center"/>
          </w:tcPr>
          <w:p w14:paraId="719D933F" w14:textId="77777777" w:rsidR="00905BA5" w:rsidRDefault="00905BA5" w:rsidP="003A26C2">
            <w:pPr>
              <w:pStyle w:val="APVMATableHead"/>
            </w:pPr>
            <w:r>
              <w:t>Commodity</w:t>
            </w:r>
          </w:p>
        </w:tc>
        <w:tc>
          <w:tcPr>
            <w:tcW w:w="8623" w:type="dxa"/>
            <w:gridSpan w:val="8"/>
            <w:tcBorders>
              <w:top w:val="single" w:sz="4" w:space="0" w:color="auto"/>
              <w:bottom w:val="single" w:sz="4" w:space="0" w:color="auto"/>
            </w:tcBorders>
            <w:shd w:val="clear" w:color="auto" w:fill="00747A"/>
          </w:tcPr>
          <w:p w14:paraId="4526DDC9" w14:textId="77777777" w:rsidR="00905BA5" w:rsidRPr="00F7072F" w:rsidRDefault="00905BA5" w:rsidP="003A26C2">
            <w:pPr>
              <w:pStyle w:val="APVMATableHead"/>
              <w:jc w:val="center"/>
            </w:pPr>
            <w:r w:rsidRPr="00F7072F">
              <w:t>Tolerance for residues</w:t>
            </w:r>
            <w:r>
              <w:t xml:space="preserve"> arising from the use of sulfoxaflor</w:t>
            </w:r>
            <w:r w:rsidRPr="00F7072F">
              <w:t xml:space="preserve"> (mg/kg)</w:t>
            </w:r>
          </w:p>
        </w:tc>
      </w:tr>
      <w:tr w:rsidR="001807A7" w14:paraId="45872BD1" w14:textId="77777777" w:rsidTr="00905BA5">
        <w:tc>
          <w:tcPr>
            <w:tcW w:w="0" w:type="auto"/>
            <w:vMerge/>
            <w:tcBorders>
              <w:bottom w:val="single" w:sz="4" w:space="0" w:color="auto"/>
            </w:tcBorders>
            <w:shd w:val="clear" w:color="auto" w:fill="00747A"/>
          </w:tcPr>
          <w:p w14:paraId="37F0817F" w14:textId="77777777" w:rsidR="00905BA5" w:rsidRDefault="00905BA5" w:rsidP="003A26C2">
            <w:pPr>
              <w:pStyle w:val="APVMATableHead"/>
            </w:pPr>
          </w:p>
        </w:tc>
        <w:tc>
          <w:tcPr>
            <w:tcW w:w="0" w:type="auto"/>
            <w:tcBorders>
              <w:top w:val="single" w:sz="4" w:space="0" w:color="auto"/>
              <w:bottom w:val="single" w:sz="4" w:space="0" w:color="auto"/>
            </w:tcBorders>
            <w:shd w:val="clear" w:color="auto" w:fill="00747A"/>
          </w:tcPr>
          <w:p w14:paraId="20A4A581" w14:textId="77777777" w:rsidR="00905BA5" w:rsidRDefault="00905BA5" w:rsidP="003A26C2">
            <w:pPr>
              <w:pStyle w:val="APVMATableHeadRight"/>
            </w:pPr>
            <w:r>
              <w:t>Australia</w:t>
            </w:r>
          </w:p>
        </w:tc>
        <w:tc>
          <w:tcPr>
            <w:tcW w:w="0" w:type="auto"/>
            <w:tcBorders>
              <w:top w:val="single" w:sz="4" w:space="0" w:color="auto"/>
              <w:bottom w:val="single" w:sz="4" w:space="0" w:color="auto"/>
            </w:tcBorders>
            <w:shd w:val="clear" w:color="auto" w:fill="00747A"/>
          </w:tcPr>
          <w:p w14:paraId="676DFA76" w14:textId="77777777" w:rsidR="00905BA5" w:rsidRDefault="00905BA5" w:rsidP="003A26C2">
            <w:pPr>
              <w:pStyle w:val="APVMATableHeadRight"/>
            </w:pPr>
            <w:r>
              <w:t>EU</w:t>
            </w:r>
            <w:r>
              <w:rPr>
                <w:rStyle w:val="FootnoteReference"/>
              </w:rPr>
              <w:footnoteReference w:id="8"/>
            </w:r>
          </w:p>
        </w:tc>
        <w:tc>
          <w:tcPr>
            <w:tcW w:w="1000" w:type="dxa"/>
            <w:tcBorders>
              <w:top w:val="single" w:sz="4" w:space="0" w:color="auto"/>
              <w:bottom w:val="single" w:sz="4" w:space="0" w:color="auto"/>
            </w:tcBorders>
            <w:shd w:val="clear" w:color="auto" w:fill="00747A"/>
          </w:tcPr>
          <w:p w14:paraId="012E6E57" w14:textId="77777777" w:rsidR="00905BA5" w:rsidRDefault="00905BA5" w:rsidP="003A26C2">
            <w:pPr>
              <w:pStyle w:val="APVMATableHeadRight"/>
            </w:pPr>
            <w:r>
              <w:t>Codex</w:t>
            </w:r>
            <w:r>
              <w:rPr>
                <w:rStyle w:val="FootnoteReference"/>
              </w:rPr>
              <w:footnoteReference w:id="9"/>
            </w:r>
          </w:p>
        </w:tc>
        <w:tc>
          <w:tcPr>
            <w:tcW w:w="1134" w:type="dxa"/>
            <w:tcBorders>
              <w:top w:val="single" w:sz="4" w:space="0" w:color="auto"/>
              <w:bottom w:val="single" w:sz="4" w:space="0" w:color="auto"/>
            </w:tcBorders>
            <w:shd w:val="clear" w:color="auto" w:fill="00747A"/>
          </w:tcPr>
          <w:p w14:paraId="6D4BC18A" w14:textId="77777777" w:rsidR="00905BA5" w:rsidRDefault="00905BA5" w:rsidP="003A26C2">
            <w:pPr>
              <w:pStyle w:val="APVMATableHeadRight"/>
            </w:pPr>
            <w:r>
              <w:t>Japan</w:t>
            </w:r>
            <w:r w:rsidRPr="00D50E8A">
              <w:rPr>
                <w:vertAlign w:val="superscript"/>
              </w:rPr>
              <w:footnoteReference w:id="10"/>
            </w:r>
          </w:p>
        </w:tc>
        <w:tc>
          <w:tcPr>
            <w:tcW w:w="992" w:type="dxa"/>
            <w:tcBorders>
              <w:top w:val="single" w:sz="4" w:space="0" w:color="auto"/>
              <w:bottom w:val="single" w:sz="4" w:space="0" w:color="auto"/>
            </w:tcBorders>
            <w:shd w:val="clear" w:color="auto" w:fill="00747A"/>
          </w:tcPr>
          <w:p w14:paraId="0E4CC558" w14:textId="77777777" w:rsidR="00905BA5" w:rsidRDefault="00905BA5" w:rsidP="003A26C2">
            <w:pPr>
              <w:pStyle w:val="APVMATableHeadRight"/>
            </w:pPr>
            <w:r>
              <w:t>Korea</w:t>
            </w:r>
            <w:r w:rsidRPr="00D50E8A">
              <w:rPr>
                <w:vertAlign w:val="superscript"/>
              </w:rPr>
              <w:footnoteReference w:id="11"/>
            </w:r>
          </w:p>
        </w:tc>
        <w:tc>
          <w:tcPr>
            <w:tcW w:w="993" w:type="dxa"/>
            <w:tcBorders>
              <w:top w:val="single" w:sz="4" w:space="0" w:color="auto"/>
              <w:bottom w:val="single" w:sz="4" w:space="0" w:color="auto"/>
            </w:tcBorders>
            <w:shd w:val="clear" w:color="auto" w:fill="00747A"/>
          </w:tcPr>
          <w:p w14:paraId="323B89E0" w14:textId="77777777" w:rsidR="00905BA5" w:rsidRDefault="00905BA5" w:rsidP="003A26C2">
            <w:pPr>
              <w:pStyle w:val="APVMATableHeadRight"/>
            </w:pPr>
            <w:r>
              <w:t>USA</w:t>
            </w:r>
            <w:r w:rsidRPr="00D50E8A">
              <w:rPr>
                <w:vertAlign w:val="superscript"/>
              </w:rPr>
              <w:footnoteReference w:id="12"/>
            </w:r>
          </w:p>
        </w:tc>
        <w:tc>
          <w:tcPr>
            <w:tcW w:w="992" w:type="dxa"/>
            <w:tcBorders>
              <w:top w:val="single" w:sz="4" w:space="0" w:color="auto"/>
              <w:bottom w:val="single" w:sz="4" w:space="0" w:color="auto"/>
            </w:tcBorders>
            <w:shd w:val="clear" w:color="auto" w:fill="00747A"/>
          </w:tcPr>
          <w:p w14:paraId="3125261A" w14:textId="77777777" w:rsidR="00905BA5" w:rsidRDefault="00905BA5" w:rsidP="003A26C2">
            <w:pPr>
              <w:pStyle w:val="APVMATableHeadRight"/>
            </w:pPr>
            <w:r>
              <w:t>China</w:t>
            </w:r>
            <w:r w:rsidRPr="00CB0BF5">
              <w:rPr>
                <w:rStyle w:val="FootnoteReference"/>
                <w:szCs w:val="18"/>
              </w:rPr>
              <w:footnoteReference w:id="13"/>
            </w:r>
          </w:p>
        </w:tc>
        <w:tc>
          <w:tcPr>
            <w:tcW w:w="1559" w:type="dxa"/>
            <w:tcBorders>
              <w:top w:val="single" w:sz="4" w:space="0" w:color="auto"/>
              <w:bottom w:val="single" w:sz="4" w:space="0" w:color="auto"/>
            </w:tcBorders>
            <w:shd w:val="clear" w:color="auto" w:fill="00747A"/>
          </w:tcPr>
          <w:p w14:paraId="7933711C" w14:textId="77777777" w:rsidR="00905BA5" w:rsidRDefault="00905BA5" w:rsidP="003A26C2">
            <w:pPr>
              <w:pStyle w:val="APVMATableHeadRight"/>
            </w:pPr>
            <w:r>
              <w:t>Taiwan</w:t>
            </w:r>
            <w:r>
              <w:rPr>
                <w:rStyle w:val="FootnoteReference"/>
              </w:rPr>
              <w:footnoteReference w:id="14"/>
            </w:r>
          </w:p>
        </w:tc>
      </w:tr>
      <w:tr w:rsidR="00905BA5" w14:paraId="3C63D9AF" w14:textId="77777777" w:rsidTr="00905BA5">
        <w:tc>
          <w:tcPr>
            <w:tcW w:w="0" w:type="auto"/>
            <w:tcBorders>
              <w:top w:val="single" w:sz="4" w:space="0" w:color="auto"/>
              <w:bottom w:val="single" w:sz="4" w:space="0" w:color="auto"/>
            </w:tcBorders>
          </w:tcPr>
          <w:p w14:paraId="6DA8D973" w14:textId="77777777" w:rsidR="00905BA5" w:rsidRPr="00F7072F" w:rsidRDefault="00905BA5" w:rsidP="003A26C2">
            <w:pPr>
              <w:pStyle w:val="APVMATableText"/>
            </w:pPr>
            <w:r>
              <w:t>Broad bean (dry)</w:t>
            </w:r>
          </w:p>
        </w:tc>
        <w:tc>
          <w:tcPr>
            <w:tcW w:w="0" w:type="auto"/>
            <w:tcBorders>
              <w:top w:val="single" w:sz="4" w:space="0" w:color="auto"/>
              <w:bottom w:val="single" w:sz="4" w:space="0" w:color="auto"/>
            </w:tcBorders>
          </w:tcPr>
          <w:p w14:paraId="01AAF988" w14:textId="7B044E4D" w:rsidR="00905BA5" w:rsidRPr="00F7072F" w:rsidRDefault="00905BA5" w:rsidP="003A26C2">
            <w:pPr>
              <w:pStyle w:val="APVMATableTextRight"/>
            </w:pPr>
            <w:r>
              <w:t>0.7 (proposed)</w:t>
            </w:r>
          </w:p>
        </w:tc>
        <w:tc>
          <w:tcPr>
            <w:tcW w:w="0" w:type="auto"/>
            <w:tcBorders>
              <w:top w:val="single" w:sz="4" w:space="0" w:color="auto"/>
              <w:bottom w:val="single" w:sz="4" w:space="0" w:color="auto"/>
            </w:tcBorders>
          </w:tcPr>
          <w:p w14:paraId="1733877D" w14:textId="77777777" w:rsidR="00905BA5" w:rsidRPr="00C01773" w:rsidRDefault="00905BA5" w:rsidP="003A26C2">
            <w:pPr>
              <w:pStyle w:val="APVMATableTextRight"/>
            </w:pPr>
            <w:r>
              <w:t>–</w:t>
            </w:r>
          </w:p>
        </w:tc>
        <w:tc>
          <w:tcPr>
            <w:tcW w:w="1000" w:type="dxa"/>
            <w:tcBorders>
              <w:top w:val="single" w:sz="4" w:space="0" w:color="auto"/>
              <w:bottom w:val="single" w:sz="4" w:space="0" w:color="auto"/>
            </w:tcBorders>
          </w:tcPr>
          <w:p w14:paraId="2EE178EA" w14:textId="77777777" w:rsidR="00905BA5" w:rsidRPr="00C01773" w:rsidRDefault="00905BA5" w:rsidP="003A26C2">
            <w:pPr>
              <w:pStyle w:val="APVMATableTextRight"/>
            </w:pPr>
            <w:r>
              <w:t>–</w:t>
            </w:r>
          </w:p>
        </w:tc>
        <w:tc>
          <w:tcPr>
            <w:tcW w:w="1134" w:type="dxa"/>
            <w:tcBorders>
              <w:top w:val="single" w:sz="4" w:space="0" w:color="auto"/>
              <w:bottom w:val="single" w:sz="4" w:space="0" w:color="auto"/>
            </w:tcBorders>
          </w:tcPr>
          <w:p w14:paraId="1AE883D3" w14:textId="77777777" w:rsidR="00905BA5" w:rsidRPr="00C01773" w:rsidRDefault="00905BA5" w:rsidP="003A26C2">
            <w:pPr>
              <w:pStyle w:val="APVMATableTextRight"/>
            </w:pPr>
            <w:r>
              <w:t>0.2 (Broad beans)</w:t>
            </w:r>
          </w:p>
        </w:tc>
        <w:tc>
          <w:tcPr>
            <w:tcW w:w="992" w:type="dxa"/>
            <w:tcBorders>
              <w:top w:val="single" w:sz="4" w:space="0" w:color="auto"/>
              <w:bottom w:val="single" w:sz="4" w:space="0" w:color="auto"/>
            </w:tcBorders>
          </w:tcPr>
          <w:p w14:paraId="6515EED2" w14:textId="77777777" w:rsidR="00905BA5" w:rsidRPr="00C01773" w:rsidRDefault="00905BA5" w:rsidP="003A26C2">
            <w:pPr>
              <w:pStyle w:val="APVMATableTextRight"/>
              <w:rPr>
                <w:highlight w:val="yellow"/>
              </w:rPr>
            </w:pPr>
            <w:r w:rsidRPr="00972829">
              <w:t>–</w:t>
            </w:r>
          </w:p>
        </w:tc>
        <w:tc>
          <w:tcPr>
            <w:tcW w:w="993" w:type="dxa"/>
            <w:tcBorders>
              <w:top w:val="single" w:sz="4" w:space="0" w:color="auto"/>
              <w:bottom w:val="single" w:sz="4" w:space="0" w:color="auto"/>
            </w:tcBorders>
          </w:tcPr>
          <w:p w14:paraId="1577DED6" w14:textId="77777777" w:rsidR="00905BA5" w:rsidRPr="00C01773" w:rsidRDefault="00905BA5" w:rsidP="003A26C2">
            <w:pPr>
              <w:pStyle w:val="APVMATableTextRight"/>
            </w:pPr>
            <w:r w:rsidRPr="00972829">
              <w:t>–</w:t>
            </w:r>
          </w:p>
        </w:tc>
        <w:tc>
          <w:tcPr>
            <w:tcW w:w="992" w:type="dxa"/>
            <w:tcBorders>
              <w:top w:val="single" w:sz="4" w:space="0" w:color="auto"/>
              <w:bottom w:val="single" w:sz="4" w:space="0" w:color="auto"/>
            </w:tcBorders>
          </w:tcPr>
          <w:p w14:paraId="32AC647A" w14:textId="77777777" w:rsidR="00905BA5" w:rsidRPr="00C01773" w:rsidRDefault="00905BA5" w:rsidP="003A26C2">
            <w:pPr>
              <w:pStyle w:val="APVMATableTextRight"/>
            </w:pPr>
            <w:r w:rsidRPr="00972829">
              <w:t>–</w:t>
            </w:r>
          </w:p>
        </w:tc>
        <w:tc>
          <w:tcPr>
            <w:tcW w:w="1559" w:type="dxa"/>
            <w:tcBorders>
              <w:top w:val="single" w:sz="4" w:space="0" w:color="auto"/>
              <w:bottom w:val="single" w:sz="4" w:space="0" w:color="auto"/>
            </w:tcBorders>
          </w:tcPr>
          <w:p w14:paraId="1A9760A8" w14:textId="77777777" w:rsidR="00905BA5" w:rsidRPr="00C01773" w:rsidRDefault="00905BA5" w:rsidP="003A26C2">
            <w:pPr>
              <w:pStyle w:val="APVMATableTextRight"/>
            </w:pPr>
            <w:r w:rsidRPr="00972829">
              <w:t>–</w:t>
            </w:r>
          </w:p>
        </w:tc>
      </w:tr>
      <w:tr w:rsidR="00905BA5" w14:paraId="7FDD7838" w14:textId="77777777" w:rsidTr="00905BA5">
        <w:tc>
          <w:tcPr>
            <w:tcW w:w="0" w:type="auto"/>
            <w:tcBorders>
              <w:top w:val="single" w:sz="4" w:space="0" w:color="auto"/>
              <w:bottom w:val="single" w:sz="4" w:space="0" w:color="auto"/>
            </w:tcBorders>
          </w:tcPr>
          <w:p w14:paraId="5DA2E172" w14:textId="77777777" w:rsidR="00905BA5" w:rsidRDefault="00905BA5" w:rsidP="003A26C2">
            <w:pPr>
              <w:pStyle w:val="APVMATableText"/>
            </w:pPr>
            <w:r>
              <w:t>Beans (dry)</w:t>
            </w:r>
          </w:p>
        </w:tc>
        <w:tc>
          <w:tcPr>
            <w:tcW w:w="0" w:type="auto"/>
            <w:tcBorders>
              <w:top w:val="single" w:sz="4" w:space="0" w:color="auto"/>
              <w:bottom w:val="single" w:sz="4" w:space="0" w:color="auto"/>
            </w:tcBorders>
          </w:tcPr>
          <w:p w14:paraId="4CAFA835" w14:textId="77777777" w:rsidR="00905BA5" w:rsidRDefault="00905BA5" w:rsidP="003A26C2">
            <w:pPr>
              <w:pStyle w:val="APVMATableTextRight"/>
            </w:pPr>
            <w:r>
              <w:t>0.7</w:t>
            </w:r>
          </w:p>
        </w:tc>
        <w:tc>
          <w:tcPr>
            <w:tcW w:w="0" w:type="auto"/>
            <w:tcBorders>
              <w:top w:val="single" w:sz="4" w:space="0" w:color="auto"/>
              <w:bottom w:val="single" w:sz="4" w:space="0" w:color="auto"/>
            </w:tcBorders>
          </w:tcPr>
          <w:p w14:paraId="09D4D246" w14:textId="2F36040A" w:rsidR="00905BA5" w:rsidRDefault="00905BA5" w:rsidP="003A26C2">
            <w:pPr>
              <w:pStyle w:val="APVMATableTextRight"/>
            </w:pPr>
            <w:r>
              <w:t>0.3 (Beans)</w:t>
            </w:r>
            <w:r w:rsidR="001106B2">
              <w:t>*</w:t>
            </w:r>
          </w:p>
        </w:tc>
        <w:tc>
          <w:tcPr>
            <w:tcW w:w="1000" w:type="dxa"/>
            <w:tcBorders>
              <w:top w:val="single" w:sz="4" w:space="0" w:color="auto"/>
              <w:bottom w:val="single" w:sz="4" w:space="0" w:color="auto"/>
            </w:tcBorders>
          </w:tcPr>
          <w:p w14:paraId="449372D0" w14:textId="77777777" w:rsidR="00905BA5" w:rsidRPr="00AA5C74" w:rsidRDefault="00905BA5" w:rsidP="003A26C2">
            <w:pPr>
              <w:pStyle w:val="APVMATableTextRight"/>
            </w:pPr>
            <w:r>
              <w:t>0.3</w:t>
            </w:r>
          </w:p>
        </w:tc>
        <w:tc>
          <w:tcPr>
            <w:tcW w:w="1134" w:type="dxa"/>
            <w:tcBorders>
              <w:top w:val="single" w:sz="4" w:space="0" w:color="auto"/>
              <w:bottom w:val="single" w:sz="4" w:space="0" w:color="auto"/>
            </w:tcBorders>
          </w:tcPr>
          <w:p w14:paraId="67A875EB" w14:textId="77777777" w:rsidR="00905BA5" w:rsidRDefault="00905BA5" w:rsidP="003A26C2">
            <w:pPr>
              <w:pStyle w:val="APVMATableTextRight"/>
            </w:pPr>
            <w:r>
              <w:t>0.3</w:t>
            </w:r>
          </w:p>
        </w:tc>
        <w:tc>
          <w:tcPr>
            <w:tcW w:w="992" w:type="dxa"/>
            <w:tcBorders>
              <w:top w:val="single" w:sz="4" w:space="0" w:color="auto"/>
              <w:bottom w:val="single" w:sz="4" w:space="0" w:color="auto"/>
            </w:tcBorders>
          </w:tcPr>
          <w:p w14:paraId="44C0A8D7" w14:textId="2B11B696" w:rsidR="00905BA5" w:rsidRDefault="00905BA5" w:rsidP="003A26C2">
            <w:pPr>
              <w:pStyle w:val="APVMATableTextRight"/>
            </w:pPr>
            <w:r>
              <w:t>0.2 (Beans)</w:t>
            </w:r>
            <w:r w:rsidR="00713DFB">
              <w:t>*</w:t>
            </w:r>
            <w:r>
              <w:t xml:space="preserve"> </w:t>
            </w:r>
          </w:p>
        </w:tc>
        <w:tc>
          <w:tcPr>
            <w:tcW w:w="993" w:type="dxa"/>
            <w:tcBorders>
              <w:top w:val="single" w:sz="4" w:space="0" w:color="auto"/>
              <w:bottom w:val="single" w:sz="4" w:space="0" w:color="auto"/>
            </w:tcBorders>
          </w:tcPr>
          <w:p w14:paraId="2E1A0C3C" w14:textId="05FBEA2C" w:rsidR="00905BA5" w:rsidRPr="00627048" w:rsidRDefault="00905BA5" w:rsidP="003A26C2">
            <w:pPr>
              <w:pStyle w:val="APVMATableTextRight"/>
            </w:pPr>
            <w:r>
              <w:t>0.20</w:t>
            </w:r>
            <w:r w:rsidR="00713DFB">
              <w:t>*</w:t>
            </w:r>
          </w:p>
        </w:tc>
        <w:tc>
          <w:tcPr>
            <w:tcW w:w="992" w:type="dxa"/>
            <w:tcBorders>
              <w:top w:val="single" w:sz="4" w:space="0" w:color="auto"/>
              <w:bottom w:val="single" w:sz="4" w:space="0" w:color="auto"/>
            </w:tcBorders>
          </w:tcPr>
          <w:p w14:paraId="38542241" w14:textId="77777777" w:rsidR="00905BA5" w:rsidRDefault="00905BA5" w:rsidP="003A26C2">
            <w:pPr>
              <w:pStyle w:val="APVMATableTextRight"/>
            </w:pPr>
            <w:r>
              <w:t>-</w:t>
            </w:r>
          </w:p>
        </w:tc>
        <w:tc>
          <w:tcPr>
            <w:tcW w:w="1559" w:type="dxa"/>
            <w:tcBorders>
              <w:top w:val="single" w:sz="4" w:space="0" w:color="auto"/>
              <w:bottom w:val="single" w:sz="4" w:space="0" w:color="auto"/>
            </w:tcBorders>
          </w:tcPr>
          <w:p w14:paraId="0EB2E3E5" w14:textId="0129E577" w:rsidR="00905BA5" w:rsidRDefault="00905BA5" w:rsidP="003A26C2">
            <w:pPr>
              <w:pStyle w:val="APVMATableTextRight"/>
            </w:pPr>
            <w:r>
              <w:t>0.3 (Other dry beans except cotton seed and rapeseed)</w:t>
            </w:r>
            <w:r w:rsidR="00713DFB">
              <w:t>*</w:t>
            </w:r>
          </w:p>
        </w:tc>
      </w:tr>
      <w:tr w:rsidR="001807A7" w14:paraId="7541C35A" w14:textId="77777777" w:rsidTr="00905BA5">
        <w:tc>
          <w:tcPr>
            <w:tcW w:w="0" w:type="auto"/>
            <w:tcBorders>
              <w:top w:val="single" w:sz="4" w:space="0" w:color="auto"/>
              <w:bottom w:val="single" w:sz="4" w:space="0" w:color="auto"/>
            </w:tcBorders>
          </w:tcPr>
          <w:p w14:paraId="6E59E6BD" w14:textId="77777777" w:rsidR="00905BA5" w:rsidRDefault="00905BA5" w:rsidP="003A26C2">
            <w:pPr>
              <w:pStyle w:val="APVMATableText"/>
            </w:pPr>
            <w:r>
              <w:t>Soya bean (dry)</w:t>
            </w:r>
          </w:p>
        </w:tc>
        <w:tc>
          <w:tcPr>
            <w:tcW w:w="0" w:type="auto"/>
            <w:tcBorders>
              <w:top w:val="single" w:sz="4" w:space="0" w:color="auto"/>
              <w:bottom w:val="single" w:sz="4" w:space="0" w:color="auto"/>
            </w:tcBorders>
          </w:tcPr>
          <w:p w14:paraId="3858D4B0" w14:textId="2C5FBBBC" w:rsidR="00905BA5" w:rsidRDefault="00905BA5" w:rsidP="003A26C2">
            <w:pPr>
              <w:pStyle w:val="APVMATableTextRight"/>
            </w:pPr>
            <w:r>
              <w:t>0.3</w:t>
            </w:r>
          </w:p>
        </w:tc>
        <w:tc>
          <w:tcPr>
            <w:tcW w:w="854" w:type="dxa"/>
            <w:tcBorders>
              <w:top w:val="single" w:sz="4" w:space="0" w:color="auto"/>
              <w:bottom w:val="single" w:sz="4" w:space="0" w:color="auto"/>
            </w:tcBorders>
            <w:vAlign w:val="center"/>
          </w:tcPr>
          <w:p w14:paraId="42E43F33" w14:textId="6DABE86C" w:rsidR="00905BA5" w:rsidRPr="00AA5C74" w:rsidRDefault="00905BA5" w:rsidP="00905BA5">
            <w:pPr>
              <w:pStyle w:val="APVMATableTextRight"/>
            </w:pPr>
            <w:r w:rsidRPr="00905BA5">
              <w:t>–</w:t>
            </w:r>
          </w:p>
        </w:tc>
        <w:tc>
          <w:tcPr>
            <w:tcW w:w="1000" w:type="dxa"/>
            <w:tcBorders>
              <w:top w:val="single" w:sz="4" w:space="0" w:color="auto"/>
              <w:bottom w:val="single" w:sz="4" w:space="0" w:color="auto"/>
            </w:tcBorders>
          </w:tcPr>
          <w:p w14:paraId="49596A82" w14:textId="2C4EEBF2" w:rsidR="00905BA5" w:rsidRDefault="00905BA5" w:rsidP="003A26C2">
            <w:pPr>
              <w:pStyle w:val="APVMATableTextRight"/>
            </w:pPr>
            <w:r>
              <w:t>0.3</w:t>
            </w:r>
          </w:p>
        </w:tc>
        <w:tc>
          <w:tcPr>
            <w:tcW w:w="1134" w:type="dxa"/>
            <w:tcBorders>
              <w:top w:val="single" w:sz="4" w:space="0" w:color="auto"/>
              <w:bottom w:val="single" w:sz="4" w:space="0" w:color="auto"/>
            </w:tcBorders>
          </w:tcPr>
          <w:p w14:paraId="72857DA4" w14:textId="77777777" w:rsidR="00905BA5" w:rsidRDefault="00905BA5" w:rsidP="003A26C2">
            <w:pPr>
              <w:pStyle w:val="APVMATableTextRight"/>
            </w:pPr>
            <w:r w:rsidRPr="0031038F">
              <w:t>–</w:t>
            </w:r>
          </w:p>
        </w:tc>
        <w:tc>
          <w:tcPr>
            <w:tcW w:w="992" w:type="dxa"/>
            <w:tcBorders>
              <w:top w:val="single" w:sz="4" w:space="0" w:color="auto"/>
              <w:bottom w:val="single" w:sz="4" w:space="0" w:color="auto"/>
            </w:tcBorders>
          </w:tcPr>
          <w:p w14:paraId="0657D50C" w14:textId="2F1923F7" w:rsidR="00905BA5" w:rsidRDefault="00905BA5" w:rsidP="003A26C2">
            <w:pPr>
              <w:pStyle w:val="APVMATableTextRight"/>
            </w:pPr>
          </w:p>
        </w:tc>
        <w:tc>
          <w:tcPr>
            <w:tcW w:w="993" w:type="dxa"/>
            <w:tcBorders>
              <w:top w:val="single" w:sz="4" w:space="0" w:color="auto"/>
              <w:bottom w:val="single" w:sz="4" w:space="0" w:color="auto"/>
            </w:tcBorders>
          </w:tcPr>
          <w:p w14:paraId="7294DC56" w14:textId="77777777" w:rsidR="00905BA5" w:rsidRPr="00627048" w:rsidRDefault="00905BA5" w:rsidP="003A26C2">
            <w:pPr>
              <w:pStyle w:val="APVMATableTextRight"/>
            </w:pPr>
            <w:r>
              <w:t>0.20</w:t>
            </w:r>
          </w:p>
        </w:tc>
        <w:tc>
          <w:tcPr>
            <w:tcW w:w="992" w:type="dxa"/>
            <w:tcBorders>
              <w:top w:val="single" w:sz="4" w:space="0" w:color="auto"/>
              <w:bottom w:val="single" w:sz="4" w:space="0" w:color="auto"/>
            </w:tcBorders>
          </w:tcPr>
          <w:p w14:paraId="53D5CB2C" w14:textId="77777777" w:rsidR="00905BA5" w:rsidRDefault="00905BA5" w:rsidP="003A26C2">
            <w:pPr>
              <w:pStyle w:val="APVMATableTextRight"/>
            </w:pPr>
            <w:r>
              <w:t>T0.3</w:t>
            </w:r>
          </w:p>
        </w:tc>
        <w:tc>
          <w:tcPr>
            <w:tcW w:w="1559" w:type="dxa"/>
            <w:tcBorders>
              <w:top w:val="single" w:sz="4" w:space="0" w:color="auto"/>
              <w:bottom w:val="single" w:sz="4" w:space="0" w:color="auto"/>
            </w:tcBorders>
          </w:tcPr>
          <w:p w14:paraId="4BE0419B" w14:textId="77777777" w:rsidR="00905BA5" w:rsidRDefault="00905BA5" w:rsidP="003A26C2">
            <w:pPr>
              <w:pStyle w:val="APVMATableTextRight"/>
            </w:pPr>
            <w:r>
              <w:t>–</w:t>
            </w:r>
          </w:p>
        </w:tc>
      </w:tr>
    </w:tbl>
    <w:p w14:paraId="79A1D722" w14:textId="2AA200CD" w:rsidR="001807A7" w:rsidRPr="003F29CF" w:rsidRDefault="001106B2" w:rsidP="003F29CF">
      <w:pPr>
        <w:pStyle w:val="NormalText"/>
        <w:spacing w:before="0"/>
        <w:rPr>
          <w:sz w:val="14"/>
          <w:szCs w:val="18"/>
        </w:rPr>
      </w:pPr>
      <w:bookmarkStart w:id="36" w:name="_Toc231889750"/>
      <w:bookmarkStart w:id="37" w:name="_Toc2243853"/>
      <w:r w:rsidRPr="003F29CF">
        <w:rPr>
          <w:sz w:val="18"/>
          <w:szCs w:val="22"/>
        </w:rPr>
        <w:t>*</w:t>
      </w:r>
      <w:r w:rsidRPr="003F29CF">
        <w:rPr>
          <w:sz w:val="14"/>
          <w:szCs w:val="18"/>
        </w:rPr>
        <w:t>includes faba bean</w:t>
      </w:r>
    </w:p>
    <w:p w14:paraId="7421D16B" w14:textId="62B5F5C1" w:rsidR="006D36C8" w:rsidRDefault="006D36C8" w:rsidP="00032787">
      <w:pPr>
        <w:pStyle w:val="Heading2"/>
      </w:pPr>
      <w:bookmarkStart w:id="38" w:name="_Toc202969283"/>
      <w:r>
        <w:lastRenderedPageBreak/>
        <w:t xml:space="preserve">Current and proposed Australian MRLs for </w:t>
      </w:r>
      <w:bookmarkEnd w:id="36"/>
      <w:bookmarkEnd w:id="37"/>
      <w:r w:rsidR="008D3560">
        <w:t>sulfoxaflor</w:t>
      </w:r>
      <w:bookmarkEnd w:id="38"/>
    </w:p>
    <w:p w14:paraId="54739A9F" w14:textId="4B15129B" w:rsidR="006D36C8" w:rsidRDefault="00383003" w:rsidP="006D36C8">
      <w:pPr>
        <w:pStyle w:val="Caption"/>
      </w:pPr>
      <w:bookmarkStart w:id="39" w:name="_Toc252955170"/>
      <w:bookmarkStart w:id="40" w:name="_Toc202969288"/>
      <w:bookmarkStart w:id="41" w:name="_Hlk190436787"/>
      <w:r>
        <w:t xml:space="preserve">Table </w:t>
      </w:r>
      <w:r w:rsidR="008D3560">
        <w:t>3</w:t>
      </w:r>
      <w:r>
        <w:t>:</w:t>
      </w:r>
      <w:r>
        <w:tab/>
      </w:r>
      <w:bookmarkEnd w:id="39"/>
      <w:r w:rsidR="008D3560" w:rsidRPr="008D3560">
        <w:t>Current relevant MRLs for sulfoxaflor in Table 1 of the MRL Standard</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577AB828" w:rsidR="006D36C8" w:rsidRDefault="008D3560" w:rsidP="00BA67F0">
            <w:pPr>
              <w:pStyle w:val="MRLActiveName"/>
            </w:pPr>
            <w:r w:rsidRPr="008D3560">
              <w:t>Sulfoxaflor</w:t>
            </w:r>
          </w:p>
        </w:tc>
      </w:tr>
      <w:tr w:rsidR="008D3560" w14:paraId="715F5C64" w14:textId="77777777" w:rsidTr="00E63AC3">
        <w:tc>
          <w:tcPr>
            <w:tcW w:w="1613" w:type="pct"/>
            <w:tcBorders>
              <w:top w:val="single" w:sz="4" w:space="0" w:color="auto"/>
              <w:left w:val="nil"/>
              <w:bottom w:val="single" w:sz="4" w:space="0" w:color="auto"/>
              <w:right w:val="nil"/>
            </w:tcBorders>
          </w:tcPr>
          <w:p w14:paraId="28A95230" w14:textId="6718C7D7" w:rsidR="008D3560" w:rsidRDefault="008D3560" w:rsidP="008D3560">
            <w:pPr>
              <w:pStyle w:val="APVMATableText"/>
            </w:pPr>
            <w:r w:rsidRPr="00D56802">
              <w:rPr>
                <w:sz w:val="18"/>
                <w:szCs w:val="18"/>
              </w:rPr>
              <w:t>VD</w:t>
            </w:r>
            <w:r w:rsidRPr="00D56802">
              <w:rPr>
                <w:sz w:val="18"/>
                <w:szCs w:val="18"/>
              </w:rPr>
              <w:tab/>
              <w:t>0071</w:t>
            </w:r>
          </w:p>
        </w:tc>
        <w:tc>
          <w:tcPr>
            <w:tcW w:w="2392" w:type="pct"/>
            <w:tcBorders>
              <w:top w:val="single" w:sz="4" w:space="0" w:color="auto"/>
              <w:left w:val="nil"/>
              <w:bottom w:val="single" w:sz="4" w:space="0" w:color="auto"/>
              <w:right w:val="nil"/>
            </w:tcBorders>
          </w:tcPr>
          <w:p w14:paraId="02C2C240" w14:textId="63C886D0" w:rsidR="008D3560" w:rsidRDefault="008D3560" w:rsidP="008D3560">
            <w:pPr>
              <w:pStyle w:val="APVMATableText"/>
            </w:pPr>
            <w:r w:rsidRPr="00D56802">
              <w:rPr>
                <w:sz w:val="18"/>
                <w:szCs w:val="18"/>
              </w:rPr>
              <w:t>Beans (dry)</w:t>
            </w:r>
          </w:p>
        </w:tc>
        <w:tc>
          <w:tcPr>
            <w:tcW w:w="995" w:type="pct"/>
            <w:tcBorders>
              <w:top w:val="single" w:sz="4" w:space="0" w:color="auto"/>
              <w:left w:val="nil"/>
              <w:bottom w:val="single" w:sz="4" w:space="0" w:color="auto"/>
              <w:right w:val="nil"/>
            </w:tcBorders>
          </w:tcPr>
          <w:p w14:paraId="04A2B751" w14:textId="6489F64C" w:rsidR="008D3560" w:rsidRDefault="008D3560" w:rsidP="008D3560">
            <w:pPr>
              <w:pStyle w:val="APVMATableTextRight"/>
            </w:pPr>
            <w:r w:rsidRPr="00D56802">
              <w:rPr>
                <w:sz w:val="18"/>
                <w:szCs w:val="18"/>
              </w:rPr>
              <w:t>0.7</w:t>
            </w:r>
          </w:p>
        </w:tc>
      </w:tr>
      <w:tr w:rsidR="008D3560" w14:paraId="653FBE3E" w14:textId="77777777" w:rsidTr="00E63AC3">
        <w:tc>
          <w:tcPr>
            <w:tcW w:w="1613" w:type="pct"/>
            <w:tcBorders>
              <w:top w:val="single" w:sz="4" w:space="0" w:color="auto"/>
              <w:left w:val="nil"/>
              <w:bottom w:val="single" w:sz="4" w:space="0" w:color="auto"/>
              <w:right w:val="nil"/>
            </w:tcBorders>
          </w:tcPr>
          <w:p w14:paraId="6866F868" w14:textId="1BBAB3A7" w:rsidR="008D3560" w:rsidRDefault="008D3560" w:rsidP="008D3560">
            <w:pPr>
              <w:pStyle w:val="APVMATableText"/>
            </w:pPr>
            <w:r w:rsidRPr="00D56802">
              <w:rPr>
                <w:sz w:val="18"/>
                <w:szCs w:val="18"/>
              </w:rPr>
              <w:t xml:space="preserve">VD </w:t>
            </w:r>
            <w:r w:rsidRPr="00D56802">
              <w:rPr>
                <w:sz w:val="18"/>
                <w:szCs w:val="18"/>
              </w:rPr>
              <w:tab/>
              <w:t>0523</w:t>
            </w:r>
          </w:p>
        </w:tc>
        <w:tc>
          <w:tcPr>
            <w:tcW w:w="2392" w:type="pct"/>
            <w:tcBorders>
              <w:top w:val="single" w:sz="4" w:space="0" w:color="auto"/>
              <w:left w:val="nil"/>
              <w:bottom w:val="single" w:sz="4" w:space="0" w:color="auto"/>
              <w:right w:val="nil"/>
            </w:tcBorders>
          </w:tcPr>
          <w:p w14:paraId="5154A2AB" w14:textId="648AD2AD" w:rsidR="008D3560" w:rsidRDefault="008D3560" w:rsidP="008D3560">
            <w:pPr>
              <w:pStyle w:val="APVMATableText"/>
            </w:pPr>
            <w:r w:rsidRPr="00D56802">
              <w:rPr>
                <w:sz w:val="18"/>
                <w:szCs w:val="18"/>
              </w:rPr>
              <w:t>Broad bean (dry) [faba bean (dry)]</w:t>
            </w:r>
          </w:p>
        </w:tc>
        <w:tc>
          <w:tcPr>
            <w:tcW w:w="995" w:type="pct"/>
            <w:tcBorders>
              <w:top w:val="single" w:sz="4" w:space="0" w:color="auto"/>
              <w:left w:val="nil"/>
              <w:bottom w:val="single" w:sz="4" w:space="0" w:color="auto"/>
              <w:right w:val="nil"/>
            </w:tcBorders>
          </w:tcPr>
          <w:p w14:paraId="36F161BF" w14:textId="3CC11BDA" w:rsidR="008D3560" w:rsidRDefault="008D3560" w:rsidP="008D3560">
            <w:pPr>
              <w:pStyle w:val="APVMATableTextRight"/>
            </w:pPr>
            <w:r w:rsidRPr="00D56802">
              <w:rPr>
                <w:sz w:val="18"/>
                <w:szCs w:val="18"/>
              </w:rPr>
              <w:t>T0.7</w:t>
            </w:r>
          </w:p>
        </w:tc>
      </w:tr>
      <w:tr w:rsidR="008D3560" w14:paraId="17F34CF0" w14:textId="77777777" w:rsidTr="00E63AC3">
        <w:tc>
          <w:tcPr>
            <w:tcW w:w="1613" w:type="pct"/>
            <w:tcBorders>
              <w:top w:val="single" w:sz="4" w:space="0" w:color="auto"/>
              <w:left w:val="nil"/>
              <w:bottom w:val="single" w:sz="4" w:space="0" w:color="auto"/>
              <w:right w:val="nil"/>
            </w:tcBorders>
          </w:tcPr>
          <w:p w14:paraId="05236E89" w14:textId="57564E57" w:rsidR="008D3560" w:rsidRDefault="008D3560" w:rsidP="008D3560">
            <w:pPr>
              <w:pStyle w:val="APVMATableText"/>
            </w:pPr>
            <w:r w:rsidRPr="00D56802">
              <w:rPr>
                <w:sz w:val="18"/>
                <w:szCs w:val="18"/>
              </w:rPr>
              <w:t xml:space="preserve">MO </w:t>
            </w:r>
            <w:r w:rsidRPr="00D56802">
              <w:rPr>
                <w:sz w:val="18"/>
                <w:szCs w:val="18"/>
              </w:rPr>
              <w:tab/>
              <w:t>0105</w:t>
            </w:r>
          </w:p>
        </w:tc>
        <w:tc>
          <w:tcPr>
            <w:tcW w:w="2392" w:type="pct"/>
            <w:tcBorders>
              <w:top w:val="single" w:sz="4" w:space="0" w:color="auto"/>
              <w:left w:val="nil"/>
              <w:bottom w:val="single" w:sz="4" w:space="0" w:color="auto"/>
              <w:right w:val="nil"/>
            </w:tcBorders>
          </w:tcPr>
          <w:p w14:paraId="3B5437B1" w14:textId="250838C6" w:rsidR="008D3560" w:rsidRDefault="008D3560" w:rsidP="008D3560">
            <w:pPr>
              <w:pStyle w:val="APVMATableText"/>
            </w:pPr>
            <w:r w:rsidRPr="00D56802">
              <w:rPr>
                <w:sz w:val="18"/>
                <w:szCs w:val="18"/>
              </w:rPr>
              <w:t>Edible offal (mammalian)</w:t>
            </w:r>
          </w:p>
        </w:tc>
        <w:tc>
          <w:tcPr>
            <w:tcW w:w="995" w:type="pct"/>
            <w:tcBorders>
              <w:top w:val="single" w:sz="4" w:space="0" w:color="auto"/>
              <w:left w:val="nil"/>
              <w:bottom w:val="single" w:sz="4" w:space="0" w:color="auto"/>
              <w:right w:val="nil"/>
            </w:tcBorders>
          </w:tcPr>
          <w:p w14:paraId="28E94470" w14:textId="4776BD40" w:rsidR="008D3560" w:rsidRDefault="008D3560" w:rsidP="008D3560">
            <w:pPr>
              <w:pStyle w:val="APVMATableTextRight"/>
            </w:pPr>
            <w:r w:rsidRPr="00D56802">
              <w:rPr>
                <w:sz w:val="18"/>
                <w:szCs w:val="18"/>
              </w:rPr>
              <w:t>2</w:t>
            </w:r>
          </w:p>
        </w:tc>
      </w:tr>
      <w:tr w:rsidR="008D3560" w14:paraId="49E467B2" w14:textId="77777777" w:rsidTr="00E70A77">
        <w:tc>
          <w:tcPr>
            <w:tcW w:w="1613" w:type="pct"/>
            <w:tcBorders>
              <w:top w:val="single" w:sz="4" w:space="0" w:color="auto"/>
              <w:left w:val="nil"/>
              <w:bottom w:val="single" w:sz="4" w:space="0" w:color="auto"/>
              <w:right w:val="nil"/>
            </w:tcBorders>
          </w:tcPr>
          <w:p w14:paraId="01C5748E" w14:textId="3147185E" w:rsidR="008D3560" w:rsidRDefault="008D3560" w:rsidP="008D3560">
            <w:pPr>
              <w:pStyle w:val="APVMATableText"/>
            </w:pPr>
            <w:r w:rsidRPr="00D56802">
              <w:rPr>
                <w:sz w:val="18"/>
                <w:szCs w:val="18"/>
              </w:rPr>
              <w:t xml:space="preserve">PE </w:t>
            </w:r>
            <w:r w:rsidRPr="00D56802">
              <w:rPr>
                <w:sz w:val="18"/>
                <w:szCs w:val="18"/>
              </w:rPr>
              <w:tab/>
              <w:t>0112</w:t>
            </w:r>
          </w:p>
        </w:tc>
        <w:tc>
          <w:tcPr>
            <w:tcW w:w="2392" w:type="pct"/>
            <w:tcBorders>
              <w:top w:val="single" w:sz="4" w:space="0" w:color="auto"/>
              <w:left w:val="nil"/>
              <w:bottom w:val="single" w:sz="4" w:space="0" w:color="auto"/>
              <w:right w:val="nil"/>
            </w:tcBorders>
            <w:vAlign w:val="bottom"/>
          </w:tcPr>
          <w:p w14:paraId="0F1529DB" w14:textId="0F7E9901" w:rsidR="008D3560" w:rsidRDefault="008D3560" w:rsidP="008D3560">
            <w:pPr>
              <w:pStyle w:val="APVMATableText"/>
            </w:pPr>
            <w:r w:rsidRPr="00D56802">
              <w:rPr>
                <w:sz w:val="18"/>
                <w:szCs w:val="18"/>
              </w:rPr>
              <w:t>Eggs</w:t>
            </w:r>
          </w:p>
        </w:tc>
        <w:tc>
          <w:tcPr>
            <w:tcW w:w="995" w:type="pct"/>
            <w:tcBorders>
              <w:top w:val="single" w:sz="4" w:space="0" w:color="auto"/>
              <w:left w:val="nil"/>
              <w:bottom w:val="single" w:sz="4" w:space="0" w:color="auto"/>
              <w:right w:val="nil"/>
            </w:tcBorders>
            <w:vAlign w:val="bottom"/>
          </w:tcPr>
          <w:p w14:paraId="39F367DD" w14:textId="06C08073" w:rsidR="008D3560" w:rsidRDefault="008D3560" w:rsidP="008D3560">
            <w:pPr>
              <w:pStyle w:val="APVMATableTextRight"/>
            </w:pPr>
            <w:r w:rsidRPr="00D56802">
              <w:rPr>
                <w:sz w:val="18"/>
                <w:szCs w:val="18"/>
              </w:rPr>
              <w:t>*0.01</w:t>
            </w:r>
          </w:p>
        </w:tc>
      </w:tr>
      <w:tr w:rsidR="008D3560" w14:paraId="6A796B39" w14:textId="77777777" w:rsidTr="00E70A77">
        <w:tc>
          <w:tcPr>
            <w:tcW w:w="1613" w:type="pct"/>
            <w:tcBorders>
              <w:top w:val="single" w:sz="4" w:space="0" w:color="auto"/>
              <w:left w:val="nil"/>
              <w:bottom w:val="single" w:sz="4" w:space="0" w:color="auto"/>
              <w:right w:val="nil"/>
            </w:tcBorders>
            <w:vAlign w:val="bottom"/>
          </w:tcPr>
          <w:p w14:paraId="7268617A" w14:textId="54CC82FD" w:rsidR="008D3560" w:rsidRDefault="008D3560" w:rsidP="008D3560">
            <w:pPr>
              <w:pStyle w:val="APVMATableText"/>
            </w:pPr>
            <w:r w:rsidRPr="00D56802">
              <w:rPr>
                <w:sz w:val="18"/>
                <w:szCs w:val="18"/>
              </w:rPr>
              <w:t xml:space="preserve">MM </w:t>
            </w:r>
            <w:r w:rsidRPr="00D56802">
              <w:rPr>
                <w:sz w:val="18"/>
                <w:szCs w:val="18"/>
              </w:rPr>
              <w:tab/>
              <w:t>0095</w:t>
            </w:r>
          </w:p>
        </w:tc>
        <w:tc>
          <w:tcPr>
            <w:tcW w:w="2392" w:type="pct"/>
            <w:tcBorders>
              <w:top w:val="single" w:sz="4" w:space="0" w:color="auto"/>
              <w:left w:val="nil"/>
              <w:bottom w:val="single" w:sz="4" w:space="0" w:color="auto"/>
              <w:right w:val="nil"/>
            </w:tcBorders>
            <w:vAlign w:val="bottom"/>
          </w:tcPr>
          <w:p w14:paraId="29706B4D" w14:textId="140D00F1" w:rsidR="008D3560" w:rsidRDefault="008D3560" w:rsidP="008D3560">
            <w:pPr>
              <w:pStyle w:val="APVMATableText"/>
            </w:pPr>
            <w:r w:rsidRPr="00D56802">
              <w:rPr>
                <w:sz w:val="18"/>
                <w:szCs w:val="18"/>
              </w:rPr>
              <w:t>Meat (mammalian)</w:t>
            </w:r>
          </w:p>
        </w:tc>
        <w:tc>
          <w:tcPr>
            <w:tcW w:w="995" w:type="pct"/>
            <w:tcBorders>
              <w:top w:val="single" w:sz="4" w:space="0" w:color="auto"/>
              <w:left w:val="nil"/>
              <w:bottom w:val="single" w:sz="4" w:space="0" w:color="auto"/>
              <w:right w:val="nil"/>
            </w:tcBorders>
            <w:vAlign w:val="bottom"/>
          </w:tcPr>
          <w:p w14:paraId="58D124B0" w14:textId="146BEF8B" w:rsidR="008D3560" w:rsidRDefault="008D3560" w:rsidP="008D3560">
            <w:pPr>
              <w:pStyle w:val="APVMATableTextRight"/>
            </w:pPr>
            <w:r w:rsidRPr="00D56802">
              <w:rPr>
                <w:sz w:val="18"/>
                <w:szCs w:val="18"/>
              </w:rPr>
              <w:t>0.7</w:t>
            </w:r>
          </w:p>
        </w:tc>
      </w:tr>
      <w:tr w:rsidR="008D3560" w14:paraId="4CF27F2D" w14:textId="77777777" w:rsidTr="00E70A77">
        <w:tc>
          <w:tcPr>
            <w:tcW w:w="1613" w:type="pct"/>
            <w:tcBorders>
              <w:top w:val="single" w:sz="4" w:space="0" w:color="auto"/>
              <w:left w:val="nil"/>
              <w:bottom w:val="single" w:sz="4" w:space="0" w:color="auto"/>
              <w:right w:val="nil"/>
            </w:tcBorders>
            <w:vAlign w:val="bottom"/>
          </w:tcPr>
          <w:p w14:paraId="4F134A24" w14:textId="799BD420" w:rsidR="008D3560" w:rsidRDefault="008D3560" w:rsidP="008D3560">
            <w:pPr>
              <w:pStyle w:val="APVMATableText"/>
            </w:pPr>
            <w:r>
              <w:rPr>
                <w:color w:val="000000"/>
                <w:sz w:val="18"/>
                <w:szCs w:val="18"/>
              </w:rPr>
              <w:t xml:space="preserve">ML </w:t>
            </w:r>
            <w:r>
              <w:rPr>
                <w:color w:val="000000"/>
                <w:sz w:val="18"/>
                <w:szCs w:val="18"/>
              </w:rPr>
              <w:tab/>
              <w:t>0106</w:t>
            </w:r>
          </w:p>
        </w:tc>
        <w:tc>
          <w:tcPr>
            <w:tcW w:w="2392" w:type="pct"/>
            <w:tcBorders>
              <w:top w:val="single" w:sz="4" w:space="0" w:color="auto"/>
              <w:left w:val="nil"/>
              <w:bottom w:val="single" w:sz="4" w:space="0" w:color="auto"/>
              <w:right w:val="nil"/>
            </w:tcBorders>
            <w:vAlign w:val="bottom"/>
          </w:tcPr>
          <w:p w14:paraId="32101827" w14:textId="47918A8A" w:rsidR="008D3560" w:rsidRDefault="008D3560" w:rsidP="008D3560">
            <w:pPr>
              <w:pStyle w:val="APVMATableText"/>
            </w:pPr>
            <w:r>
              <w:rPr>
                <w:color w:val="000000"/>
                <w:sz w:val="18"/>
                <w:szCs w:val="18"/>
              </w:rPr>
              <w:t>Milks</w:t>
            </w:r>
          </w:p>
        </w:tc>
        <w:tc>
          <w:tcPr>
            <w:tcW w:w="995" w:type="pct"/>
            <w:tcBorders>
              <w:top w:val="single" w:sz="4" w:space="0" w:color="auto"/>
              <w:left w:val="nil"/>
              <w:bottom w:val="single" w:sz="4" w:space="0" w:color="auto"/>
              <w:right w:val="nil"/>
            </w:tcBorders>
            <w:vAlign w:val="bottom"/>
          </w:tcPr>
          <w:p w14:paraId="2E7B582D" w14:textId="0980736B" w:rsidR="008D3560" w:rsidRDefault="008D3560" w:rsidP="008D3560">
            <w:pPr>
              <w:pStyle w:val="APVMATableTextRight"/>
            </w:pPr>
            <w:r>
              <w:rPr>
                <w:color w:val="000000"/>
                <w:sz w:val="18"/>
                <w:szCs w:val="18"/>
              </w:rPr>
              <w:t>0.3</w:t>
            </w:r>
          </w:p>
        </w:tc>
      </w:tr>
      <w:tr w:rsidR="008D3560" w14:paraId="47C05D20" w14:textId="77777777" w:rsidTr="00E70A77">
        <w:tc>
          <w:tcPr>
            <w:tcW w:w="1613" w:type="pct"/>
            <w:tcBorders>
              <w:top w:val="single" w:sz="4" w:space="0" w:color="auto"/>
              <w:left w:val="nil"/>
              <w:bottom w:val="single" w:sz="4" w:space="0" w:color="auto"/>
              <w:right w:val="nil"/>
            </w:tcBorders>
            <w:vAlign w:val="bottom"/>
          </w:tcPr>
          <w:p w14:paraId="0E05D078" w14:textId="51505233" w:rsidR="008D3560" w:rsidRDefault="008D3560" w:rsidP="008D3560">
            <w:pPr>
              <w:pStyle w:val="APVMATableText"/>
            </w:pPr>
            <w:r>
              <w:rPr>
                <w:color w:val="000000"/>
                <w:sz w:val="18"/>
                <w:szCs w:val="18"/>
              </w:rPr>
              <w:t xml:space="preserve">PM </w:t>
            </w:r>
            <w:r>
              <w:rPr>
                <w:color w:val="000000"/>
                <w:sz w:val="18"/>
                <w:szCs w:val="18"/>
              </w:rPr>
              <w:tab/>
              <w:t>0110</w:t>
            </w:r>
          </w:p>
        </w:tc>
        <w:tc>
          <w:tcPr>
            <w:tcW w:w="2392" w:type="pct"/>
            <w:tcBorders>
              <w:top w:val="single" w:sz="4" w:space="0" w:color="auto"/>
              <w:left w:val="nil"/>
              <w:bottom w:val="single" w:sz="4" w:space="0" w:color="auto"/>
              <w:right w:val="nil"/>
            </w:tcBorders>
            <w:vAlign w:val="bottom"/>
          </w:tcPr>
          <w:p w14:paraId="101B4D62" w14:textId="50E35869" w:rsidR="008D3560" w:rsidRDefault="008D3560" w:rsidP="008D3560">
            <w:pPr>
              <w:pStyle w:val="APVMATableText"/>
            </w:pPr>
            <w:r>
              <w:rPr>
                <w:color w:val="000000"/>
                <w:sz w:val="18"/>
                <w:szCs w:val="18"/>
              </w:rPr>
              <w:t>Poultry meat</w:t>
            </w:r>
          </w:p>
        </w:tc>
        <w:tc>
          <w:tcPr>
            <w:tcW w:w="995" w:type="pct"/>
            <w:tcBorders>
              <w:top w:val="single" w:sz="4" w:space="0" w:color="auto"/>
              <w:left w:val="nil"/>
              <w:bottom w:val="single" w:sz="4" w:space="0" w:color="auto"/>
              <w:right w:val="nil"/>
            </w:tcBorders>
            <w:vAlign w:val="bottom"/>
          </w:tcPr>
          <w:p w14:paraId="02746E84" w14:textId="384CCA23" w:rsidR="008D3560" w:rsidRDefault="008D3560" w:rsidP="008D3560">
            <w:pPr>
              <w:pStyle w:val="APVMATableTextRight"/>
            </w:pPr>
            <w:r>
              <w:rPr>
                <w:color w:val="000000"/>
                <w:sz w:val="18"/>
                <w:szCs w:val="18"/>
              </w:rPr>
              <w:t>*0.01</w:t>
            </w:r>
          </w:p>
        </w:tc>
      </w:tr>
      <w:tr w:rsidR="008D3560" w14:paraId="11012AF1" w14:textId="77777777" w:rsidTr="00E70A77">
        <w:tc>
          <w:tcPr>
            <w:tcW w:w="1613" w:type="pct"/>
            <w:tcBorders>
              <w:top w:val="single" w:sz="4" w:space="0" w:color="auto"/>
              <w:left w:val="nil"/>
              <w:bottom w:val="single" w:sz="4" w:space="0" w:color="auto"/>
              <w:right w:val="nil"/>
            </w:tcBorders>
            <w:vAlign w:val="bottom"/>
          </w:tcPr>
          <w:p w14:paraId="39C15DAF" w14:textId="3BCB4A18" w:rsidR="008D3560" w:rsidRDefault="008D3560" w:rsidP="008D3560">
            <w:pPr>
              <w:pStyle w:val="APVMATableText"/>
            </w:pPr>
            <w:r>
              <w:rPr>
                <w:color w:val="000000"/>
                <w:sz w:val="18"/>
                <w:szCs w:val="18"/>
              </w:rPr>
              <w:t xml:space="preserve">PO </w:t>
            </w:r>
            <w:r>
              <w:rPr>
                <w:color w:val="000000"/>
                <w:sz w:val="18"/>
                <w:szCs w:val="18"/>
              </w:rPr>
              <w:tab/>
              <w:t>0111</w:t>
            </w:r>
          </w:p>
        </w:tc>
        <w:tc>
          <w:tcPr>
            <w:tcW w:w="2392" w:type="pct"/>
            <w:tcBorders>
              <w:top w:val="single" w:sz="4" w:space="0" w:color="auto"/>
              <w:left w:val="nil"/>
              <w:bottom w:val="single" w:sz="4" w:space="0" w:color="auto"/>
              <w:right w:val="nil"/>
            </w:tcBorders>
            <w:vAlign w:val="bottom"/>
          </w:tcPr>
          <w:p w14:paraId="4A33D0E0" w14:textId="1F694212" w:rsidR="008D3560" w:rsidRDefault="008D3560" w:rsidP="008D3560">
            <w:pPr>
              <w:pStyle w:val="APVMATableText"/>
            </w:pPr>
            <w:r>
              <w:rPr>
                <w:color w:val="000000"/>
                <w:sz w:val="18"/>
                <w:szCs w:val="18"/>
              </w:rPr>
              <w:t>Poultry, edible offal of</w:t>
            </w:r>
          </w:p>
        </w:tc>
        <w:tc>
          <w:tcPr>
            <w:tcW w:w="995" w:type="pct"/>
            <w:tcBorders>
              <w:top w:val="single" w:sz="4" w:space="0" w:color="auto"/>
              <w:left w:val="nil"/>
              <w:bottom w:val="single" w:sz="4" w:space="0" w:color="auto"/>
              <w:right w:val="nil"/>
            </w:tcBorders>
            <w:vAlign w:val="bottom"/>
          </w:tcPr>
          <w:p w14:paraId="40E0F419" w14:textId="5A2D6854" w:rsidR="008D3560" w:rsidRDefault="008D3560" w:rsidP="008D3560">
            <w:pPr>
              <w:pStyle w:val="APVMATableTextRight"/>
            </w:pPr>
            <w:r>
              <w:rPr>
                <w:color w:val="000000"/>
                <w:sz w:val="18"/>
                <w:szCs w:val="18"/>
              </w:rPr>
              <w:t>0.02</w:t>
            </w:r>
          </w:p>
        </w:tc>
      </w:tr>
      <w:tr w:rsidR="008D3560" w14:paraId="7E92F6AE" w14:textId="77777777" w:rsidTr="00E63AC3">
        <w:tc>
          <w:tcPr>
            <w:tcW w:w="1613" w:type="pct"/>
            <w:tcBorders>
              <w:top w:val="single" w:sz="4" w:space="0" w:color="auto"/>
              <w:left w:val="nil"/>
              <w:bottom w:val="single" w:sz="4" w:space="0" w:color="auto"/>
              <w:right w:val="nil"/>
            </w:tcBorders>
          </w:tcPr>
          <w:p w14:paraId="74D91A71" w14:textId="24E6E286" w:rsidR="008D3560" w:rsidRDefault="008D3560" w:rsidP="008D3560">
            <w:pPr>
              <w:pStyle w:val="APVMATableText"/>
            </w:pPr>
            <w:r w:rsidRPr="006F172E">
              <w:rPr>
                <w:sz w:val="18"/>
                <w:szCs w:val="18"/>
              </w:rPr>
              <w:t>VD</w:t>
            </w:r>
            <w:r w:rsidRPr="006F172E">
              <w:rPr>
                <w:sz w:val="18"/>
                <w:szCs w:val="18"/>
              </w:rPr>
              <w:tab/>
              <w:t>0</w:t>
            </w:r>
            <w:r>
              <w:rPr>
                <w:sz w:val="18"/>
                <w:szCs w:val="18"/>
              </w:rPr>
              <w:t>54</w:t>
            </w:r>
            <w:r w:rsidRPr="006F172E">
              <w:rPr>
                <w:sz w:val="18"/>
                <w:szCs w:val="18"/>
              </w:rPr>
              <w:t>1</w:t>
            </w:r>
          </w:p>
        </w:tc>
        <w:tc>
          <w:tcPr>
            <w:tcW w:w="2392" w:type="pct"/>
            <w:tcBorders>
              <w:top w:val="single" w:sz="4" w:space="0" w:color="auto"/>
              <w:left w:val="nil"/>
              <w:bottom w:val="single" w:sz="4" w:space="0" w:color="auto"/>
              <w:right w:val="nil"/>
            </w:tcBorders>
          </w:tcPr>
          <w:p w14:paraId="47D85869" w14:textId="64BDB14C" w:rsidR="008D3560" w:rsidRDefault="008D3560" w:rsidP="008D3560">
            <w:pPr>
              <w:pStyle w:val="APVMATableText"/>
            </w:pPr>
            <w:r>
              <w:rPr>
                <w:sz w:val="18"/>
                <w:szCs w:val="18"/>
              </w:rPr>
              <w:t>Soya bean</w:t>
            </w:r>
            <w:r w:rsidRPr="006F172E">
              <w:rPr>
                <w:sz w:val="18"/>
                <w:szCs w:val="18"/>
              </w:rPr>
              <w:t xml:space="preserve"> (dry)</w:t>
            </w:r>
          </w:p>
        </w:tc>
        <w:tc>
          <w:tcPr>
            <w:tcW w:w="995" w:type="pct"/>
            <w:tcBorders>
              <w:top w:val="single" w:sz="4" w:space="0" w:color="auto"/>
              <w:left w:val="nil"/>
              <w:bottom w:val="single" w:sz="4" w:space="0" w:color="auto"/>
              <w:right w:val="nil"/>
            </w:tcBorders>
          </w:tcPr>
          <w:p w14:paraId="51C49B9F" w14:textId="43BEBF99" w:rsidR="008D3560" w:rsidRDefault="008D3560" w:rsidP="008D3560">
            <w:pPr>
              <w:pStyle w:val="APVMATableTextRight"/>
            </w:pPr>
            <w:r w:rsidRPr="006F172E">
              <w:rPr>
                <w:sz w:val="18"/>
                <w:szCs w:val="18"/>
              </w:rPr>
              <w:t>0.</w:t>
            </w:r>
            <w:r>
              <w:rPr>
                <w:sz w:val="18"/>
                <w:szCs w:val="18"/>
              </w:rPr>
              <w:t>3</w:t>
            </w:r>
          </w:p>
        </w:tc>
      </w:tr>
    </w:tbl>
    <w:p w14:paraId="3A3720D5" w14:textId="07A3137F" w:rsidR="008D3560" w:rsidRDefault="008D3560" w:rsidP="008D3560">
      <w:pPr>
        <w:pStyle w:val="Caption"/>
      </w:pPr>
      <w:bookmarkStart w:id="42" w:name="_Toc202969289"/>
      <w:bookmarkStart w:id="43" w:name="_Toc252955171"/>
      <w:bookmarkEnd w:id="41"/>
      <w:r>
        <w:t>Table 4:</w:t>
      </w:r>
      <w:r>
        <w:tab/>
      </w:r>
      <w:r w:rsidRPr="008D3560">
        <w:t xml:space="preserve">Current relevant MRLs for sulfoxaflor in Table </w:t>
      </w:r>
      <w:r>
        <w:t>4</w:t>
      </w:r>
      <w:r w:rsidRPr="008D3560">
        <w:t xml:space="preserve"> of the MRL Standard</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8D3560" w14:paraId="1EB7FCAA" w14:textId="77777777" w:rsidTr="003A26C2">
        <w:trPr>
          <w:tblHeader/>
        </w:trPr>
        <w:tc>
          <w:tcPr>
            <w:tcW w:w="1613" w:type="pct"/>
            <w:tcBorders>
              <w:top w:val="single" w:sz="4" w:space="0" w:color="auto"/>
              <w:left w:val="nil"/>
              <w:bottom w:val="single" w:sz="4" w:space="0" w:color="auto"/>
              <w:right w:val="nil"/>
            </w:tcBorders>
            <w:shd w:val="clear" w:color="auto" w:fill="00747A" w:themeFill="background2"/>
          </w:tcPr>
          <w:p w14:paraId="6FF3503C" w14:textId="77777777" w:rsidR="008D3560" w:rsidRDefault="008D3560" w:rsidP="003A26C2">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645A0B3A" w14:textId="77777777" w:rsidR="008D3560" w:rsidRDefault="008D3560" w:rsidP="003A26C2">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6D6D8C9B" w14:textId="77777777" w:rsidR="008D3560" w:rsidRDefault="008D3560" w:rsidP="003A26C2">
            <w:pPr>
              <w:pStyle w:val="APVMATableHeadRight"/>
            </w:pPr>
            <w:r>
              <w:t>MRL (mg/kg)</w:t>
            </w:r>
          </w:p>
        </w:tc>
      </w:tr>
      <w:tr w:rsidR="008D3560" w14:paraId="1ADAFC32" w14:textId="77777777" w:rsidTr="003A26C2">
        <w:tc>
          <w:tcPr>
            <w:tcW w:w="5000" w:type="pct"/>
            <w:gridSpan w:val="3"/>
            <w:tcBorders>
              <w:top w:val="single" w:sz="4" w:space="0" w:color="auto"/>
              <w:left w:val="nil"/>
              <w:bottom w:val="single" w:sz="4" w:space="0" w:color="auto"/>
              <w:right w:val="nil"/>
            </w:tcBorders>
          </w:tcPr>
          <w:p w14:paraId="1364BE08" w14:textId="77777777" w:rsidR="008D3560" w:rsidRDefault="008D3560" w:rsidP="003A26C2">
            <w:pPr>
              <w:pStyle w:val="MRLActiveName"/>
            </w:pPr>
            <w:r w:rsidRPr="008D3560">
              <w:t>Sulfoxaflor</w:t>
            </w:r>
          </w:p>
        </w:tc>
      </w:tr>
      <w:tr w:rsidR="008D3560" w14:paraId="05FC3B91" w14:textId="77777777" w:rsidTr="003A26C2">
        <w:tc>
          <w:tcPr>
            <w:tcW w:w="1613" w:type="pct"/>
            <w:tcBorders>
              <w:top w:val="single" w:sz="4" w:space="0" w:color="auto"/>
              <w:left w:val="nil"/>
              <w:bottom w:val="single" w:sz="4" w:space="0" w:color="auto"/>
              <w:right w:val="nil"/>
            </w:tcBorders>
          </w:tcPr>
          <w:p w14:paraId="5E09C1FC" w14:textId="3B70324A" w:rsidR="008D3560" w:rsidRDefault="008D3560" w:rsidP="008D3560">
            <w:pPr>
              <w:pStyle w:val="APVMATableText"/>
            </w:pPr>
          </w:p>
        </w:tc>
        <w:tc>
          <w:tcPr>
            <w:tcW w:w="2392" w:type="pct"/>
            <w:tcBorders>
              <w:top w:val="single" w:sz="4" w:space="0" w:color="auto"/>
              <w:left w:val="nil"/>
              <w:bottom w:val="single" w:sz="4" w:space="0" w:color="auto"/>
              <w:right w:val="nil"/>
            </w:tcBorders>
          </w:tcPr>
          <w:p w14:paraId="3763C6C0" w14:textId="2B3969BB" w:rsidR="008D3560" w:rsidRDefault="008D3560" w:rsidP="008D3560">
            <w:pPr>
              <w:pStyle w:val="APVMATableText"/>
            </w:pPr>
            <w:r w:rsidRPr="00D56802">
              <w:rPr>
                <w:sz w:val="18"/>
                <w:szCs w:val="18"/>
              </w:rPr>
              <w:t>Pulse forage and fodder</w:t>
            </w:r>
          </w:p>
        </w:tc>
        <w:tc>
          <w:tcPr>
            <w:tcW w:w="995" w:type="pct"/>
            <w:tcBorders>
              <w:top w:val="single" w:sz="4" w:space="0" w:color="auto"/>
              <w:left w:val="nil"/>
              <w:bottom w:val="single" w:sz="4" w:space="0" w:color="auto"/>
              <w:right w:val="nil"/>
            </w:tcBorders>
          </w:tcPr>
          <w:p w14:paraId="09CC844D" w14:textId="2F326598" w:rsidR="008D3560" w:rsidRDefault="008D3560" w:rsidP="008D3560">
            <w:pPr>
              <w:pStyle w:val="APVMATableTextRight"/>
            </w:pPr>
            <w:r w:rsidRPr="00D56802">
              <w:rPr>
                <w:bCs/>
                <w:sz w:val="18"/>
                <w:szCs w:val="18"/>
              </w:rPr>
              <w:t>5</w:t>
            </w:r>
          </w:p>
        </w:tc>
      </w:tr>
    </w:tbl>
    <w:p w14:paraId="670E5BD5" w14:textId="0B0D7DD1" w:rsidR="006D36C8" w:rsidRDefault="00383003" w:rsidP="006D36C8">
      <w:pPr>
        <w:pStyle w:val="Caption"/>
      </w:pPr>
      <w:bookmarkStart w:id="44" w:name="_Toc202969290"/>
      <w:r>
        <w:t xml:space="preserve">Table </w:t>
      </w:r>
      <w:r w:rsidR="008D3560">
        <w:t>5</w:t>
      </w:r>
      <w:r>
        <w:t>:</w:t>
      </w:r>
      <w:r>
        <w:tab/>
      </w:r>
      <w:bookmarkEnd w:id="43"/>
      <w:r w:rsidR="008D3560" w:rsidRPr="008D3560">
        <w:t>Amendments to Table 1 of the MRL Standard for sulfoxaflor</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7DC215E7" w:rsidR="006D36C8" w:rsidRDefault="008D3560" w:rsidP="00BA67F0">
            <w:pPr>
              <w:pStyle w:val="MRLActiveName"/>
            </w:pPr>
            <w:r w:rsidRPr="008D3560">
              <w:t>Sulfoxaflor</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8D3560" w14:paraId="286B4A97" w14:textId="77777777" w:rsidTr="00E63AC3">
        <w:trPr>
          <w:cantSplit/>
        </w:trPr>
        <w:tc>
          <w:tcPr>
            <w:tcW w:w="1613" w:type="pct"/>
            <w:tcBorders>
              <w:top w:val="single" w:sz="4" w:space="0" w:color="auto"/>
              <w:left w:val="nil"/>
              <w:bottom w:val="single" w:sz="4" w:space="0" w:color="auto"/>
              <w:right w:val="nil"/>
            </w:tcBorders>
          </w:tcPr>
          <w:p w14:paraId="011D585E" w14:textId="16CA8292" w:rsidR="008D3560" w:rsidRDefault="008D3560" w:rsidP="008D3560">
            <w:pPr>
              <w:pStyle w:val="APVMATableText"/>
            </w:pPr>
            <w:r w:rsidRPr="00D56802">
              <w:rPr>
                <w:sz w:val="18"/>
                <w:szCs w:val="18"/>
              </w:rPr>
              <w:t xml:space="preserve">VD </w:t>
            </w:r>
            <w:r w:rsidRPr="00D56802">
              <w:rPr>
                <w:sz w:val="18"/>
                <w:szCs w:val="18"/>
              </w:rPr>
              <w:tab/>
              <w:t>0523</w:t>
            </w:r>
          </w:p>
        </w:tc>
        <w:tc>
          <w:tcPr>
            <w:tcW w:w="2392" w:type="pct"/>
            <w:tcBorders>
              <w:top w:val="single" w:sz="4" w:space="0" w:color="auto"/>
              <w:left w:val="nil"/>
              <w:bottom w:val="single" w:sz="4" w:space="0" w:color="auto"/>
              <w:right w:val="nil"/>
            </w:tcBorders>
          </w:tcPr>
          <w:p w14:paraId="5DD3C49F" w14:textId="01DE35E0" w:rsidR="008D3560" w:rsidRDefault="008D3560" w:rsidP="008D3560">
            <w:pPr>
              <w:pStyle w:val="APVMATableText"/>
            </w:pPr>
            <w:r w:rsidRPr="00D56802">
              <w:rPr>
                <w:sz w:val="18"/>
                <w:szCs w:val="18"/>
              </w:rPr>
              <w:t>Broad bean (dry) [faba bean (dry)]</w:t>
            </w:r>
          </w:p>
        </w:tc>
        <w:tc>
          <w:tcPr>
            <w:tcW w:w="995" w:type="pct"/>
            <w:tcBorders>
              <w:top w:val="single" w:sz="4" w:space="0" w:color="auto"/>
              <w:left w:val="nil"/>
              <w:bottom w:val="single" w:sz="4" w:space="0" w:color="auto"/>
              <w:right w:val="nil"/>
            </w:tcBorders>
          </w:tcPr>
          <w:p w14:paraId="202AE3A1" w14:textId="6A283CCC" w:rsidR="008D3560" w:rsidRDefault="008D3560" w:rsidP="008D3560">
            <w:pPr>
              <w:pStyle w:val="APVMATableTextRight"/>
            </w:pPr>
            <w:r w:rsidRPr="00D56802">
              <w:rPr>
                <w:sz w:val="18"/>
                <w:szCs w:val="18"/>
              </w:rPr>
              <w:t>T0.7</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90A8E">
            <w:pPr>
              <w:pStyle w:val="APVMATableTextRight"/>
            </w:pPr>
          </w:p>
        </w:tc>
      </w:tr>
      <w:tr w:rsidR="008D3560" w14:paraId="10ABB81C" w14:textId="77777777" w:rsidTr="00E63AC3">
        <w:trPr>
          <w:cantSplit/>
        </w:trPr>
        <w:tc>
          <w:tcPr>
            <w:tcW w:w="1613" w:type="pct"/>
            <w:tcBorders>
              <w:top w:val="single" w:sz="4" w:space="0" w:color="auto"/>
              <w:left w:val="nil"/>
              <w:bottom w:val="single" w:sz="4" w:space="0" w:color="auto"/>
              <w:right w:val="nil"/>
            </w:tcBorders>
          </w:tcPr>
          <w:p w14:paraId="16B2FC12" w14:textId="43195556" w:rsidR="008D3560" w:rsidRDefault="008D3560" w:rsidP="008D3560">
            <w:pPr>
              <w:pStyle w:val="APVMATableText"/>
            </w:pPr>
            <w:r w:rsidRPr="00222657">
              <w:rPr>
                <w:szCs w:val="17"/>
              </w:rPr>
              <w:t>VD</w:t>
            </w:r>
            <w:r w:rsidRPr="00222657">
              <w:rPr>
                <w:szCs w:val="17"/>
              </w:rPr>
              <w:tab/>
              <w:t>052</w:t>
            </w:r>
            <w:r>
              <w:rPr>
                <w:szCs w:val="17"/>
              </w:rPr>
              <w:t>3</w:t>
            </w:r>
          </w:p>
        </w:tc>
        <w:tc>
          <w:tcPr>
            <w:tcW w:w="2392" w:type="pct"/>
            <w:tcBorders>
              <w:top w:val="single" w:sz="4" w:space="0" w:color="auto"/>
              <w:left w:val="nil"/>
              <w:bottom w:val="single" w:sz="4" w:space="0" w:color="auto"/>
              <w:right w:val="nil"/>
            </w:tcBorders>
          </w:tcPr>
          <w:p w14:paraId="6B7CF77B" w14:textId="108A1AEB" w:rsidR="008D3560" w:rsidRDefault="008D3560" w:rsidP="008D3560">
            <w:pPr>
              <w:pStyle w:val="APVMATableText"/>
            </w:pPr>
            <w:r>
              <w:rPr>
                <w:rFonts w:eastAsia="Calibri"/>
                <w:color w:val="000000"/>
                <w:szCs w:val="17"/>
              </w:rPr>
              <w:t>Broad</w:t>
            </w:r>
            <w:r w:rsidRPr="00222657">
              <w:rPr>
                <w:rFonts w:eastAsia="Calibri"/>
                <w:color w:val="000000"/>
                <w:szCs w:val="17"/>
              </w:rPr>
              <w:t xml:space="preserve"> bean (dry)</w:t>
            </w:r>
          </w:p>
        </w:tc>
        <w:tc>
          <w:tcPr>
            <w:tcW w:w="995" w:type="pct"/>
            <w:tcBorders>
              <w:top w:val="single" w:sz="4" w:space="0" w:color="auto"/>
              <w:left w:val="nil"/>
              <w:bottom w:val="single" w:sz="4" w:space="0" w:color="auto"/>
              <w:right w:val="nil"/>
            </w:tcBorders>
          </w:tcPr>
          <w:p w14:paraId="342F2BAF" w14:textId="518A2957" w:rsidR="008D3560" w:rsidRDefault="008D3560" w:rsidP="008D3560">
            <w:pPr>
              <w:pStyle w:val="APVMATableTextRight"/>
            </w:pPr>
            <w:r w:rsidRPr="00222657">
              <w:rPr>
                <w:szCs w:val="17"/>
              </w:rPr>
              <w:t>0.</w:t>
            </w:r>
            <w:r>
              <w:rPr>
                <w:szCs w:val="17"/>
              </w:rPr>
              <w:t>7</w:t>
            </w:r>
          </w:p>
        </w:tc>
      </w:tr>
    </w:tbl>
    <w:p w14:paraId="332EF77F" w14:textId="77777777" w:rsidR="009D4E70" w:rsidRDefault="009D4E70" w:rsidP="009D4E70">
      <w:pPr>
        <w:pStyle w:val="NormalText"/>
      </w:pPr>
      <w:bookmarkStart w:id="45" w:name="_Toc231889751"/>
      <w:bookmarkStart w:id="46" w:name="_Toc2243854"/>
    </w:p>
    <w:p w14:paraId="4CE1EB04" w14:textId="54754D9A" w:rsidR="006D36C8" w:rsidRDefault="006D36C8" w:rsidP="007B1953">
      <w:pPr>
        <w:pStyle w:val="Heading2"/>
      </w:pPr>
      <w:bookmarkStart w:id="47" w:name="_Toc202969284"/>
      <w:r w:rsidRPr="00032787">
        <w:lastRenderedPageBreak/>
        <w:t>Potential</w:t>
      </w:r>
      <w:r>
        <w:t xml:space="preserve"> risk to trade</w:t>
      </w:r>
      <w:bookmarkEnd w:id="45"/>
      <w:bookmarkEnd w:id="46"/>
      <w:bookmarkEnd w:id="47"/>
    </w:p>
    <w:p w14:paraId="51A604E1" w14:textId="77777777" w:rsidR="008D3560" w:rsidRDefault="008D3560" w:rsidP="008D3560">
      <w:pPr>
        <w:pStyle w:val="APVMAText"/>
      </w:pPr>
      <w:r>
        <w:t>Export of treated produce containing finite (measurable) residues of sulfoxaflor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4D672E6A" w14:textId="1F5CD4B2" w:rsidR="00B96764" w:rsidRPr="00B96764" w:rsidRDefault="00B96764" w:rsidP="00BE4CC9">
      <w:pPr>
        <w:pStyle w:val="APVMAText"/>
      </w:pPr>
      <w:bookmarkStart w:id="48" w:name="_Hlk113613010"/>
      <w:r w:rsidRPr="00B96764">
        <w:t>The proposed use of sulfoxaflor on faba beans requires the establishment of a permanent MRL at 0.7 mg/kg (HR = 0.32 mg/kg, STMR = 0.05 mg/kg f</w:t>
      </w:r>
      <w:r w:rsidR="00C72AE4">
        <w:t>rom</w:t>
      </w:r>
      <w:r w:rsidRPr="00B96764">
        <w:t xml:space="preserve"> the 6 Australian pulse trials</w:t>
      </w:r>
      <w:r w:rsidR="00C72AE4">
        <w:t xml:space="preserve"> matching the proposed use</w:t>
      </w:r>
      <w:r w:rsidRPr="00B96764">
        <w:t xml:space="preserve">). There is a potential risk to trade as finite residues of sulfoxaflor may be expected in exported faba beans. The proposed MRL for faba beans </w:t>
      </w:r>
      <w:r w:rsidR="003F29CF">
        <w:t xml:space="preserve">is </w:t>
      </w:r>
      <w:r w:rsidRPr="00B96764">
        <w:t>0.7 mg/kg, which is at the same level as the established Australian Beans (dry) MRL</w:t>
      </w:r>
      <w:r w:rsidR="00C72AE4">
        <w:t xml:space="preserve"> and</w:t>
      </w:r>
      <w:r w:rsidRPr="00B96764">
        <w:t xml:space="preserve"> is higher than the MRLs for dried beans which are established in most overseas markets at 0.2 or 0.3 mg/kg, although it is noted that the STMR of all the Australian pulse data is below these MRL values.</w:t>
      </w:r>
    </w:p>
    <w:bookmarkEnd w:id="48"/>
    <w:p w14:paraId="0A6C8994" w14:textId="54FF790E" w:rsidR="00BE4CC9" w:rsidRDefault="00B96764" w:rsidP="00BE4CC9">
      <w:pPr>
        <w:pStyle w:val="APVMAText"/>
      </w:pPr>
      <w:r w:rsidRPr="00525134">
        <w:t>Although the Codex MRL of 0.3 mg/kg established for dry beans was established based on consideration</w:t>
      </w:r>
      <w:r w:rsidRPr="00525134">
        <w:rPr>
          <w:vertAlign w:val="superscript"/>
        </w:rPr>
        <w:footnoteReference w:id="15"/>
      </w:r>
      <w:r w:rsidRPr="00525134">
        <w:t xml:space="preserve"> of the USA GAP [4 applications (2 consecutive) at 80 g a.i./ha, 14 days minimum re-treatment interval and a 7 </w:t>
      </w:r>
      <w:proofErr w:type="gramStart"/>
      <w:r w:rsidRPr="00525134">
        <w:t>days</w:t>
      </w:r>
      <w:proofErr w:type="gramEnd"/>
      <w:r w:rsidRPr="00525134">
        <w:t xml:space="preserve"> pre-harvest interval] which allows use on </w:t>
      </w:r>
      <w:proofErr w:type="gramStart"/>
      <w:r w:rsidRPr="00525134">
        <w:t>a number of</w:t>
      </w:r>
      <w:proofErr w:type="gramEnd"/>
      <w:r w:rsidRPr="00525134">
        <w:t xml:space="preserve"> crops including faba beans</w:t>
      </w:r>
      <w:r w:rsidRPr="00525134">
        <w:rPr>
          <w:vertAlign w:val="superscript"/>
        </w:rPr>
        <w:footnoteReference w:id="16"/>
      </w:r>
      <w:r w:rsidRPr="00525134">
        <w:t xml:space="preserve">, it may only cover </w:t>
      </w:r>
      <w:r w:rsidRPr="00525134">
        <w:rPr>
          <w:i/>
          <w:iCs/>
        </w:rPr>
        <w:t>Phaseolus</w:t>
      </w:r>
      <w:r w:rsidRPr="00525134">
        <w:t xml:space="preserve"> species. It is noted however, that the major market for Australian faba beans (Egypt), defers to EU MRLs in the absence of a relevant Codex MRL</w:t>
      </w:r>
      <w:r w:rsidRPr="00525134">
        <w:rPr>
          <w:vertAlign w:val="superscript"/>
        </w:rPr>
        <w:footnoteReference w:id="17"/>
      </w:r>
      <w:r w:rsidRPr="00525134">
        <w:t>. This is also the case for the United Arab Emirates</w:t>
      </w:r>
      <w:r w:rsidRPr="00525134">
        <w:rPr>
          <w:vertAlign w:val="superscript"/>
        </w:rPr>
        <w:footnoteReference w:id="18"/>
      </w:r>
      <w:r w:rsidRPr="00525134">
        <w:t>, while Saudi Arabia defers to the lower of the EU or USA MRLs</w:t>
      </w:r>
      <w:r w:rsidRPr="00525134">
        <w:rPr>
          <w:vertAlign w:val="superscript"/>
        </w:rPr>
        <w:footnoteReference w:id="19"/>
      </w:r>
      <w:r w:rsidRPr="00525134">
        <w:t xml:space="preserve">. The EU MRL for dry beans at 0.3 mg/kg, which was not established at the time of the </w:t>
      </w:r>
      <w:proofErr w:type="gramStart"/>
      <w:r w:rsidRPr="00525134">
        <w:t>residues</w:t>
      </w:r>
      <w:proofErr w:type="gramEnd"/>
      <w:r w:rsidRPr="00525134">
        <w:t xml:space="preserve"> evaluation of the proposed use of Expedite Full Insecticide on pulses, is established at a level close to the observed HR in Australian pulses (including faba beans).</w:t>
      </w:r>
      <w:r w:rsidR="00BE4CC9">
        <w:br w:type="page"/>
      </w:r>
    </w:p>
    <w:p w14:paraId="00E6A9EB" w14:textId="77777777" w:rsidR="00B96764" w:rsidRPr="00B96764" w:rsidRDefault="00B96764" w:rsidP="00B96764">
      <w:pPr>
        <w:pStyle w:val="APVMAText"/>
        <w:spacing w:after="0"/>
        <w:rPr>
          <w:szCs w:val="20"/>
        </w:rPr>
      </w:pPr>
      <w:r w:rsidRPr="00B96764">
        <w:rPr>
          <w:szCs w:val="20"/>
        </w:rPr>
        <w:lastRenderedPageBreak/>
        <w:t>To further mitigate risk the label contains the following statement:</w:t>
      </w:r>
    </w:p>
    <w:p w14:paraId="2C1143DC" w14:textId="77777777" w:rsidR="00B96764" w:rsidRPr="00B96764" w:rsidRDefault="00B96764" w:rsidP="00B96764">
      <w:pPr>
        <w:pStyle w:val="APVMAText"/>
        <w:spacing w:before="0"/>
        <w:rPr>
          <w:szCs w:val="20"/>
        </w:rPr>
      </w:pPr>
      <w:r w:rsidRPr="00B96764">
        <w:rPr>
          <w:szCs w:val="20"/>
        </w:rPr>
        <w:t>CROPS FOR EXPORT - Before using Transform® WG on crops destined for export it is essential to consult your exporter or Corteva Agriscience to ensure that an appropriate MRL is in place in the importing country.</w:t>
      </w:r>
    </w:p>
    <w:p w14:paraId="0751BEE5" w14:textId="0DA9D9DD" w:rsidR="00FA2FEF" w:rsidRPr="00E70E89" w:rsidRDefault="00A9524D" w:rsidP="00B96764">
      <w:pPr>
        <w:pStyle w:val="APVMAText"/>
        <w:rPr>
          <w:szCs w:val="20"/>
        </w:rPr>
        <w:sectPr w:rsidR="00FA2FEF" w:rsidRPr="00E70E89">
          <w:pgSz w:w="11906" w:h="16838" w:code="9"/>
          <w:pgMar w:top="2835" w:right="1134" w:bottom="1134" w:left="1134" w:header="1701" w:footer="680" w:gutter="0"/>
          <w:cols w:space="708"/>
          <w:docGrid w:linePitch="360"/>
        </w:sectPr>
      </w:pPr>
      <w:r>
        <w:rPr>
          <w:szCs w:val="20"/>
        </w:rPr>
        <w:t>Additionally, t</w:t>
      </w:r>
      <w:r w:rsidR="00CF4F7C">
        <w:rPr>
          <w:szCs w:val="20"/>
        </w:rPr>
        <w:t>he</w:t>
      </w:r>
      <w:r w:rsidR="00CF4F7C" w:rsidRPr="00CF4F7C">
        <w:rPr>
          <w:szCs w:val="20"/>
        </w:rPr>
        <w:t xml:space="preserve"> </w:t>
      </w:r>
      <w:r w:rsidR="00CF4F7C">
        <w:rPr>
          <w:szCs w:val="20"/>
        </w:rPr>
        <w:t xml:space="preserve">proposed use in faba bean is equivalent to the use in </w:t>
      </w:r>
      <w:r w:rsidR="003D335F">
        <w:t xml:space="preserve">adzuki beans, </w:t>
      </w:r>
      <w:r w:rsidR="00CF4F7C">
        <w:rPr>
          <w:szCs w:val="20"/>
        </w:rPr>
        <w:t>mung beans</w:t>
      </w:r>
      <w:r w:rsidR="00E70E89">
        <w:rPr>
          <w:szCs w:val="20"/>
        </w:rPr>
        <w:t>,</w:t>
      </w:r>
      <w:r w:rsidR="00CF4F7C">
        <w:rPr>
          <w:szCs w:val="20"/>
        </w:rPr>
        <w:t xml:space="preserve"> </w:t>
      </w:r>
      <w:r w:rsidR="003D335F" w:rsidRPr="003D335F">
        <w:rPr>
          <w:szCs w:val="20"/>
        </w:rPr>
        <w:t>and navy beans</w:t>
      </w:r>
      <w:r w:rsidR="003D335F">
        <w:rPr>
          <w:szCs w:val="20"/>
        </w:rPr>
        <w:t xml:space="preserve"> </w:t>
      </w:r>
      <w:r w:rsidR="00CF4F7C">
        <w:rPr>
          <w:szCs w:val="20"/>
        </w:rPr>
        <w:t>that has been registered since 2016, and is the same as the use pattern permitted under PER</w:t>
      </w:r>
      <w:r w:rsidR="00CF4F7C" w:rsidRPr="00CF4F7C">
        <w:rPr>
          <w:szCs w:val="20"/>
        </w:rPr>
        <w:t>92758</w:t>
      </w:r>
      <w:r w:rsidR="00CF4F7C">
        <w:rPr>
          <w:szCs w:val="20"/>
        </w:rPr>
        <w:t xml:space="preserve"> since 2023.</w:t>
      </w:r>
      <w:r>
        <w:rPr>
          <w:szCs w:val="20"/>
        </w:rPr>
        <w:t xml:space="preserve"> </w:t>
      </w:r>
      <w:r w:rsidR="00FA2FEF">
        <w:rPr>
          <w:szCs w:val="20"/>
        </w:rPr>
        <w:t xml:space="preserve">The </w:t>
      </w:r>
      <w:r w:rsidR="00FA2FEF" w:rsidRPr="00FA2FEF">
        <w:rPr>
          <w:szCs w:val="20"/>
        </w:rPr>
        <w:t>National Residue Survey</w:t>
      </w:r>
      <w:r w:rsidR="00FA2FEF">
        <w:rPr>
          <w:rStyle w:val="FootnoteReference"/>
          <w:szCs w:val="20"/>
        </w:rPr>
        <w:footnoteReference w:id="20"/>
      </w:r>
      <w:r w:rsidR="00FA2FEF" w:rsidRPr="00FA2FEF">
        <w:rPr>
          <w:szCs w:val="20"/>
        </w:rPr>
        <w:t xml:space="preserve"> </w:t>
      </w:r>
      <w:r w:rsidR="00FA2FEF">
        <w:rPr>
          <w:szCs w:val="20"/>
        </w:rPr>
        <w:t>publishes yearly p</w:t>
      </w:r>
      <w:r w:rsidR="00FA2FEF" w:rsidRPr="00FA2FEF">
        <w:rPr>
          <w:szCs w:val="20"/>
        </w:rPr>
        <w:t>lant product monitoring datasets</w:t>
      </w:r>
      <w:r w:rsidR="00FA2FEF">
        <w:rPr>
          <w:szCs w:val="20"/>
        </w:rPr>
        <w:t xml:space="preserve">. In the </w:t>
      </w:r>
      <w:r w:rsidR="00FA2FEF" w:rsidRPr="00FA2FEF">
        <w:rPr>
          <w:szCs w:val="20"/>
        </w:rPr>
        <w:t xml:space="preserve">2023-24 </w:t>
      </w:r>
      <w:r w:rsidR="00FA2FEF">
        <w:rPr>
          <w:szCs w:val="20"/>
        </w:rPr>
        <w:t xml:space="preserve">year </w:t>
      </w:r>
      <w:r w:rsidR="00FA2FEF" w:rsidRPr="00FA2FEF">
        <w:rPr>
          <w:szCs w:val="20"/>
        </w:rPr>
        <w:t>302 faba bean samples</w:t>
      </w:r>
      <w:r w:rsidR="00FA2FEF">
        <w:rPr>
          <w:szCs w:val="20"/>
        </w:rPr>
        <w:t xml:space="preserve"> were analysed with no </w:t>
      </w:r>
      <w:r w:rsidR="00FA2FEF" w:rsidRPr="00FA2FEF">
        <w:rPr>
          <w:szCs w:val="20"/>
        </w:rPr>
        <w:t xml:space="preserve">detections above half the </w:t>
      </w:r>
      <w:r w:rsidR="00FA2FEF">
        <w:rPr>
          <w:szCs w:val="20"/>
        </w:rPr>
        <w:t xml:space="preserve">sulfoxaflor </w:t>
      </w:r>
      <w:r w:rsidR="00FA2FEF" w:rsidRPr="00FA2FEF">
        <w:rPr>
          <w:szCs w:val="20"/>
        </w:rPr>
        <w:t>MRL</w:t>
      </w:r>
      <w:r w:rsidR="00FA2FEF">
        <w:rPr>
          <w:szCs w:val="20"/>
        </w:rPr>
        <w:t xml:space="preserve"> recorded</w:t>
      </w:r>
      <w:r w:rsidR="00FA2FEF" w:rsidRPr="00FA2FEF">
        <w:rPr>
          <w:szCs w:val="20"/>
        </w:rPr>
        <w:t>.</w:t>
      </w:r>
      <w:r>
        <w:rPr>
          <w:szCs w:val="20"/>
        </w:rPr>
        <w:t xml:space="preserve"> From 2017-18 to 2023-24, 447 m</w:t>
      </w:r>
      <w:r w:rsidR="00FA2FEF">
        <w:rPr>
          <w:szCs w:val="20"/>
        </w:rPr>
        <w:t>ung bean</w:t>
      </w:r>
      <w:r>
        <w:rPr>
          <w:szCs w:val="20"/>
        </w:rPr>
        <w:t xml:space="preserve"> samples have been</w:t>
      </w:r>
      <w:r w:rsidRPr="00A9524D">
        <w:t xml:space="preserve"> </w:t>
      </w:r>
      <w:r w:rsidRPr="00A9524D">
        <w:rPr>
          <w:szCs w:val="20"/>
        </w:rPr>
        <w:t>analysed with no detections above half the sulfoxaflor</w:t>
      </w:r>
      <w:r w:rsidRPr="00A9524D">
        <w:t xml:space="preserve"> </w:t>
      </w:r>
      <w:r w:rsidRPr="00A9524D">
        <w:rPr>
          <w:szCs w:val="20"/>
        </w:rPr>
        <w:t>MRL recorded</w:t>
      </w:r>
      <w:r>
        <w:rPr>
          <w:szCs w:val="20"/>
        </w:rPr>
        <w:t>.</w:t>
      </w:r>
    </w:p>
    <w:p w14:paraId="66150D10" w14:textId="664325A4" w:rsidR="002E20AC" w:rsidRDefault="007B1953" w:rsidP="007B1953">
      <w:pPr>
        <w:pStyle w:val="Heading1"/>
      </w:pPr>
      <w:bookmarkStart w:id="49" w:name="_Toc202969285"/>
      <w:r>
        <w:lastRenderedPageBreak/>
        <w:t>C</w:t>
      </w:r>
      <w:r w:rsidR="006D36C8">
        <w:t>onclusion</w:t>
      </w:r>
      <w:bookmarkEnd w:id="49"/>
    </w:p>
    <w:p w14:paraId="7A5CB735" w14:textId="7EBCEB41" w:rsidR="008D3560" w:rsidRDefault="008D3560" w:rsidP="008D3560">
      <w:pPr>
        <w:pStyle w:val="NormalText"/>
      </w:pPr>
      <w:r w:rsidRPr="008D3560">
        <w:t xml:space="preserve">Corteva Agriscience Australia Pty Ltd </w:t>
      </w:r>
      <w:r>
        <w:t xml:space="preserve">has applied </w:t>
      </w:r>
      <w:r w:rsidRPr="008D3560">
        <w:t>to vary the registration of Expedite Full Insecticide (Label name Transform WG Isoclast active Insecticide) to include use on faba beans</w:t>
      </w:r>
      <w:r>
        <w:t>.</w:t>
      </w:r>
    </w:p>
    <w:p w14:paraId="1A9C68A4" w14:textId="74AF0B98" w:rsidR="009D452E" w:rsidRDefault="008D3560" w:rsidP="008D3560">
      <w:pPr>
        <w:pStyle w:val="NormalText"/>
      </w:pPr>
      <w:r>
        <w:t>Comment is sought on the potential for the proposed use to prejudice Australian trade of faba beans and the ability of industry to manage any potential trade risk.</w:t>
      </w:r>
    </w:p>
    <w:sectPr w:rsidR="009D452E">
      <w:headerReference w:type="even" r:id="rId25"/>
      <w:headerReference w:type="default" r:id="rId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7275" w14:textId="77777777" w:rsidR="00B338A0" w:rsidRDefault="00B338A0">
      <w:r>
        <w:separator/>
      </w:r>
    </w:p>
    <w:p w14:paraId="5B57BB7C" w14:textId="77777777" w:rsidR="00B338A0" w:rsidRDefault="00B338A0"/>
    <w:p w14:paraId="4FC05ABD" w14:textId="77777777" w:rsidR="00B338A0" w:rsidRDefault="00B338A0"/>
  </w:endnote>
  <w:endnote w:type="continuationSeparator" w:id="0">
    <w:p w14:paraId="5CFE7BB2" w14:textId="77777777" w:rsidR="00B338A0" w:rsidRDefault="00B338A0">
      <w:r>
        <w:continuationSeparator/>
      </w:r>
    </w:p>
    <w:p w14:paraId="29DC4085" w14:textId="77777777" w:rsidR="00B338A0" w:rsidRDefault="00B338A0"/>
    <w:p w14:paraId="01A3F487" w14:textId="77777777" w:rsidR="00B338A0" w:rsidRDefault="00B33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32F3" w14:textId="77777777" w:rsidR="00B338A0" w:rsidRDefault="00B338A0">
      <w:r>
        <w:separator/>
      </w:r>
    </w:p>
  </w:footnote>
  <w:footnote w:type="continuationSeparator" w:id="0">
    <w:p w14:paraId="094CB469" w14:textId="77777777" w:rsidR="00B338A0" w:rsidRDefault="00B338A0">
      <w:pPr>
        <w:spacing w:line="180" w:lineRule="exact"/>
        <w:rPr>
          <w:sz w:val="16"/>
        </w:rPr>
      </w:pPr>
      <w:r>
        <w:rPr>
          <w:sz w:val="16"/>
        </w:rPr>
        <w:continuationSeparator/>
      </w:r>
    </w:p>
    <w:p w14:paraId="5EB1E620" w14:textId="77777777" w:rsidR="00B338A0" w:rsidRDefault="00B338A0"/>
    <w:p w14:paraId="69D64C7D" w14:textId="77777777" w:rsidR="00B338A0" w:rsidRDefault="00B338A0"/>
  </w:footnote>
  <w:footnote w:type="continuationNotice" w:id="1">
    <w:p w14:paraId="2BA8F7CA" w14:textId="77777777" w:rsidR="00B338A0" w:rsidRDefault="00B338A0"/>
    <w:p w14:paraId="0C36D8A7" w14:textId="77777777" w:rsidR="00B338A0" w:rsidRDefault="00B338A0"/>
    <w:p w14:paraId="2F223119" w14:textId="77777777" w:rsidR="00B338A0" w:rsidRDefault="00B338A0"/>
  </w:footnote>
  <w:footnote w:id="2">
    <w:p w14:paraId="74A527CC" w14:textId="308A4FCC" w:rsidR="008D3560" w:rsidRDefault="008D3560">
      <w:pPr>
        <w:pStyle w:val="FootnoteText"/>
      </w:pPr>
      <w:r>
        <w:rPr>
          <w:rStyle w:val="FootnoteReference"/>
        </w:rPr>
        <w:footnoteRef/>
      </w:r>
      <w:r>
        <w:t xml:space="preserve"> </w:t>
      </w:r>
      <w:r w:rsidRPr="008D3560">
        <w:t>Australian Pesticides and Veterinary Medicines Authority</w:t>
      </w:r>
      <w:r>
        <w:t xml:space="preserve">, </w:t>
      </w:r>
      <w:hyperlink r:id="rId1" w:history="1">
        <w:r w:rsidRPr="008D3560">
          <w:rPr>
            <w:rStyle w:val="Hyperlink"/>
            <w:i/>
            <w:iCs/>
          </w:rPr>
          <w:t>Sulfoxaflor in the product Expedite Full Insecticide</w:t>
        </w:r>
      </w:hyperlink>
      <w:r>
        <w:t>, APVMA website, 4 August 2016, accessed 14 February 2025.</w:t>
      </w:r>
    </w:p>
  </w:footnote>
  <w:footnote w:id="3">
    <w:p w14:paraId="6FB7F421" w14:textId="470F5436" w:rsidR="008D3560" w:rsidRDefault="008D3560">
      <w:pPr>
        <w:pStyle w:val="FootnoteText"/>
      </w:pPr>
      <w:r>
        <w:rPr>
          <w:rStyle w:val="FootnoteReference"/>
        </w:rPr>
        <w:footnoteRef/>
      </w:r>
      <w:r>
        <w:t xml:space="preserve"> </w:t>
      </w:r>
      <w:r w:rsidRPr="008D3560">
        <w:t xml:space="preserve">Australian Pesticides and Veterinary Medicines Authority, </w:t>
      </w:r>
      <w:hyperlink r:id="rId2" w:history="1">
        <w:r w:rsidRPr="008D3560">
          <w:rPr>
            <w:rStyle w:val="Hyperlink"/>
            <w:i/>
            <w:iCs/>
          </w:rPr>
          <w:t>Sulfoxaflor for use on faba beans</w:t>
        </w:r>
      </w:hyperlink>
      <w:r w:rsidRPr="008D3560">
        <w:t xml:space="preserve">, APVMA website, </w:t>
      </w:r>
      <w:r>
        <w:t>21 November 2022</w:t>
      </w:r>
      <w:r w:rsidRPr="008D3560">
        <w:t>, accessed 14 February 2025.</w:t>
      </w:r>
    </w:p>
  </w:footnote>
  <w:footnote w:id="4">
    <w:p w14:paraId="21EEAA9F" w14:textId="2B6438F0" w:rsidR="008D3560" w:rsidRPr="00DA57D3" w:rsidRDefault="008D3560" w:rsidP="008D3560">
      <w:pPr>
        <w:pStyle w:val="FootnoteText"/>
      </w:pPr>
      <w:r w:rsidRPr="00DA57D3">
        <w:rPr>
          <w:rStyle w:val="FootnoteReference"/>
        </w:rPr>
        <w:footnoteRef/>
      </w:r>
      <w:r w:rsidRPr="00DA57D3">
        <w:t xml:space="preserve"> </w:t>
      </w:r>
      <w:bookmarkStart w:id="17" w:name="_Hlk113879363"/>
      <w:r>
        <w:t xml:space="preserve">Australian Pesticides and Veterinary Medicines Authority, </w:t>
      </w:r>
      <w:hyperlink r:id="rId3" w:history="1">
        <w:r>
          <w:rPr>
            <w:rStyle w:val="Hyperlink"/>
            <w:i/>
            <w:iCs/>
          </w:rPr>
          <w:t>APVMA Regulatory Guidelines – Data Guidelines: Agricultural data guidelines – Pesticides: Overseas trade (Part 5B)</w:t>
        </w:r>
      </w:hyperlink>
      <w:r>
        <w:t xml:space="preserve">, APVMA website, 20 July 2020, accessed </w:t>
      </w:r>
      <w:bookmarkEnd w:id="17"/>
      <w:r>
        <w:t>14 February 2025.</w:t>
      </w:r>
    </w:p>
  </w:footnote>
  <w:footnote w:id="5">
    <w:p w14:paraId="16228D7B" w14:textId="77777777" w:rsidR="00130879" w:rsidRDefault="00130879" w:rsidP="00130879">
      <w:pPr>
        <w:pStyle w:val="FootnoteText"/>
      </w:pPr>
      <w:r>
        <w:rPr>
          <w:rStyle w:val="FootnoteReference"/>
        </w:rPr>
        <w:footnoteRef/>
      </w:r>
      <w:r>
        <w:t xml:space="preserve"> Australian Government, Department of Agriculture, Fisheries and Forestry, Agricultural Commodity Statistics 2023, </w:t>
      </w:r>
      <w:hyperlink r:id="rId4" w:anchor="2021" w:history="1">
        <w:r w:rsidRPr="001F17FC">
          <w:rPr>
            <w:rStyle w:val="Hyperlink"/>
            <w:i/>
            <w:iCs/>
          </w:rPr>
          <w:t>Agricultural commodities and trade data - DAFF (agriculture.gov.au)</w:t>
        </w:r>
      </w:hyperlink>
      <w:r>
        <w:t>, accessed 13 February 2025.</w:t>
      </w:r>
    </w:p>
  </w:footnote>
  <w:footnote w:id="6">
    <w:p w14:paraId="5C414FA8" w14:textId="26371CDD" w:rsidR="008D3560" w:rsidRDefault="008D3560" w:rsidP="008D3560">
      <w:pPr>
        <w:pStyle w:val="FootnoteText"/>
      </w:pPr>
      <w:r>
        <w:rPr>
          <w:rStyle w:val="FootnoteReference"/>
        </w:rPr>
        <w:footnoteRef/>
      </w:r>
      <w:r>
        <w:t xml:space="preserve"> Grains Research &amp; Development Corporation, </w:t>
      </w:r>
      <w:hyperlink r:id="rId5" w:history="1">
        <w:r w:rsidRPr="008D3560">
          <w:rPr>
            <w:rStyle w:val="Hyperlink"/>
            <w:i/>
            <w:iCs/>
          </w:rPr>
          <w:t>Faba bean Section A Introduction</w:t>
        </w:r>
      </w:hyperlink>
      <w:r>
        <w:t>, GRDC website, accessed 14 February 2025</w:t>
      </w:r>
    </w:p>
  </w:footnote>
  <w:footnote w:id="7">
    <w:p w14:paraId="46281C40" w14:textId="5EEA7CEF" w:rsidR="008D3560" w:rsidRDefault="008D3560" w:rsidP="008D3560">
      <w:pPr>
        <w:pStyle w:val="FootnoteText"/>
      </w:pPr>
      <w:r>
        <w:rPr>
          <w:rStyle w:val="FootnoteReference"/>
        </w:rPr>
        <w:footnoteRef/>
      </w:r>
      <w:r>
        <w:t xml:space="preserve"> Australian Pesticides and Veterinary Medicines Authority, </w:t>
      </w:r>
      <w:hyperlink r:id="rId6" w:history="1">
        <w:r w:rsidRPr="00CD3014">
          <w:rPr>
            <w:rStyle w:val="Hyperlink"/>
            <w:i/>
            <w:iCs/>
          </w:rPr>
          <w:t>Crop Group 015: Pulses</w:t>
        </w:r>
      </w:hyperlink>
      <w:r>
        <w:t>, APVMA website, accessed 14 February 2025.</w:t>
      </w:r>
    </w:p>
  </w:footnote>
  <w:footnote w:id="8">
    <w:p w14:paraId="76F0510C" w14:textId="68F22076" w:rsidR="00905BA5" w:rsidRDefault="00905BA5" w:rsidP="00905BA5">
      <w:pPr>
        <w:pStyle w:val="FootnoteText"/>
      </w:pPr>
      <w:r>
        <w:rPr>
          <w:rStyle w:val="FootnoteReference"/>
        </w:rPr>
        <w:footnoteRef/>
      </w:r>
      <w:r>
        <w:t xml:space="preserve"> European Commission,</w:t>
      </w:r>
      <w:r w:rsidRPr="00F132CD">
        <w:t xml:space="preserve"> </w:t>
      </w:r>
      <w:hyperlink r:id="rId7" w:history="1">
        <w:r w:rsidRPr="00905BA5">
          <w:rPr>
            <w:rStyle w:val="Hyperlink"/>
            <w:i/>
            <w:iCs/>
          </w:rPr>
          <w:t>Pesticide residue(s) and maximum residues levels (mg/kg)</w:t>
        </w:r>
      </w:hyperlink>
      <w:r>
        <w:t>, European Commission website, accessed 14 February 2025.</w:t>
      </w:r>
    </w:p>
  </w:footnote>
  <w:footnote w:id="9">
    <w:p w14:paraId="7C623536" w14:textId="4D123AEA" w:rsidR="00905BA5" w:rsidRDefault="00905BA5" w:rsidP="00905BA5">
      <w:pPr>
        <w:pStyle w:val="FootnoteText"/>
      </w:pPr>
      <w:r>
        <w:rPr>
          <w:rStyle w:val="FootnoteReference"/>
        </w:rPr>
        <w:footnoteRef/>
      </w:r>
      <w:r>
        <w:t xml:space="preserve"> </w:t>
      </w:r>
      <w:bookmarkStart w:id="35" w:name="_Hlk113879463"/>
      <w:r>
        <w:t xml:space="preserve">Food and Agriculture Organization of the United Nations, </w:t>
      </w:r>
      <w:hyperlink r:id="rId8" w:history="1">
        <w:r w:rsidRPr="00865306">
          <w:rPr>
            <w:rStyle w:val="Hyperlink"/>
            <w:i/>
            <w:iCs/>
          </w:rPr>
          <w:t>Codex Alimentarius:  252 - Sulfoxaflor</w:t>
        </w:r>
      </w:hyperlink>
      <w:r>
        <w:t xml:space="preserve">, FAO website, accessed </w:t>
      </w:r>
      <w:r w:rsidRPr="00905BA5">
        <w:t>14 February 2025</w:t>
      </w:r>
      <w:r>
        <w:t>.</w:t>
      </w:r>
    </w:p>
    <w:bookmarkEnd w:id="35"/>
  </w:footnote>
  <w:footnote w:id="10">
    <w:p w14:paraId="5EA0628F" w14:textId="384AB122" w:rsidR="00905BA5" w:rsidRDefault="00905BA5" w:rsidP="00905BA5">
      <w:pPr>
        <w:pStyle w:val="FootnoteText"/>
      </w:pPr>
      <w:r>
        <w:rPr>
          <w:rStyle w:val="FootnoteReference"/>
        </w:rPr>
        <w:footnoteRef/>
      </w:r>
      <w:r>
        <w:t xml:space="preserve"> </w:t>
      </w:r>
      <w:r w:rsidRPr="00E12DB9">
        <w:t>Japanese Food Chemistry Research Promotion Foundation</w:t>
      </w:r>
      <w:r>
        <w:t xml:space="preserve">, </w:t>
      </w:r>
      <w:hyperlink r:id="rId9" w:history="1">
        <w:r>
          <w:rPr>
            <w:rStyle w:val="Hyperlink"/>
            <w:i/>
            <w:iCs/>
          </w:rPr>
          <w:t>Table of MRLs for Agricultural Chemicals</w:t>
        </w:r>
      </w:hyperlink>
      <w:r>
        <w:t xml:space="preserve">, JFCRPF website, accessed </w:t>
      </w:r>
      <w:r w:rsidRPr="00905BA5">
        <w:t>14 February 2025</w:t>
      </w:r>
      <w:r>
        <w:t>.</w:t>
      </w:r>
    </w:p>
  </w:footnote>
  <w:footnote w:id="11">
    <w:p w14:paraId="49F1F139" w14:textId="52BF3265" w:rsidR="00905BA5" w:rsidRPr="00D50E8A" w:rsidRDefault="00905BA5" w:rsidP="00905BA5">
      <w:pPr>
        <w:pStyle w:val="FootnoteText"/>
        <w:rPr>
          <w:szCs w:val="16"/>
        </w:rPr>
      </w:pPr>
      <w:r>
        <w:rPr>
          <w:rStyle w:val="FootnoteReference"/>
        </w:rPr>
        <w:footnoteRef/>
      </w:r>
      <w:r>
        <w:t xml:space="preserve"> </w:t>
      </w:r>
      <w:r>
        <w:rPr>
          <w:szCs w:val="16"/>
        </w:rPr>
        <w:t xml:space="preserve">Ministry of </w:t>
      </w:r>
      <w:r w:rsidRPr="00B12AFF">
        <w:rPr>
          <w:szCs w:val="16"/>
        </w:rPr>
        <w:t xml:space="preserve">Food </w:t>
      </w:r>
      <w:r>
        <w:rPr>
          <w:szCs w:val="16"/>
        </w:rPr>
        <w:t xml:space="preserve">and Drug </w:t>
      </w:r>
      <w:r w:rsidRPr="00B12AFF">
        <w:rPr>
          <w:szCs w:val="16"/>
        </w:rPr>
        <w:t>Safety Korea</w:t>
      </w:r>
      <w:r w:rsidRPr="00B12AFF">
        <w:rPr>
          <w:i/>
          <w:szCs w:val="16"/>
        </w:rPr>
        <w:t xml:space="preserve">, </w:t>
      </w:r>
      <w:hyperlink r:id="rId10" w:history="1">
        <w:r w:rsidRPr="00E12DB9">
          <w:rPr>
            <w:rStyle w:val="Hyperlink"/>
            <w:i/>
            <w:iCs/>
            <w:szCs w:val="16"/>
          </w:rPr>
          <w:t>Pesticide MRLs for agricultural commodities</w:t>
        </w:r>
      </w:hyperlink>
      <w:r w:rsidRPr="00B12AFF">
        <w:rPr>
          <w:szCs w:val="16"/>
        </w:rPr>
        <w:t xml:space="preserve">, FSK website, </w:t>
      </w:r>
      <w:r>
        <w:t xml:space="preserve">accessed </w:t>
      </w:r>
      <w:r w:rsidRPr="00905BA5">
        <w:t>14 February 2025</w:t>
      </w:r>
      <w:r w:rsidRPr="00D50E8A">
        <w:rPr>
          <w:szCs w:val="16"/>
        </w:rPr>
        <w:t>.</w:t>
      </w:r>
    </w:p>
  </w:footnote>
  <w:footnote w:id="12">
    <w:p w14:paraId="61BFF969" w14:textId="08AC7B3B" w:rsidR="00905BA5" w:rsidRDefault="00905BA5" w:rsidP="00905BA5">
      <w:pPr>
        <w:pStyle w:val="FootnoteText"/>
      </w:pPr>
      <w:r>
        <w:rPr>
          <w:rStyle w:val="FootnoteReference"/>
        </w:rPr>
        <w:footnoteRef/>
      </w:r>
      <w:r>
        <w:t xml:space="preserve"> Electronic Code of Federal Regulations, </w:t>
      </w:r>
      <w:hyperlink r:id="rId11" w:history="1">
        <w:r>
          <w:rPr>
            <w:rStyle w:val="Hyperlink"/>
            <w:i/>
            <w:iCs/>
          </w:rPr>
          <w:t>Tolerances and Exemptions for Pesticide Chemical Residues in Food</w:t>
        </w:r>
      </w:hyperlink>
      <w:r>
        <w:t xml:space="preserve">, eCFR website, accessed </w:t>
      </w:r>
      <w:r w:rsidRPr="00905BA5">
        <w:t>14 February 2025</w:t>
      </w:r>
      <w:r>
        <w:t>.</w:t>
      </w:r>
    </w:p>
  </w:footnote>
  <w:footnote w:id="13">
    <w:p w14:paraId="1CD02BF4" w14:textId="20C6C684" w:rsidR="00905BA5" w:rsidRDefault="00905BA5" w:rsidP="00905BA5">
      <w:pPr>
        <w:pStyle w:val="FootnoteText"/>
      </w:pPr>
      <w:r>
        <w:rPr>
          <w:rStyle w:val="FootnoteReference"/>
        </w:rPr>
        <w:footnoteRef/>
      </w:r>
      <w:r>
        <w:t xml:space="preserve"> </w:t>
      </w:r>
      <w:r>
        <w:rPr>
          <w:szCs w:val="16"/>
        </w:rPr>
        <w:t xml:space="preserve">United States Department of Agriculture Foreign Agricultural Service, </w:t>
      </w:r>
      <w:hyperlink r:id="rId12" w:history="1">
        <w:r>
          <w:rPr>
            <w:rStyle w:val="Hyperlink"/>
            <w:i/>
            <w:iCs/>
            <w:szCs w:val="16"/>
          </w:rPr>
          <w:t>China: Maximum Residue Limits for Pesticides in Foods, Global Agricultural Information Network report</w:t>
        </w:r>
      </w:hyperlink>
      <w:r w:rsidRPr="00B12AFF">
        <w:rPr>
          <w:szCs w:val="16"/>
        </w:rPr>
        <w:t xml:space="preserve">, </w:t>
      </w:r>
      <w:r>
        <w:t xml:space="preserve">24 August 2021, accessed </w:t>
      </w:r>
      <w:r w:rsidRPr="00905BA5">
        <w:t>14 February 2025</w:t>
      </w:r>
      <w:r>
        <w:t>.</w:t>
      </w:r>
    </w:p>
  </w:footnote>
  <w:footnote w:id="14">
    <w:p w14:paraId="7932FE50" w14:textId="74976975" w:rsidR="00905BA5" w:rsidRDefault="00905BA5" w:rsidP="00905BA5">
      <w:pPr>
        <w:pStyle w:val="FootnoteText"/>
      </w:pPr>
      <w:r>
        <w:rPr>
          <w:rStyle w:val="FootnoteReference"/>
        </w:rPr>
        <w:footnoteRef/>
      </w:r>
      <w:r>
        <w:t xml:space="preserve"> Food and Drug Administration Taiwan, </w:t>
      </w:r>
      <w:hyperlink r:id="rId13" w:history="1">
        <w:r w:rsidRPr="00E12DB9">
          <w:rPr>
            <w:rStyle w:val="Hyperlink"/>
            <w:i/>
            <w:iCs/>
          </w:rPr>
          <w:t>Food and Drug Administration Taiwan, Standards for Pesticide Residue Limits in Foods</w:t>
        </w:r>
      </w:hyperlink>
      <w:r>
        <w:t xml:space="preserve">, accessed </w:t>
      </w:r>
      <w:r w:rsidRPr="00905BA5">
        <w:t>14 February 2025</w:t>
      </w:r>
      <w:r>
        <w:t>.</w:t>
      </w:r>
    </w:p>
  </w:footnote>
  <w:footnote w:id="15">
    <w:p w14:paraId="2D651E33" w14:textId="77777777" w:rsidR="00B96764" w:rsidRDefault="00B96764" w:rsidP="00B96764">
      <w:pPr>
        <w:pStyle w:val="FootnoteText"/>
      </w:pPr>
      <w:r>
        <w:rPr>
          <w:rStyle w:val="FootnoteReference"/>
        </w:rPr>
        <w:footnoteRef/>
      </w:r>
      <w:r>
        <w:t xml:space="preserve"> Food and Agriculture Organization of the United Nations,</w:t>
      </w:r>
      <w:r>
        <w:rPr>
          <w:rStyle w:val="Hyperlink"/>
        </w:rPr>
        <w:t xml:space="preserve"> </w:t>
      </w:r>
      <w:hyperlink r:id="rId14" w:history="1">
        <w:r>
          <w:rPr>
            <w:rStyle w:val="Hyperlink"/>
            <w:i/>
            <w:iCs/>
          </w:rPr>
          <w:t>JMPR 2013 Report (fao.org)</w:t>
        </w:r>
      </w:hyperlink>
      <w:r>
        <w:t>, FAO website, accessed 14 February 2025.</w:t>
      </w:r>
    </w:p>
  </w:footnote>
  <w:footnote w:id="16">
    <w:p w14:paraId="1B445040" w14:textId="77777777" w:rsidR="00B96764" w:rsidRDefault="00B96764" w:rsidP="00B96764">
      <w:pPr>
        <w:pStyle w:val="FootnoteText"/>
      </w:pPr>
      <w:r>
        <w:rPr>
          <w:rStyle w:val="FootnoteReference"/>
        </w:rPr>
        <w:footnoteRef/>
      </w:r>
      <w:r>
        <w:t xml:space="preserve"> United States Environment Protection Agency, </w:t>
      </w:r>
      <w:hyperlink r:id="rId15" w:history="1">
        <w:r>
          <w:rPr>
            <w:rStyle w:val="Hyperlink"/>
            <w:i/>
            <w:iCs/>
          </w:rPr>
          <w:t>Label for Transform WG Insecticide Isoclast Active</w:t>
        </w:r>
      </w:hyperlink>
      <w:r>
        <w:t xml:space="preserve"> ,USA EPA website, accessed </w:t>
      </w:r>
      <w:r w:rsidRPr="009D4E70">
        <w:t>14 February 2025.</w:t>
      </w:r>
    </w:p>
  </w:footnote>
  <w:footnote w:id="17">
    <w:p w14:paraId="26C76E8C" w14:textId="77777777" w:rsidR="00B96764" w:rsidRPr="00665878" w:rsidRDefault="00B96764" w:rsidP="00B96764">
      <w:pPr>
        <w:pStyle w:val="FootnoteText"/>
      </w:pPr>
      <w:r>
        <w:rPr>
          <w:rStyle w:val="FootnoteReference"/>
        </w:rPr>
        <w:footnoteRef/>
      </w:r>
      <w:r>
        <w:t xml:space="preserve"> Northwest Horticultural Council, Washington, USA, </w:t>
      </w:r>
      <w:hyperlink r:id="rId16" w:anchor=":~:text=Egypt%20defers%20to%20maximum%20residue,the%20United%20States%20will%20apply" w:history="1">
        <w:r w:rsidRPr="00665878">
          <w:rPr>
            <w:rStyle w:val="Hyperlink"/>
            <w:i/>
            <w:iCs/>
          </w:rPr>
          <w:t>Egypt (nwhort.org)</w:t>
        </w:r>
      </w:hyperlink>
      <w:r>
        <w:t xml:space="preserve">, Northwest Horticultural Council website, accessed </w:t>
      </w:r>
      <w:r w:rsidRPr="009D4E70">
        <w:t>14 February 2025.</w:t>
      </w:r>
    </w:p>
  </w:footnote>
  <w:footnote w:id="18">
    <w:p w14:paraId="4BE8B109" w14:textId="77777777" w:rsidR="00B96764" w:rsidRDefault="00B96764" w:rsidP="00B96764">
      <w:pPr>
        <w:pStyle w:val="FootnoteText"/>
      </w:pPr>
      <w:r>
        <w:rPr>
          <w:rStyle w:val="FootnoteReference"/>
        </w:rPr>
        <w:footnoteRef/>
      </w:r>
      <w:r>
        <w:t xml:space="preserve"> Northwest Horticultural Council, Washington, USA, </w:t>
      </w:r>
      <w:hyperlink r:id="rId17" w:history="1">
        <w:r w:rsidRPr="00665878">
          <w:rPr>
            <w:rStyle w:val="Hyperlink"/>
            <w:i/>
            <w:iCs/>
          </w:rPr>
          <w:t>United Arab Emirates (nwhort.org)</w:t>
        </w:r>
      </w:hyperlink>
      <w:r>
        <w:t xml:space="preserve">, Northwest Horticultural Council website, accessed </w:t>
      </w:r>
      <w:r w:rsidRPr="009D4E70">
        <w:t>14 February 2025.</w:t>
      </w:r>
    </w:p>
  </w:footnote>
  <w:footnote w:id="19">
    <w:p w14:paraId="38DC82FE" w14:textId="77777777" w:rsidR="00B96764" w:rsidRDefault="00B96764" w:rsidP="00B96764">
      <w:pPr>
        <w:pStyle w:val="FootnoteText"/>
      </w:pPr>
      <w:r>
        <w:rPr>
          <w:rStyle w:val="FootnoteReference"/>
        </w:rPr>
        <w:footnoteRef/>
      </w:r>
      <w:r>
        <w:t xml:space="preserve"> Northwest Horticultural Council, Washington, USA, </w:t>
      </w:r>
      <w:hyperlink r:id="rId18" w:history="1">
        <w:r w:rsidRPr="009C014A">
          <w:rPr>
            <w:rStyle w:val="Hyperlink"/>
            <w:i/>
            <w:iCs/>
          </w:rPr>
          <w:t>Saudi Arabia (nwhort.org)</w:t>
        </w:r>
      </w:hyperlink>
      <w:r>
        <w:t xml:space="preserve">, Northwest Horticultural Council website, accessed </w:t>
      </w:r>
      <w:r w:rsidRPr="009D4E70">
        <w:t>14 February 2025.</w:t>
      </w:r>
    </w:p>
  </w:footnote>
  <w:footnote w:id="20">
    <w:p w14:paraId="41EA8245" w14:textId="7745D31D" w:rsidR="00FA2FEF" w:rsidRDefault="00FA2FEF" w:rsidP="00FA2FEF">
      <w:pPr>
        <w:pStyle w:val="FootnoteText"/>
      </w:pPr>
      <w:r>
        <w:rPr>
          <w:rStyle w:val="FootnoteReference"/>
        </w:rPr>
        <w:footnoteRef/>
      </w:r>
      <w:r w:rsidR="006E3E4C">
        <w:t xml:space="preserve"> Department of Agriculture, Fisheries and Forestry,</w:t>
      </w:r>
      <w:r w:rsidR="006E3E4C" w:rsidRPr="00FA2FEF">
        <w:t xml:space="preserve"> </w:t>
      </w:r>
      <w:r w:rsidR="006E3E4C">
        <w:t>Australia,</w:t>
      </w:r>
      <w:r w:rsidR="006E3E4C" w:rsidRPr="00FA2FEF">
        <w:t xml:space="preserve"> </w:t>
      </w:r>
      <w:hyperlink r:id="rId19" w:history="1">
        <w:r w:rsidRPr="006E3E4C">
          <w:rPr>
            <w:rStyle w:val="Hyperlink"/>
            <w:i/>
            <w:iCs/>
          </w:rPr>
          <w:t>National Residue Survey results and publications</w:t>
        </w:r>
      </w:hyperlink>
      <w:r>
        <w:t>,</w:t>
      </w:r>
      <w:r w:rsidR="006E3E4C">
        <w:t xml:space="preserve"> DAFF website, a</w:t>
      </w:r>
      <w:r>
        <w:t xml:space="preserve">ccessed 23 May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5A76A91F" w:rsidR="007B1953" w:rsidRDefault="007B1953" w:rsidP="007B1953">
    <w:pPr>
      <w:pStyle w:val="APVMAOddHeader"/>
    </w:pPr>
    <w:r>
      <w:tab/>
    </w:r>
    <w:r w:rsidR="008D3560">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317F99D8"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8D3560" w:rsidRPr="008D3560">
      <w:t>sulfoxaflor for use on faba beans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73" w14:textId="6FBB9BB7" w:rsidR="00696A51" w:rsidRDefault="00696A51" w:rsidP="007B1953">
    <w:pPr>
      <w:pStyle w:val="APVMAOddHeader"/>
    </w:pPr>
    <w:r>
      <w:tab/>
    </w:r>
    <w:r w:rsidR="008D3560">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DFF0" w14:textId="4AEF9A6D" w:rsidR="008D3560" w:rsidRDefault="008D3560" w:rsidP="007B195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9468" w14:textId="77777777" w:rsidR="00231BAE" w:rsidRDefault="00231BAE" w:rsidP="00231BAE">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rPr>
      <w:t>9</w:t>
    </w:r>
    <w:r>
      <w:rPr>
        <w:rStyle w:val="PageNumber"/>
        <w:b/>
        <w:caps/>
        <w:szCs w:val="24"/>
      </w:rPr>
      <w:fldChar w:fldCharType="end"/>
    </w:r>
    <w:r>
      <w:tab/>
      <w:t xml:space="preserve">Trade Advice Notice on </w:t>
    </w:r>
    <w:r w:rsidRPr="008D3560">
      <w:t>sulfoxaflor for use on faba beans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642F7"/>
    <w:rsid w:val="00067828"/>
    <w:rsid w:val="00073686"/>
    <w:rsid w:val="000765C1"/>
    <w:rsid w:val="0008350E"/>
    <w:rsid w:val="00096163"/>
    <w:rsid w:val="000A7EF6"/>
    <w:rsid w:val="000C2C1B"/>
    <w:rsid w:val="000C56C2"/>
    <w:rsid w:val="000C5EB1"/>
    <w:rsid w:val="000D49ED"/>
    <w:rsid w:val="000E154E"/>
    <w:rsid w:val="000F2EC3"/>
    <w:rsid w:val="000F457C"/>
    <w:rsid w:val="001004E6"/>
    <w:rsid w:val="00107B0E"/>
    <w:rsid w:val="001106B2"/>
    <w:rsid w:val="00116540"/>
    <w:rsid w:val="00120E00"/>
    <w:rsid w:val="00125B8E"/>
    <w:rsid w:val="00130879"/>
    <w:rsid w:val="001534D8"/>
    <w:rsid w:val="0016652E"/>
    <w:rsid w:val="00167BB3"/>
    <w:rsid w:val="00174E15"/>
    <w:rsid w:val="001807A7"/>
    <w:rsid w:val="00184190"/>
    <w:rsid w:val="00193533"/>
    <w:rsid w:val="001B0A08"/>
    <w:rsid w:val="001B335C"/>
    <w:rsid w:val="001B7360"/>
    <w:rsid w:val="001C6607"/>
    <w:rsid w:val="001D3257"/>
    <w:rsid w:val="001F0620"/>
    <w:rsid w:val="0021101E"/>
    <w:rsid w:val="00216C49"/>
    <w:rsid w:val="00231BAE"/>
    <w:rsid w:val="0024289A"/>
    <w:rsid w:val="0026493F"/>
    <w:rsid w:val="00273344"/>
    <w:rsid w:val="00280720"/>
    <w:rsid w:val="00282A32"/>
    <w:rsid w:val="00290BB2"/>
    <w:rsid w:val="002A69DD"/>
    <w:rsid w:val="002B4618"/>
    <w:rsid w:val="002B5703"/>
    <w:rsid w:val="002D71C2"/>
    <w:rsid w:val="002D7779"/>
    <w:rsid w:val="002E20AC"/>
    <w:rsid w:val="002E49F4"/>
    <w:rsid w:val="002F4591"/>
    <w:rsid w:val="0030255E"/>
    <w:rsid w:val="003057DD"/>
    <w:rsid w:val="00307392"/>
    <w:rsid w:val="0031487D"/>
    <w:rsid w:val="003207F2"/>
    <w:rsid w:val="00325CF9"/>
    <w:rsid w:val="00347883"/>
    <w:rsid w:val="003506C5"/>
    <w:rsid w:val="00364192"/>
    <w:rsid w:val="003775AC"/>
    <w:rsid w:val="00381544"/>
    <w:rsid w:val="00382B7C"/>
    <w:rsid w:val="00383003"/>
    <w:rsid w:val="0038401F"/>
    <w:rsid w:val="003A1BD7"/>
    <w:rsid w:val="003A2363"/>
    <w:rsid w:val="003A558F"/>
    <w:rsid w:val="003C0891"/>
    <w:rsid w:val="003D335F"/>
    <w:rsid w:val="003D7709"/>
    <w:rsid w:val="003F29CF"/>
    <w:rsid w:val="004070E1"/>
    <w:rsid w:val="00407597"/>
    <w:rsid w:val="0041228F"/>
    <w:rsid w:val="00444045"/>
    <w:rsid w:val="004616C8"/>
    <w:rsid w:val="00461D26"/>
    <w:rsid w:val="00470304"/>
    <w:rsid w:val="004D2C4F"/>
    <w:rsid w:val="004D48AF"/>
    <w:rsid w:val="004E1991"/>
    <w:rsid w:val="004E4CD7"/>
    <w:rsid w:val="004F66B0"/>
    <w:rsid w:val="005033A8"/>
    <w:rsid w:val="005064D5"/>
    <w:rsid w:val="005148C0"/>
    <w:rsid w:val="00520963"/>
    <w:rsid w:val="00522E27"/>
    <w:rsid w:val="00545A0A"/>
    <w:rsid w:val="005527B9"/>
    <w:rsid w:val="00556804"/>
    <w:rsid w:val="00560E83"/>
    <w:rsid w:val="00563297"/>
    <w:rsid w:val="005645E9"/>
    <w:rsid w:val="00566590"/>
    <w:rsid w:val="005777BB"/>
    <w:rsid w:val="00596F1D"/>
    <w:rsid w:val="005B43FF"/>
    <w:rsid w:val="005B61ED"/>
    <w:rsid w:val="005D00D1"/>
    <w:rsid w:val="005D1A47"/>
    <w:rsid w:val="005E5566"/>
    <w:rsid w:val="005F4452"/>
    <w:rsid w:val="005F4701"/>
    <w:rsid w:val="00606E79"/>
    <w:rsid w:val="006110AE"/>
    <w:rsid w:val="0062466B"/>
    <w:rsid w:val="00637AB9"/>
    <w:rsid w:val="00641B1B"/>
    <w:rsid w:val="00643052"/>
    <w:rsid w:val="00657A28"/>
    <w:rsid w:val="0066107B"/>
    <w:rsid w:val="00693066"/>
    <w:rsid w:val="00696A51"/>
    <w:rsid w:val="006C08BC"/>
    <w:rsid w:val="006D36C8"/>
    <w:rsid w:val="006E33F7"/>
    <w:rsid w:val="006E3E4C"/>
    <w:rsid w:val="006E771D"/>
    <w:rsid w:val="006F3D51"/>
    <w:rsid w:val="00700C27"/>
    <w:rsid w:val="00701D76"/>
    <w:rsid w:val="00702B7D"/>
    <w:rsid w:val="00704C88"/>
    <w:rsid w:val="00713DFB"/>
    <w:rsid w:val="00715821"/>
    <w:rsid w:val="007275CF"/>
    <w:rsid w:val="00731659"/>
    <w:rsid w:val="007368E2"/>
    <w:rsid w:val="00753ED8"/>
    <w:rsid w:val="00765020"/>
    <w:rsid w:val="00770B96"/>
    <w:rsid w:val="00772D8F"/>
    <w:rsid w:val="00790A8E"/>
    <w:rsid w:val="0079772A"/>
    <w:rsid w:val="007B1953"/>
    <w:rsid w:val="007B2C31"/>
    <w:rsid w:val="007F0146"/>
    <w:rsid w:val="007F6C64"/>
    <w:rsid w:val="00814579"/>
    <w:rsid w:val="00832D38"/>
    <w:rsid w:val="008362F6"/>
    <w:rsid w:val="00836556"/>
    <w:rsid w:val="008366A3"/>
    <w:rsid w:val="00847050"/>
    <w:rsid w:val="00860B66"/>
    <w:rsid w:val="00862E63"/>
    <w:rsid w:val="008836D1"/>
    <w:rsid w:val="00892292"/>
    <w:rsid w:val="008A36FA"/>
    <w:rsid w:val="008B2E83"/>
    <w:rsid w:val="008C5C0D"/>
    <w:rsid w:val="008C6B9D"/>
    <w:rsid w:val="008D01CF"/>
    <w:rsid w:val="008D1A7E"/>
    <w:rsid w:val="008D3560"/>
    <w:rsid w:val="008D4AA3"/>
    <w:rsid w:val="008E3385"/>
    <w:rsid w:val="008E5BA8"/>
    <w:rsid w:val="008F14C4"/>
    <w:rsid w:val="00905130"/>
    <w:rsid w:val="009054A8"/>
    <w:rsid w:val="00905BA5"/>
    <w:rsid w:val="00925333"/>
    <w:rsid w:val="0095647E"/>
    <w:rsid w:val="00957A91"/>
    <w:rsid w:val="00966603"/>
    <w:rsid w:val="00972247"/>
    <w:rsid w:val="009970A0"/>
    <w:rsid w:val="009A1C0C"/>
    <w:rsid w:val="009A4448"/>
    <w:rsid w:val="009A7614"/>
    <w:rsid w:val="009B6ACE"/>
    <w:rsid w:val="009D0E59"/>
    <w:rsid w:val="009D452E"/>
    <w:rsid w:val="009D4E70"/>
    <w:rsid w:val="009F16FF"/>
    <w:rsid w:val="00A03801"/>
    <w:rsid w:val="00A11221"/>
    <w:rsid w:val="00A12439"/>
    <w:rsid w:val="00A1629F"/>
    <w:rsid w:val="00A23729"/>
    <w:rsid w:val="00A2448D"/>
    <w:rsid w:val="00A25290"/>
    <w:rsid w:val="00A5136D"/>
    <w:rsid w:val="00A60905"/>
    <w:rsid w:val="00A6283D"/>
    <w:rsid w:val="00A70EF6"/>
    <w:rsid w:val="00A77CE7"/>
    <w:rsid w:val="00A81500"/>
    <w:rsid w:val="00A82202"/>
    <w:rsid w:val="00A87101"/>
    <w:rsid w:val="00A94A88"/>
    <w:rsid w:val="00A9524D"/>
    <w:rsid w:val="00AA4371"/>
    <w:rsid w:val="00AA472D"/>
    <w:rsid w:val="00AB52CE"/>
    <w:rsid w:val="00AB659C"/>
    <w:rsid w:val="00AF1ED4"/>
    <w:rsid w:val="00AF232A"/>
    <w:rsid w:val="00AF65B1"/>
    <w:rsid w:val="00B00DB1"/>
    <w:rsid w:val="00B061D3"/>
    <w:rsid w:val="00B15647"/>
    <w:rsid w:val="00B22F9F"/>
    <w:rsid w:val="00B27675"/>
    <w:rsid w:val="00B32E0B"/>
    <w:rsid w:val="00B338A0"/>
    <w:rsid w:val="00B50074"/>
    <w:rsid w:val="00B630EF"/>
    <w:rsid w:val="00B83373"/>
    <w:rsid w:val="00B96764"/>
    <w:rsid w:val="00BA4BE4"/>
    <w:rsid w:val="00BA67F0"/>
    <w:rsid w:val="00BC5423"/>
    <w:rsid w:val="00BD021C"/>
    <w:rsid w:val="00BD0287"/>
    <w:rsid w:val="00BD2289"/>
    <w:rsid w:val="00BD55DB"/>
    <w:rsid w:val="00BD62F9"/>
    <w:rsid w:val="00BD70E8"/>
    <w:rsid w:val="00BD7C8B"/>
    <w:rsid w:val="00BE4CC9"/>
    <w:rsid w:val="00BE5B60"/>
    <w:rsid w:val="00BF0C7F"/>
    <w:rsid w:val="00C01FCE"/>
    <w:rsid w:val="00C26629"/>
    <w:rsid w:val="00C53C96"/>
    <w:rsid w:val="00C63CA7"/>
    <w:rsid w:val="00C72AE4"/>
    <w:rsid w:val="00C73D24"/>
    <w:rsid w:val="00C95323"/>
    <w:rsid w:val="00C9656F"/>
    <w:rsid w:val="00CA17DC"/>
    <w:rsid w:val="00CC2B53"/>
    <w:rsid w:val="00CC5729"/>
    <w:rsid w:val="00CD6650"/>
    <w:rsid w:val="00CE3E56"/>
    <w:rsid w:val="00CE456A"/>
    <w:rsid w:val="00CE6C51"/>
    <w:rsid w:val="00CF4F7C"/>
    <w:rsid w:val="00D10F59"/>
    <w:rsid w:val="00D22CCB"/>
    <w:rsid w:val="00D4143D"/>
    <w:rsid w:val="00D505AD"/>
    <w:rsid w:val="00D67788"/>
    <w:rsid w:val="00D70A54"/>
    <w:rsid w:val="00D874AA"/>
    <w:rsid w:val="00D9318E"/>
    <w:rsid w:val="00D942C8"/>
    <w:rsid w:val="00D948D1"/>
    <w:rsid w:val="00DB3BF5"/>
    <w:rsid w:val="00DC4FF7"/>
    <w:rsid w:val="00DE4091"/>
    <w:rsid w:val="00E203CD"/>
    <w:rsid w:val="00E318E3"/>
    <w:rsid w:val="00E35DE7"/>
    <w:rsid w:val="00E41FED"/>
    <w:rsid w:val="00E63AC3"/>
    <w:rsid w:val="00E70840"/>
    <w:rsid w:val="00E70E89"/>
    <w:rsid w:val="00E830F0"/>
    <w:rsid w:val="00E84BA9"/>
    <w:rsid w:val="00E97570"/>
    <w:rsid w:val="00EA1757"/>
    <w:rsid w:val="00EE0D34"/>
    <w:rsid w:val="00EE297E"/>
    <w:rsid w:val="00EE5B09"/>
    <w:rsid w:val="00EE6B92"/>
    <w:rsid w:val="00EF7A26"/>
    <w:rsid w:val="00F30BA1"/>
    <w:rsid w:val="00F30BDA"/>
    <w:rsid w:val="00F34959"/>
    <w:rsid w:val="00F37FFB"/>
    <w:rsid w:val="00F453FE"/>
    <w:rsid w:val="00F5015D"/>
    <w:rsid w:val="00F51AA7"/>
    <w:rsid w:val="00F56C76"/>
    <w:rsid w:val="00F6733A"/>
    <w:rsid w:val="00F74FA6"/>
    <w:rsid w:val="00F81727"/>
    <w:rsid w:val="00FA2FEF"/>
    <w:rsid w:val="00FC09D2"/>
    <w:rsid w:val="00FC198C"/>
    <w:rsid w:val="00FD344F"/>
    <w:rsid w:val="00FE54CA"/>
    <w:rsid w:val="00FF6D52"/>
    <w:rsid w:val="00FF6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8D3560"/>
    <w:rPr>
      <w:color w:val="605E5C"/>
      <w:shd w:val="clear" w:color="auto" w:fill="E1DFDD"/>
    </w:rPr>
  </w:style>
  <w:style w:type="character" w:customStyle="1" w:styleId="FootnoteTextChar">
    <w:name w:val="Footnote Text Char"/>
    <w:aliases w:val="APVMA_Footnote Char,DAR001 Char,Tabellenanmerkung Char, Char1 Char Char"/>
    <w:basedOn w:val="DefaultParagraphFont"/>
    <w:link w:val="FootnoteText"/>
    <w:rsid w:val="008D3560"/>
    <w:rPr>
      <w:rFonts w:ascii="Arial" w:hAnsi="Arial" w:cs="Arial"/>
      <w:spacing w:val="6"/>
      <w:kern w:val="20"/>
      <w:sz w:val="16"/>
      <w:u w:color="000000"/>
      <w:lang w:eastAsia="en-US"/>
    </w:rPr>
  </w:style>
  <w:style w:type="table" w:styleId="TableGrid">
    <w:name w:val="Table Grid"/>
    <w:aliases w:val="Signature Table"/>
    <w:basedOn w:val="TableNormal"/>
    <w:uiPriority w:val="59"/>
    <w:rsid w:val="00905B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1389">
      <w:bodyDiv w:val="1"/>
      <w:marLeft w:val="0"/>
      <w:marRight w:val="0"/>
      <w:marTop w:val="0"/>
      <w:marBottom w:val="0"/>
      <w:divBdr>
        <w:top w:val="none" w:sz="0" w:space="0" w:color="auto"/>
        <w:left w:val="none" w:sz="0" w:space="0" w:color="auto"/>
        <w:bottom w:val="none" w:sz="0" w:space="0" w:color="auto"/>
        <w:right w:val="none" w:sz="0" w:space="0" w:color="auto"/>
      </w:divBdr>
    </w:div>
    <w:div w:id="333383438">
      <w:bodyDiv w:val="1"/>
      <w:marLeft w:val="0"/>
      <w:marRight w:val="0"/>
      <w:marTop w:val="0"/>
      <w:marBottom w:val="0"/>
      <w:divBdr>
        <w:top w:val="none" w:sz="0" w:space="0" w:color="auto"/>
        <w:left w:val="none" w:sz="0" w:space="0" w:color="auto"/>
        <w:bottom w:val="none" w:sz="0" w:space="0" w:color="auto"/>
        <w:right w:val="none" w:sz="0" w:space="0" w:color="auto"/>
      </w:divBdr>
    </w:div>
    <w:div w:id="436023355">
      <w:bodyDiv w:val="1"/>
      <w:marLeft w:val="0"/>
      <w:marRight w:val="0"/>
      <w:marTop w:val="0"/>
      <w:marBottom w:val="0"/>
      <w:divBdr>
        <w:top w:val="none" w:sz="0" w:space="0" w:color="auto"/>
        <w:left w:val="none" w:sz="0" w:space="0" w:color="auto"/>
        <w:bottom w:val="none" w:sz="0" w:space="0" w:color="auto"/>
        <w:right w:val="none" w:sz="0" w:space="0" w:color="auto"/>
      </w:divBdr>
    </w:div>
    <w:div w:id="579216425">
      <w:bodyDiv w:val="1"/>
      <w:marLeft w:val="0"/>
      <w:marRight w:val="0"/>
      <w:marTop w:val="0"/>
      <w:marBottom w:val="0"/>
      <w:divBdr>
        <w:top w:val="none" w:sz="0" w:space="0" w:color="auto"/>
        <w:left w:val="none" w:sz="0" w:space="0" w:color="auto"/>
        <w:bottom w:val="none" w:sz="0" w:space="0" w:color="auto"/>
        <w:right w:val="none" w:sz="0" w:space="0" w:color="auto"/>
      </w:divBdr>
    </w:div>
    <w:div w:id="754327466">
      <w:bodyDiv w:val="1"/>
      <w:marLeft w:val="0"/>
      <w:marRight w:val="0"/>
      <w:marTop w:val="0"/>
      <w:marBottom w:val="0"/>
      <w:divBdr>
        <w:top w:val="none" w:sz="0" w:space="0" w:color="auto"/>
        <w:left w:val="none" w:sz="0" w:space="0" w:color="auto"/>
        <w:bottom w:val="none" w:sz="0" w:space="0" w:color="auto"/>
        <w:right w:val="none" w:sz="0" w:space="0" w:color="auto"/>
      </w:divBdr>
    </w:div>
    <w:div w:id="1130635753">
      <w:bodyDiv w:val="1"/>
      <w:marLeft w:val="0"/>
      <w:marRight w:val="0"/>
      <w:marTop w:val="0"/>
      <w:marBottom w:val="0"/>
      <w:divBdr>
        <w:top w:val="none" w:sz="0" w:space="0" w:color="auto"/>
        <w:left w:val="none" w:sz="0" w:space="0" w:color="auto"/>
        <w:bottom w:val="none" w:sz="0" w:space="0" w:color="auto"/>
        <w:right w:val="none" w:sz="0" w:space="0" w:color="auto"/>
      </w:divBdr>
    </w:div>
    <w:div w:id="1769503874">
      <w:bodyDiv w:val="1"/>
      <w:marLeft w:val="0"/>
      <w:marRight w:val="0"/>
      <w:marTop w:val="0"/>
      <w:marBottom w:val="0"/>
      <w:divBdr>
        <w:top w:val="none" w:sz="0" w:space="0" w:color="auto"/>
        <w:left w:val="none" w:sz="0" w:space="0" w:color="auto"/>
        <w:bottom w:val="none" w:sz="0" w:space="0" w:color="auto"/>
        <w:right w:val="none" w:sz="0" w:space="0" w:color="auto"/>
      </w:divBdr>
    </w:div>
    <w:div w:id="17911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eader" Target="header4.xm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www.apvma.gov.au" TargetMode="External" Id="rId23" /><Relationship Type="http://schemas.openxmlformats.org/officeDocument/2006/relationships/theme" Target="theme/theme1.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3.xml" Id="rId22" /><Relationship Type="http://schemas.openxmlformats.org/officeDocument/2006/relationships/fontTable" Target="fontTable.xml" Id="rId27" /><Relationship Type="http://schemas.openxmlformats.org/officeDocument/2006/relationships/customXml" Target="/customXML/item4.xml" Id="R72dc62d7792f49a7" /></Relationships>
</file>

<file path=word/_rels/footnotes.xml.rels><?xml version="1.0" encoding="UTF-8" standalone="yes"?>
<Relationships xmlns="http://schemas.openxmlformats.org/package/2006/relationships"><Relationship Id="rId8" Type="http://schemas.openxmlformats.org/officeDocument/2006/relationships/hyperlink" Target="https://www.fao.org/fao-who-codexalimentarius/codex-texts/dbs/pestres/pesticide-detail/en/?p_id=252" TargetMode="External"/><Relationship Id="rId13" Type="http://schemas.openxmlformats.org/officeDocument/2006/relationships/hyperlink" Target="https://consumer.fda.gov.tw/Law/Detail.aspx?nodeID=518&amp;lang=1&amp;lawid=127" TargetMode="External"/><Relationship Id="rId18" Type="http://schemas.openxmlformats.org/officeDocument/2006/relationships/hyperlink" Target="https://nwhort.org/export-manual/countries-toc/saudi-arabia/" TargetMode="External"/><Relationship Id="rId3" Type="http://schemas.openxmlformats.org/officeDocument/2006/relationships/hyperlink" Target="https://apvma.gov.au/node/1017" TargetMode="External"/><Relationship Id="rId7" Type="http://schemas.openxmlformats.org/officeDocument/2006/relationships/hyperlink" Target="https://ec.europa.eu/food/plant/pesticides/eu-pesticides-database/start/screen/mrls/details?lg_code=EN&amp;pest_res_id_list=2370&amp;product_id_list=" TargetMode="External"/><Relationship Id="rId12"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17" Type="http://schemas.openxmlformats.org/officeDocument/2006/relationships/hyperlink" Target="https://nwhort.org/export-manual/countries-toc/united-arab-emirates/" TargetMode="External"/><Relationship Id="rId2" Type="http://schemas.openxmlformats.org/officeDocument/2006/relationships/hyperlink" Target="https://www.apvma.gov.au/node/106906" TargetMode="External"/><Relationship Id="rId16" Type="http://schemas.openxmlformats.org/officeDocument/2006/relationships/hyperlink" Target="https://nwhort.org/export-manual/countries-toc/egypt/" TargetMode="External"/><Relationship Id="rId1" Type="http://schemas.openxmlformats.org/officeDocument/2006/relationships/hyperlink" Target="https://webarchive.nla.gov.au/awa/20161017194036/http:/apvma.gov.au/node/20516" TargetMode="External"/><Relationship Id="rId6" Type="http://schemas.openxmlformats.org/officeDocument/2006/relationships/hyperlink" Target="https://apvma.gov.au/taxonomy/term/7516" TargetMode="External"/><Relationship Id="rId11" Type="http://schemas.openxmlformats.org/officeDocument/2006/relationships/hyperlink" Target="https://www.ecfr.gov/current/title-40/chapter-I/subchapter-E/part-180" TargetMode="External"/><Relationship Id="rId5" Type="http://schemas.openxmlformats.org/officeDocument/2006/relationships/hyperlink" Target="https://grdc.com.au/__data/assets/pdf_file/0030/369138/GrowNote-Faba-Bean-West-0-Introduction.pdf" TargetMode="External"/><Relationship Id="rId15" Type="http://schemas.openxmlformats.org/officeDocument/2006/relationships/hyperlink" Target="https://www3.epa.gov/pesticides/chem_search/ppls/062719-00625-20161014.pdf" TargetMode="External"/><Relationship Id="rId10" Type="http://schemas.openxmlformats.org/officeDocument/2006/relationships/hyperlink" Target="http://www.foodsafetykorea.go.kr/residue/prd/mrls/list.do" TargetMode="External"/><Relationship Id="rId19" Type="http://schemas.openxmlformats.org/officeDocument/2006/relationships/hyperlink" Target="https://www.agriculture.gov.au/agriculture-land/farm-food-drought/food/nrs/nrs-results-publications" TargetMode="External"/><Relationship Id="rId4" Type="http://schemas.openxmlformats.org/officeDocument/2006/relationships/hyperlink" Target="https://www.agriculture.gov.au/abares/research-topics/agricultural-outlook/data" TargetMode="External"/><Relationship Id="rId9" Type="http://schemas.openxmlformats.org/officeDocument/2006/relationships/hyperlink" Target="http://db.ffcr.or.jp/front/" TargetMode="External"/><Relationship Id="rId14" Type="http://schemas.openxmlformats.org/officeDocument/2006/relationships/hyperlink" Target="https://www.fao.org/fileadmin/templates/agphome/documents/Pests_Pesticides/JMPR/Report13/JMPR_2013_Report__2013__web__.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A3456379</value>
    </field>
    <field name="Objective-Title">
      <value order="0">Sulfoxaflor - Faba beans - 65464 - 146681 - Expedite Full Insecticide - TAN</value>
    </field>
    <field name="Objective-Description">
      <value order="0"/>
    </field>
    <field name="Objective-CreationStamp">
      <value order="0">2025-02-14T00:44:16Z</value>
    </field>
    <field name="Objective-IsApproved">
      <value order="0">false</value>
    </field>
    <field name="Objective-IsPublished">
      <value order="0">false</value>
    </field>
    <field name="Objective-DatePublished">
      <value order="0"/>
    </field>
    <field name="Objective-ModificationStamp">
      <value order="0">2025-07-09T23:52:51Z</value>
    </field>
    <field name="Objective-Owner">
      <value order="0">Leah Macdonald</value>
    </field>
    <field name="Objective-Path">
      <value order="0">APVMA:SCIENTIFIC ASSESSMENT:Scientific Assessment - Residues and Trade:Scientific Assessment - Residues and Trade - Evaluations:Scientific Assessment - Residues and Trade - Evaluations - S-Z:SA - R&amp;T - Evaluations - Sulfoxaflor:3.Residues - Sulfoxaflor - Faba beans - 65464 - 146681 - Expedite Full Insecticide</value>
    </field>
    <field name="Objective-Parent">
      <value order="0">3.Residues - Sulfoxaflor - Faba beans - 65464 - 146681 - Expedite Full Insecticide</value>
    </field>
    <field name="Objective-State">
      <value order="0">Being Drafted</value>
    </field>
    <field name="Objective-VersionId">
      <value order="0">vA5363980</value>
    </field>
    <field name="Objective-Version">
      <value order="0">0.15</value>
    </field>
    <field name="Objective-VersionNumber">
      <value order="0">15</value>
    </field>
    <field name="Objective-VersionComment">
      <value order="0"/>
    </field>
    <field name="Objective-FileNumber">
      <value order="0">2025\0262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3158</TotalTime>
  <Pages>1</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21931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GRIFFIN, Jordanna</cp:lastModifiedBy>
  <cp:revision>27</cp:revision>
  <cp:lastPrinted>2025-07-09T23:35:00Z</cp:lastPrinted>
  <dcterms:created xsi:type="dcterms:W3CDTF">2025-02-13T23:40:00Z</dcterms:created>
  <dcterms:modified xsi:type="dcterms:W3CDTF">2025-07-09T23:37:00Z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A3456379</vt:lpwstr>
  </property>
  <property fmtid="{D5CDD505-2E9C-101B-9397-08002B2CF9AE}" pid="4" name="Objective-Title">
    <vt:lpwstr>Sulfoxaflor - Faba beans - 65464 - 146681 - Expedite Full Insecticide - TAN</vt:lpwstr>
  </property>
  <property fmtid="{D5CDD505-2E9C-101B-9397-08002B2CF9AE}" pid="5" name="Objective-Comment">
    <vt:lpwstr/>
  </property>
  <property fmtid="{D5CDD505-2E9C-101B-9397-08002B2CF9AE}" pid="6" name="Objective-CreationStamp">
    <vt:filetime>2025-02-14T00:44:16Z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2025-07-09T23:52:51Z</vt:filetime>
  </property>
  <property fmtid="{D5CDD505-2E9C-101B-9397-08002B2CF9AE}" pid="11" name="Objective-Owner">
    <vt:lpwstr>Leah Macdonald</vt:lpwstr>
  </property>
  <property fmtid="{D5CDD505-2E9C-101B-9397-08002B2CF9AE}" pid="12" name="Objective-Path">
    <vt:lpwstr>APVMA:SCIENTIFIC ASSESSMENT:Scientific Assessment - Residues and Trade:Scientific Assessment - Residues and Trade - Evaluations:Scientific Assessment - Residues and Trade - Evaluations - S-Z:SA - R&amp;T - Evaluations - Sulfoxaflor:3.Residues - Sulfoxaflor - Faba beans - 65464 - 146681 - Expedite Full Insecticide:</vt:lpwstr>
  </property>
  <property fmtid="{D5CDD505-2E9C-101B-9397-08002B2CF9AE}" pid="13" name="Objective-Parent">
    <vt:lpwstr>3.Residues - Sulfoxaflor - Faba beans - 65464 - 146681 - Expedite Full Insecticide</vt:lpwstr>
  </property>
  <property fmtid="{D5CDD505-2E9C-101B-9397-08002B2CF9AE}" pid="14" name="Objective-State">
    <vt:lpwstr>Being Drafted</vt:lpwstr>
  </property>
  <property fmtid="{D5CDD505-2E9C-101B-9397-08002B2CF9AE}" pid="15" name="Objective-Version">
    <vt:lpwstr>0.15</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vA5363980</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