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72AB1E8C">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33EC3CF2">
            <wp:extent cx="2752725" cy="247760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2725" cy="2477601"/>
                    </a:xfrm>
                    <a:prstGeom prst="rect">
                      <a:avLst/>
                    </a:prstGeom>
                  </pic:spPr>
                </pic:pic>
              </a:graphicData>
            </a:graphic>
          </wp:inline>
        </w:drawing>
      </w:r>
    </w:p>
    <w:p w14:paraId="026F9E23" w14:textId="61E466E8" w:rsidR="00193533" w:rsidRPr="00193533" w:rsidRDefault="00E81DB1" w:rsidP="002F4591">
      <w:pPr>
        <w:pStyle w:val="CoverTitle"/>
        <w:spacing w:before="2640"/>
        <w:jc w:val="center"/>
      </w:pPr>
      <w:r w:rsidRPr="00E81DB1">
        <w:t xml:space="preserve">APVMA Online Services Portal: </w:t>
      </w:r>
      <w:r>
        <w:t>C</w:t>
      </w:r>
      <w:r w:rsidRPr="00E81DB1">
        <w:t>redit and debit card payment processing</w:t>
      </w:r>
      <w:r w:rsidR="00C4231C" w:rsidRPr="00C4231C">
        <w:t xml:space="preserve"> </w:t>
      </w:r>
      <w:r w:rsidR="00C4231C">
        <w:t>g</w:t>
      </w:r>
      <w:r w:rsidR="00C4231C" w:rsidRPr="00C4231C">
        <w:t>uide</w:t>
      </w:r>
    </w:p>
    <w:p w14:paraId="4E4C9BC9" w14:textId="095EA227" w:rsidR="00193533" w:rsidRPr="00E41FED" w:rsidRDefault="00E81DB1" w:rsidP="008B550C">
      <w:pPr>
        <w:pStyle w:val="Coverdate"/>
        <w:sectPr w:rsidR="00193533" w:rsidRPr="00E41FED" w:rsidSect="009610F2">
          <w:pgSz w:w="11906" w:h="16838" w:code="9"/>
          <w:pgMar w:top="1985" w:right="1134" w:bottom="1134" w:left="1134" w:header="1701" w:footer="448" w:gutter="0"/>
          <w:pgNumType w:fmt="lowerRoman"/>
          <w:cols w:space="708"/>
          <w:docGrid w:linePitch="360"/>
        </w:sectPr>
      </w:pPr>
      <w:r>
        <w:t xml:space="preserve">July </w:t>
      </w:r>
      <w:r w:rsidR="00C4231C">
        <w:t>202</w:t>
      </w:r>
      <w:r>
        <w:t>5</w:t>
      </w:r>
    </w:p>
    <w:bookmarkEnd w:id="0"/>
    <w:p w14:paraId="0E9E7E2A" w14:textId="77777777" w:rsidR="00B05454" w:rsidRPr="002A3239" w:rsidRDefault="00B05454" w:rsidP="00B05454">
      <w:pPr>
        <w:pStyle w:val="TOCH1"/>
        <w:rPr>
          <w:rFonts w:ascii="Arial" w:hAnsi="Arial"/>
          <w:sz w:val="18"/>
        </w:rPr>
      </w:pPr>
      <w:r w:rsidRPr="00FB0015">
        <w:lastRenderedPageBreak/>
        <w:t>Contents</w:t>
      </w:r>
    </w:p>
    <w:p w14:paraId="5D889AAD" w14:textId="33E96914" w:rsidR="00D9342D"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202453416" w:history="1">
        <w:r w:rsidR="00D9342D" w:rsidRPr="001B7179">
          <w:rPr>
            <w:rStyle w:val="Hyperlink"/>
          </w:rPr>
          <w:t>Getting started – Updates to credit and debit card payment processing</w:t>
        </w:r>
        <w:r w:rsidR="00D9342D">
          <w:rPr>
            <w:webHidden/>
          </w:rPr>
          <w:tab/>
        </w:r>
        <w:r w:rsidR="00D9342D">
          <w:rPr>
            <w:webHidden/>
          </w:rPr>
          <w:fldChar w:fldCharType="begin"/>
        </w:r>
        <w:r w:rsidR="00D9342D">
          <w:rPr>
            <w:webHidden/>
          </w:rPr>
          <w:instrText xml:space="preserve"> PAGEREF _Toc202453416 \h </w:instrText>
        </w:r>
        <w:r w:rsidR="00D9342D">
          <w:rPr>
            <w:webHidden/>
          </w:rPr>
        </w:r>
        <w:r w:rsidR="00D9342D">
          <w:rPr>
            <w:webHidden/>
          </w:rPr>
          <w:fldChar w:fldCharType="separate"/>
        </w:r>
        <w:r w:rsidR="00D9342D">
          <w:rPr>
            <w:webHidden/>
          </w:rPr>
          <w:t>1</w:t>
        </w:r>
        <w:r w:rsidR="00D9342D">
          <w:rPr>
            <w:webHidden/>
          </w:rPr>
          <w:fldChar w:fldCharType="end"/>
        </w:r>
      </w:hyperlink>
    </w:p>
    <w:p w14:paraId="5CA2D35C" w14:textId="7A123A66" w:rsidR="00D9342D" w:rsidRDefault="00D9342D">
      <w:pPr>
        <w:pStyle w:val="TOC2"/>
        <w:rPr>
          <w:rFonts w:asciiTheme="minorHAnsi" w:eastAsiaTheme="minorEastAsia" w:hAnsiTheme="minorHAnsi" w:cstheme="minorBidi"/>
          <w:b w:val="0"/>
          <w:color w:val="auto"/>
          <w:kern w:val="2"/>
          <w:sz w:val="24"/>
          <w:lang w:eastAsia="en-AU"/>
          <w14:ligatures w14:val="standardContextual"/>
        </w:rPr>
      </w:pPr>
      <w:hyperlink w:anchor="_Toc202453417" w:history="1">
        <w:r w:rsidRPr="001B7179">
          <w:rPr>
            <w:rStyle w:val="Hyperlink"/>
          </w:rPr>
          <w:t>Using the old payment gateway</w:t>
        </w:r>
        <w:r>
          <w:rPr>
            <w:webHidden/>
          </w:rPr>
          <w:tab/>
        </w:r>
        <w:r>
          <w:rPr>
            <w:webHidden/>
          </w:rPr>
          <w:fldChar w:fldCharType="begin"/>
        </w:r>
        <w:r>
          <w:rPr>
            <w:webHidden/>
          </w:rPr>
          <w:instrText xml:space="preserve"> PAGEREF _Toc202453417 \h </w:instrText>
        </w:r>
        <w:r>
          <w:rPr>
            <w:webHidden/>
          </w:rPr>
        </w:r>
        <w:r>
          <w:rPr>
            <w:webHidden/>
          </w:rPr>
          <w:fldChar w:fldCharType="separate"/>
        </w:r>
        <w:r>
          <w:rPr>
            <w:webHidden/>
          </w:rPr>
          <w:t>1</w:t>
        </w:r>
        <w:r>
          <w:rPr>
            <w:webHidden/>
          </w:rPr>
          <w:fldChar w:fldCharType="end"/>
        </w:r>
      </w:hyperlink>
    </w:p>
    <w:p w14:paraId="6D935B91" w14:textId="7E4DD929" w:rsidR="00D9342D" w:rsidRDefault="00D9342D">
      <w:pPr>
        <w:pStyle w:val="TOC2"/>
        <w:rPr>
          <w:rFonts w:asciiTheme="minorHAnsi" w:eastAsiaTheme="minorEastAsia" w:hAnsiTheme="minorHAnsi" w:cstheme="minorBidi"/>
          <w:b w:val="0"/>
          <w:color w:val="auto"/>
          <w:kern w:val="2"/>
          <w:sz w:val="24"/>
          <w:lang w:eastAsia="en-AU"/>
          <w14:ligatures w14:val="standardContextual"/>
        </w:rPr>
      </w:pPr>
      <w:hyperlink w:anchor="_Toc202453418" w:history="1">
        <w:r w:rsidRPr="001B7179">
          <w:rPr>
            <w:rStyle w:val="Hyperlink"/>
          </w:rPr>
          <w:t>Using the new payment gateway</w:t>
        </w:r>
        <w:r>
          <w:rPr>
            <w:webHidden/>
          </w:rPr>
          <w:tab/>
        </w:r>
        <w:r>
          <w:rPr>
            <w:webHidden/>
          </w:rPr>
          <w:fldChar w:fldCharType="begin"/>
        </w:r>
        <w:r>
          <w:rPr>
            <w:webHidden/>
          </w:rPr>
          <w:instrText xml:space="preserve"> PAGEREF _Toc202453418 \h </w:instrText>
        </w:r>
        <w:r>
          <w:rPr>
            <w:webHidden/>
          </w:rPr>
        </w:r>
        <w:r>
          <w:rPr>
            <w:webHidden/>
          </w:rPr>
          <w:fldChar w:fldCharType="separate"/>
        </w:r>
        <w:r>
          <w:rPr>
            <w:webHidden/>
          </w:rPr>
          <w:t>1</w:t>
        </w:r>
        <w:r>
          <w:rPr>
            <w:webHidden/>
          </w:rPr>
          <w:fldChar w:fldCharType="end"/>
        </w:r>
      </w:hyperlink>
    </w:p>
    <w:p w14:paraId="492CC023" w14:textId="18AAD451" w:rsidR="00D9342D" w:rsidRDefault="00D9342D">
      <w:pPr>
        <w:pStyle w:val="TOC3"/>
        <w:rPr>
          <w:rFonts w:asciiTheme="minorHAnsi" w:eastAsiaTheme="minorEastAsia" w:hAnsiTheme="minorHAnsi" w:cstheme="minorBidi"/>
          <w:color w:val="auto"/>
          <w:kern w:val="2"/>
          <w:sz w:val="24"/>
          <w:lang w:eastAsia="en-AU"/>
          <w14:ligatures w14:val="standardContextual"/>
        </w:rPr>
      </w:pPr>
      <w:hyperlink w:anchor="_Toc202453419" w:history="1">
        <w:r w:rsidRPr="001B7179">
          <w:rPr>
            <w:rStyle w:val="Hyperlink"/>
          </w:rPr>
          <w:t>Pay in 3 simple steps</w:t>
        </w:r>
        <w:r>
          <w:rPr>
            <w:webHidden/>
          </w:rPr>
          <w:tab/>
        </w:r>
        <w:r>
          <w:rPr>
            <w:webHidden/>
          </w:rPr>
          <w:fldChar w:fldCharType="begin"/>
        </w:r>
        <w:r>
          <w:rPr>
            <w:webHidden/>
          </w:rPr>
          <w:instrText xml:space="preserve"> PAGEREF _Toc202453419 \h </w:instrText>
        </w:r>
        <w:r>
          <w:rPr>
            <w:webHidden/>
          </w:rPr>
        </w:r>
        <w:r>
          <w:rPr>
            <w:webHidden/>
          </w:rPr>
          <w:fldChar w:fldCharType="separate"/>
        </w:r>
        <w:r>
          <w:rPr>
            <w:webHidden/>
          </w:rPr>
          <w:t>2</w:t>
        </w:r>
        <w:r>
          <w:rPr>
            <w:webHidden/>
          </w:rPr>
          <w:fldChar w:fldCharType="end"/>
        </w:r>
      </w:hyperlink>
    </w:p>
    <w:p w14:paraId="54D3DF4C" w14:textId="520C02E6" w:rsidR="00D9342D" w:rsidRDefault="00D9342D">
      <w:pPr>
        <w:pStyle w:val="TOC2"/>
        <w:rPr>
          <w:rFonts w:asciiTheme="minorHAnsi" w:eastAsiaTheme="minorEastAsia" w:hAnsiTheme="minorHAnsi" w:cstheme="minorBidi"/>
          <w:b w:val="0"/>
          <w:color w:val="auto"/>
          <w:kern w:val="2"/>
          <w:sz w:val="24"/>
          <w:lang w:eastAsia="en-AU"/>
          <w14:ligatures w14:val="standardContextual"/>
        </w:rPr>
      </w:pPr>
      <w:hyperlink w:anchor="_Toc202453420" w:history="1">
        <w:r w:rsidRPr="001B7179">
          <w:rPr>
            <w:rStyle w:val="Hyperlink"/>
          </w:rPr>
          <w:t>Contact</w:t>
        </w:r>
        <w:r>
          <w:rPr>
            <w:webHidden/>
          </w:rPr>
          <w:tab/>
        </w:r>
        <w:r>
          <w:rPr>
            <w:webHidden/>
          </w:rPr>
          <w:fldChar w:fldCharType="begin"/>
        </w:r>
        <w:r>
          <w:rPr>
            <w:webHidden/>
          </w:rPr>
          <w:instrText xml:space="preserve"> PAGEREF _Toc202453420 \h </w:instrText>
        </w:r>
        <w:r>
          <w:rPr>
            <w:webHidden/>
          </w:rPr>
        </w:r>
        <w:r>
          <w:rPr>
            <w:webHidden/>
          </w:rPr>
          <w:fldChar w:fldCharType="separate"/>
        </w:r>
        <w:r>
          <w:rPr>
            <w:webHidden/>
          </w:rPr>
          <w:t>3</w:t>
        </w:r>
        <w:r>
          <w:rPr>
            <w:webHidden/>
          </w:rPr>
          <w:fldChar w:fldCharType="end"/>
        </w:r>
      </w:hyperlink>
    </w:p>
    <w:p w14:paraId="642BE59F" w14:textId="5F2A459E" w:rsidR="002A3239" w:rsidRDefault="00B05454" w:rsidP="001E25F2">
      <w:pPr>
        <w:pStyle w:val="NormalText"/>
        <w:rPr>
          <w:noProof/>
        </w:rPr>
        <w:sectPr w:rsidR="002A3239" w:rsidSect="0069088C">
          <w:headerReference w:type="even" r:id="rId11"/>
          <w:headerReference w:type="default" r:id="rId12"/>
          <w:footerReference w:type="default" r:id="rId13"/>
          <w:pgSz w:w="11906" w:h="16838" w:code="9"/>
          <w:pgMar w:top="238" w:right="1134" w:bottom="1134" w:left="1134" w:header="680" w:footer="680" w:gutter="0"/>
          <w:pgNumType w:fmt="lowerRoman"/>
          <w:cols w:space="708"/>
          <w:docGrid w:linePitch="360"/>
        </w:sectPr>
      </w:pPr>
      <w:r>
        <w:rPr>
          <w:noProof/>
        </w:rPr>
        <w:fldChar w:fldCharType="end"/>
      </w:r>
    </w:p>
    <w:p w14:paraId="7BF14D87" w14:textId="0FDA8D82" w:rsidR="00AB7041" w:rsidRDefault="00AB7041" w:rsidP="00AB7041">
      <w:pPr>
        <w:pStyle w:val="Heading1"/>
      </w:pPr>
      <w:bookmarkStart w:id="1" w:name="_Toc202453416"/>
      <w:r w:rsidRPr="00AB7041">
        <w:lastRenderedPageBreak/>
        <w:t xml:space="preserve">Getting </w:t>
      </w:r>
      <w:r>
        <w:t>s</w:t>
      </w:r>
      <w:r w:rsidRPr="00AB7041">
        <w:t xml:space="preserve">tarted – </w:t>
      </w:r>
      <w:r w:rsidR="00E81DB1" w:rsidRPr="00E81DB1">
        <w:t>Updates to credit and debit card payment processing</w:t>
      </w:r>
      <w:bookmarkEnd w:id="1"/>
    </w:p>
    <w:p w14:paraId="7773C74A" w14:textId="6063B5FE" w:rsidR="00E81DB1" w:rsidRDefault="00E81DB1" w:rsidP="00EE6519">
      <w:pPr>
        <w:pStyle w:val="NormalText"/>
      </w:pPr>
      <w:r w:rsidRPr="00E81DB1">
        <w:t>The A</w:t>
      </w:r>
      <w:r>
        <w:t xml:space="preserve">ustralian </w:t>
      </w:r>
      <w:r w:rsidRPr="00E81DB1">
        <w:t>P</w:t>
      </w:r>
      <w:r>
        <w:t>esticides and Veterinary Medicines Authority (AP</w:t>
      </w:r>
      <w:r w:rsidRPr="00E81DB1">
        <w:t>VMA</w:t>
      </w:r>
      <w:r>
        <w:t>)</w:t>
      </w:r>
      <w:r w:rsidRPr="00E81DB1">
        <w:t xml:space="preserve"> </w:t>
      </w:r>
      <w:r>
        <w:t>has</w:t>
      </w:r>
      <w:r w:rsidRPr="00E81DB1">
        <w:t xml:space="preserve"> upda</w:t>
      </w:r>
      <w:r>
        <w:t>ted</w:t>
      </w:r>
      <w:r w:rsidRPr="00E81DB1">
        <w:t xml:space="preserve"> the Online Services Portal to use the Reserve Bank of Australia’s new Government Easy Pay service for credit and debit card (card) payments.</w:t>
      </w:r>
      <w:r>
        <w:t xml:space="preserve"> </w:t>
      </w:r>
      <w:r w:rsidRPr="00E81DB1">
        <w:t xml:space="preserve">You will </w:t>
      </w:r>
      <w:r>
        <w:t xml:space="preserve">now </w:t>
      </w:r>
      <w:r w:rsidRPr="00E81DB1">
        <w:t>benefit from a modern card processing system implementing strong standards for authentication and up-to-date fraud prevention tools.</w:t>
      </w:r>
    </w:p>
    <w:p w14:paraId="1D1ACD48" w14:textId="5AC92C08" w:rsidR="00E81DB1" w:rsidRPr="00E81DB1" w:rsidRDefault="00E81DB1" w:rsidP="00EE6519">
      <w:pPr>
        <w:pStyle w:val="NormalText"/>
      </w:pPr>
      <w:r w:rsidRPr="00E81DB1">
        <w:t xml:space="preserve">The Online Services Portal will retain the </w:t>
      </w:r>
      <w:r>
        <w:t>pre-</w:t>
      </w:r>
      <w:r w:rsidRPr="00E81DB1">
        <w:t>existing</w:t>
      </w:r>
      <w:r w:rsidRPr="00E81DB1">
        <w:t xml:space="preserve"> payment journey where you are redirected to an external website to make your card payments. Your card details are securely processed on the ANZ Worldline system and are not handled directly lor stored by the APVMA.</w:t>
      </w:r>
    </w:p>
    <w:p w14:paraId="08A81348" w14:textId="365ADF49" w:rsidR="009903EB" w:rsidRDefault="00E81DB1" w:rsidP="00EE6519">
      <w:pPr>
        <w:pStyle w:val="NormalText"/>
      </w:pPr>
      <w:r w:rsidRPr="00E81DB1">
        <w:t xml:space="preserve">One thing that will change </w:t>
      </w:r>
      <w:r w:rsidR="009903EB">
        <w:t xml:space="preserve">from </w:t>
      </w:r>
      <w:r w:rsidR="009903EB" w:rsidRPr="00E81DB1">
        <w:t xml:space="preserve">the </w:t>
      </w:r>
      <w:r w:rsidR="009903EB">
        <w:t>pre-</w:t>
      </w:r>
      <w:r w:rsidR="009903EB" w:rsidRPr="00E81DB1">
        <w:t xml:space="preserve">existing payment journey </w:t>
      </w:r>
      <w:r w:rsidRPr="00E81DB1">
        <w:t xml:space="preserve">is the look and feel of the payment gateway. There will be a modernised and functional user interface, and you will navigate through </w:t>
      </w:r>
      <w:r w:rsidR="009903EB">
        <w:t xml:space="preserve">3 </w:t>
      </w:r>
      <w:r w:rsidRPr="00E81DB1">
        <w:t>steps to pay rather than paying on a single screen.</w:t>
      </w:r>
    </w:p>
    <w:p w14:paraId="2C47E82D" w14:textId="77777777" w:rsidR="009903EB" w:rsidRPr="0079167A" w:rsidRDefault="009903EB" w:rsidP="0079167A">
      <w:pPr>
        <w:pStyle w:val="Caption"/>
      </w:pPr>
      <w:r w:rsidRPr="0079167A">
        <w:t xml:space="preserve">Table </w:t>
      </w:r>
      <w:r w:rsidRPr="0079167A">
        <w:fldChar w:fldCharType="begin"/>
      </w:r>
      <w:r w:rsidRPr="0079167A">
        <w:instrText xml:space="preserve"> SEQ Table \* ARABIC </w:instrText>
      </w:r>
      <w:r w:rsidRPr="0079167A">
        <w:fldChar w:fldCharType="separate"/>
      </w:r>
      <w:r w:rsidRPr="0079167A">
        <w:t>1</w:t>
      </w:r>
      <w:r w:rsidRPr="0079167A">
        <w:fldChar w:fldCharType="end"/>
      </w:r>
      <w:r w:rsidRPr="0079167A">
        <w:t xml:space="preserve"> - Summary of changes to credit card payment processing on the Online Services Portal</w:t>
      </w:r>
    </w:p>
    <w:tbl>
      <w:tblPr>
        <w:tblStyle w:val="Plain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782"/>
        <w:gridCol w:w="4034"/>
      </w:tblGrid>
      <w:tr w:rsidR="009903EB" w:rsidRPr="003471BE" w14:paraId="3BC96248" w14:textId="77777777" w:rsidTr="00EE65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3" w:type="pct"/>
            <w:tcBorders>
              <w:top w:val="nil"/>
              <w:left w:val="nil"/>
              <w:bottom w:val="none" w:sz="0" w:space="0" w:color="auto"/>
              <w:right w:val="none" w:sz="0" w:space="0" w:color="auto"/>
            </w:tcBorders>
            <w:shd w:val="clear" w:color="auto" w:fill="auto"/>
          </w:tcPr>
          <w:p w14:paraId="66E8949E" w14:textId="77777777" w:rsidR="009903EB" w:rsidRPr="0079167A" w:rsidRDefault="009903EB" w:rsidP="009903EB">
            <w:pPr>
              <w:pStyle w:val="TableHead"/>
              <w:rPr>
                <w:b w:val="0"/>
                <w:bCs/>
              </w:rPr>
            </w:pPr>
          </w:p>
        </w:tc>
        <w:tc>
          <w:tcPr>
            <w:tcW w:w="1963" w:type="pct"/>
            <w:tcBorders>
              <w:bottom w:val="none" w:sz="0" w:space="0" w:color="auto"/>
            </w:tcBorders>
            <w:shd w:val="clear" w:color="auto" w:fill="005295"/>
          </w:tcPr>
          <w:p w14:paraId="039A4DA4" w14:textId="1F2FE013" w:rsidR="009903EB" w:rsidRPr="0079167A" w:rsidRDefault="009903EB" w:rsidP="009903EB">
            <w:pPr>
              <w:pStyle w:val="TableHead"/>
              <w:cnfStyle w:val="100000000000" w:firstRow="1" w:lastRow="0" w:firstColumn="0" w:lastColumn="0" w:oddVBand="0" w:evenVBand="0" w:oddHBand="0" w:evenHBand="0" w:firstRowFirstColumn="0" w:firstRowLastColumn="0" w:lastRowFirstColumn="0" w:lastRowLastColumn="0"/>
              <w:rPr>
                <w:b w:val="0"/>
                <w:bCs/>
              </w:rPr>
            </w:pPr>
            <w:r w:rsidRPr="0079167A">
              <w:rPr>
                <w:b w:val="0"/>
                <w:bCs/>
                <w:caps w:val="0"/>
              </w:rPr>
              <w:t>Legacy payment system (</w:t>
            </w:r>
            <w:proofErr w:type="spellStart"/>
            <w:r w:rsidRPr="0079167A">
              <w:rPr>
                <w:b w:val="0"/>
                <w:bCs/>
                <w:caps w:val="0"/>
              </w:rPr>
              <w:t>Bambora</w:t>
            </w:r>
            <w:proofErr w:type="spellEnd"/>
            <w:r w:rsidRPr="0079167A">
              <w:rPr>
                <w:b w:val="0"/>
                <w:bCs/>
                <w:caps w:val="0"/>
              </w:rPr>
              <w:t>)</w:t>
            </w:r>
          </w:p>
        </w:tc>
        <w:tc>
          <w:tcPr>
            <w:tcW w:w="2094" w:type="pct"/>
            <w:tcBorders>
              <w:bottom w:val="none" w:sz="0" w:space="0" w:color="auto"/>
            </w:tcBorders>
            <w:shd w:val="clear" w:color="auto" w:fill="005295"/>
          </w:tcPr>
          <w:p w14:paraId="51A130B1" w14:textId="063BB7C5" w:rsidR="009903EB" w:rsidRPr="0079167A" w:rsidRDefault="009903EB" w:rsidP="009903EB">
            <w:pPr>
              <w:pStyle w:val="TableHead"/>
              <w:cnfStyle w:val="100000000000" w:firstRow="1" w:lastRow="0" w:firstColumn="0" w:lastColumn="0" w:oddVBand="0" w:evenVBand="0" w:oddHBand="0" w:evenHBand="0" w:firstRowFirstColumn="0" w:firstRowLastColumn="0" w:lastRowFirstColumn="0" w:lastRowLastColumn="0"/>
              <w:rPr>
                <w:b w:val="0"/>
                <w:bCs/>
              </w:rPr>
            </w:pPr>
            <w:r w:rsidRPr="0079167A">
              <w:rPr>
                <w:b w:val="0"/>
                <w:bCs/>
                <w:caps w:val="0"/>
              </w:rPr>
              <w:t xml:space="preserve">New payment system </w:t>
            </w:r>
          </w:p>
          <w:p w14:paraId="2FD5E545" w14:textId="608C2B3E" w:rsidR="009903EB" w:rsidRPr="0079167A" w:rsidRDefault="009903EB" w:rsidP="009903EB">
            <w:pPr>
              <w:pStyle w:val="TableHead"/>
              <w:cnfStyle w:val="100000000000" w:firstRow="1" w:lastRow="0" w:firstColumn="0" w:lastColumn="0" w:oddVBand="0" w:evenVBand="0" w:oddHBand="0" w:evenHBand="0" w:firstRowFirstColumn="0" w:firstRowLastColumn="0" w:lastRowFirstColumn="0" w:lastRowLastColumn="0"/>
              <w:rPr>
                <w:b w:val="0"/>
                <w:bCs/>
              </w:rPr>
            </w:pPr>
            <w:r w:rsidRPr="0079167A">
              <w:rPr>
                <w:b w:val="0"/>
                <w:bCs/>
                <w:caps w:val="0"/>
              </w:rPr>
              <w:t>(ANZ Worldline)</w:t>
            </w:r>
          </w:p>
        </w:tc>
      </w:tr>
      <w:tr w:rsidR="00EE6519" w:rsidRPr="003471BE" w14:paraId="0845C9F4" w14:textId="77777777" w:rsidTr="00EE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pct"/>
            <w:shd w:val="clear" w:color="auto" w:fill="005295"/>
          </w:tcPr>
          <w:p w14:paraId="37CC324F" w14:textId="05665AB8" w:rsidR="009903EB" w:rsidRPr="0079167A" w:rsidRDefault="0079167A" w:rsidP="0079167A">
            <w:pPr>
              <w:pStyle w:val="TableHead"/>
              <w:rPr>
                <w:b w:val="0"/>
                <w:bCs/>
              </w:rPr>
            </w:pPr>
            <w:r w:rsidRPr="0079167A">
              <w:rPr>
                <w:b w:val="0"/>
                <w:bCs/>
                <w:caps w:val="0"/>
              </w:rPr>
              <w:t>Payment journey</w:t>
            </w:r>
          </w:p>
        </w:tc>
        <w:tc>
          <w:tcPr>
            <w:tcW w:w="1963" w:type="pct"/>
            <w:shd w:val="clear" w:color="auto" w:fill="auto"/>
          </w:tcPr>
          <w:p w14:paraId="2FB2C57C" w14:textId="77777777" w:rsidR="009903EB" w:rsidRPr="0079167A" w:rsidRDefault="009903EB" w:rsidP="0079167A">
            <w:pPr>
              <w:pStyle w:val="TableText"/>
              <w:cnfStyle w:val="000000100000" w:firstRow="0" w:lastRow="0" w:firstColumn="0" w:lastColumn="0" w:oddVBand="0" w:evenVBand="0" w:oddHBand="1" w:evenHBand="0" w:firstRowFirstColumn="0" w:firstRowLastColumn="0" w:lastRowFirstColumn="0" w:lastRowLastColumn="0"/>
            </w:pPr>
            <w:r w:rsidRPr="0079167A">
              <w:t xml:space="preserve">Transfer to </w:t>
            </w:r>
            <w:proofErr w:type="spellStart"/>
            <w:r w:rsidRPr="0079167A">
              <w:t>Bambora</w:t>
            </w:r>
            <w:proofErr w:type="spellEnd"/>
            <w:r w:rsidRPr="0079167A">
              <w:t xml:space="preserve"> checkout page</w:t>
            </w:r>
          </w:p>
        </w:tc>
        <w:tc>
          <w:tcPr>
            <w:tcW w:w="2094" w:type="pct"/>
            <w:shd w:val="clear" w:color="auto" w:fill="auto"/>
          </w:tcPr>
          <w:p w14:paraId="784EF624" w14:textId="77777777" w:rsidR="009903EB" w:rsidRPr="0079167A" w:rsidRDefault="009903EB" w:rsidP="0079167A">
            <w:pPr>
              <w:pStyle w:val="TableText"/>
              <w:cnfStyle w:val="000000100000" w:firstRow="0" w:lastRow="0" w:firstColumn="0" w:lastColumn="0" w:oddVBand="0" w:evenVBand="0" w:oddHBand="1" w:evenHBand="0" w:firstRowFirstColumn="0" w:firstRowLastColumn="0" w:lastRowFirstColumn="0" w:lastRowLastColumn="0"/>
            </w:pPr>
            <w:r w:rsidRPr="0079167A">
              <w:t>Transfer to ANZ Worldline checkout page</w:t>
            </w:r>
          </w:p>
        </w:tc>
      </w:tr>
      <w:tr w:rsidR="009903EB" w:rsidRPr="003471BE" w14:paraId="2A685EEF" w14:textId="77777777" w:rsidTr="00EE6519">
        <w:tc>
          <w:tcPr>
            <w:cnfStyle w:val="001000000000" w:firstRow="0" w:lastRow="0" w:firstColumn="1" w:lastColumn="0" w:oddVBand="0" w:evenVBand="0" w:oddHBand="0" w:evenHBand="0" w:firstRowFirstColumn="0" w:firstRowLastColumn="0" w:lastRowFirstColumn="0" w:lastRowLastColumn="0"/>
            <w:tcW w:w="943" w:type="pct"/>
            <w:tcBorders>
              <w:right w:val="none" w:sz="0" w:space="0" w:color="auto"/>
            </w:tcBorders>
            <w:shd w:val="clear" w:color="auto" w:fill="005295"/>
          </w:tcPr>
          <w:p w14:paraId="78614751" w14:textId="2369D52A" w:rsidR="009903EB" w:rsidRPr="0079167A" w:rsidRDefault="0079167A" w:rsidP="0079167A">
            <w:pPr>
              <w:pStyle w:val="TableHead"/>
              <w:rPr>
                <w:b w:val="0"/>
                <w:bCs/>
              </w:rPr>
            </w:pPr>
            <w:r w:rsidRPr="0079167A">
              <w:rPr>
                <w:b w:val="0"/>
                <w:bCs/>
                <w:caps w:val="0"/>
              </w:rPr>
              <w:t>Payment workflow</w:t>
            </w:r>
          </w:p>
        </w:tc>
        <w:tc>
          <w:tcPr>
            <w:tcW w:w="1963" w:type="pct"/>
          </w:tcPr>
          <w:p w14:paraId="46F9D8AD" w14:textId="77777777" w:rsidR="009903EB" w:rsidRPr="003471BE" w:rsidRDefault="009903EB" w:rsidP="0079167A">
            <w:pPr>
              <w:pStyle w:val="TableText"/>
              <w:cnfStyle w:val="000000000000" w:firstRow="0" w:lastRow="0" w:firstColumn="0" w:lastColumn="0" w:oddVBand="0" w:evenVBand="0" w:oddHBand="0" w:evenHBand="0" w:firstRowFirstColumn="0" w:firstRowLastColumn="0" w:lastRowFirstColumn="0" w:lastRowLastColumn="0"/>
            </w:pPr>
            <w:r w:rsidRPr="003471BE">
              <w:t>Single page flow:</w:t>
            </w:r>
          </w:p>
          <w:p w14:paraId="79FA2E33" w14:textId="77777777" w:rsidR="009903EB" w:rsidRPr="003471BE" w:rsidRDefault="009903EB" w:rsidP="0079167A">
            <w:pPr>
              <w:pStyle w:val="TableBullet"/>
              <w:cnfStyle w:val="000000000000" w:firstRow="0" w:lastRow="0" w:firstColumn="0" w:lastColumn="0" w:oddVBand="0" w:evenVBand="0" w:oddHBand="0" w:evenHBand="0" w:firstRowFirstColumn="0" w:firstRowLastColumn="0" w:lastRowFirstColumn="0" w:lastRowLastColumn="0"/>
            </w:pPr>
            <w:r w:rsidRPr="003471BE">
              <w:t>Enter card details. Automatically returned to Online Services Portal following successful payment.</w:t>
            </w:r>
          </w:p>
        </w:tc>
        <w:tc>
          <w:tcPr>
            <w:tcW w:w="2094" w:type="pct"/>
          </w:tcPr>
          <w:p w14:paraId="0DCB5410" w14:textId="77777777" w:rsidR="009903EB" w:rsidRPr="003471BE" w:rsidRDefault="009903EB" w:rsidP="0079167A">
            <w:pPr>
              <w:pStyle w:val="TableText"/>
              <w:cnfStyle w:val="000000000000" w:firstRow="0" w:lastRow="0" w:firstColumn="0" w:lastColumn="0" w:oddVBand="0" w:evenVBand="0" w:oddHBand="0" w:evenHBand="0" w:firstRowFirstColumn="0" w:firstRowLastColumn="0" w:lastRowFirstColumn="0" w:lastRowLastColumn="0"/>
            </w:pPr>
            <w:r w:rsidRPr="003471BE">
              <w:t>Three-page flow:</w:t>
            </w:r>
          </w:p>
          <w:p w14:paraId="4C64B544" w14:textId="77777777" w:rsidR="009903EB" w:rsidRPr="003471BE" w:rsidRDefault="009903EB" w:rsidP="0079167A">
            <w:pPr>
              <w:pStyle w:val="TableBullet"/>
              <w:cnfStyle w:val="000000000000" w:firstRow="0" w:lastRow="0" w:firstColumn="0" w:lastColumn="0" w:oddVBand="0" w:evenVBand="0" w:oddHBand="0" w:evenHBand="0" w:firstRowFirstColumn="0" w:firstRowLastColumn="0" w:lastRowFirstColumn="0" w:lastRowLastColumn="0"/>
            </w:pPr>
            <w:r>
              <w:t>Click to s</w:t>
            </w:r>
            <w:r w:rsidRPr="003471BE">
              <w:t>elect payment type</w:t>
            </w:r>
          </w:p>
          <w:p w14:paraId="4E8AC82B" w14:textId="77777777" w:rsidR="009903EB" w:rsidRPr="003471BE" w:rsidRDefault="009903EB" w:rsidP="0079167A">
            <w:pPr>
              <w:pStyle w:val="TableBullet"/>
              <w:cnfStyle w:val="000000000000" w:firstRow="0" w:lastRow="0" w:firstColumn="0" w:lastColumn="0" w:oddVBand="0" w:evenVBand="0" w:oddHBand="0" w:evenHBand="0" w:firstRowFirstColumn="0" w:firstRowLastColumn="0" w:lastRowFirstColumn="0" w:lastRowLastColumn="0"/>
            </w:pPr>
            <w:r w:rsidRPr="003471BE">
              <w:t>Enter card details</w:t>
            </w:r>
            <w:r>
              <w:t xml:space="preserve"> and pay</w:t>
            </w:r>
          </w:p>
          <w:p w14:paraId="3D2E0AFD" w14:textId="77777777" w:rsidR="009903EB" w:rsidRPr="003471BE" w:rsidRDefault="009903EB" w:rsidP="0079167A">
            <w:pPr>
              <w:pStyle w:val="TableBullet"/>
              <w:cnfStyle w:val="000000000000" w:firstRow="0" w:lastRow="0" w:firstColumn="0" w:lastColumn="0" w:oddVBand="0" w:evenVBand="0" w:oddHBand="0" w:evenHBand="0" w:firstRowFirstColumn="0" w:firstRowLastColumn="0" w:lastRowFirstColumn="0" w:lastRowLastColumn="0"/>
            </w:pPr>
            <w:r>
              <w:t>Wait, or click to c</w:t>
            </w:r>
            <w:r w:rsidRPr="003471BE">
              <w:t>ontinue back to Online Services Portal</w:t>
            </w:r>
          </w:p>
        </w:tc>
      </w:tr>
      <w:tr w:rsidR="00EE6519" w:rsidRPr="003471BE" w14:paraId="7D531D5E" w14:textId="77777777" w:rsidTr="00EE6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pct"/>
            <w:shd w:val="clear" w:color="auto" w:fill="005295"/>
          </w:tcPr>
          <w:p w14:paraId="010EB432" w14:textId="645DD0F2" w:rsidR="009903EB" w:rsidRPr="0079167A" w:rsidRDefault="0079167A" w:rsidP="0079167A">
            <w:pPr>
              <w:pStyle w:val="TableHead"/>
              <w:rPr>
                <w:b w:val="0"/>
                <w:bCs/>
              </w:rPr>
            </w:pPr>
            <w:r w:rsidRPr="0079167A">
              <w:rPr>
                <w:b w:val="0"/>
                <w:bCs/>
                <w:caps w:val="0"/>
              </w:rPr>
              <w:t>Look and feel</w:t>
            </w:r>
          </w:p>
        </w:tc>
        <w:tc>
          <w:tcPr>
            <w:tcW w:w="1963" w:type="pct"/>
            <w:shd w:val="clear" w:color="auto" w:fill="auto"/>
          </w:tcPr>
          <w:p w14:paraId="2C238C93" w14:textId="77777777" w:rsidR="009903EB" w:rsidRPr="003471BE" w:rsidRDefault="009903EB" w:rsidP="0079167A">
            <w:pPr>
              <w:pStyle w:val="TableText"/>
              <w:cnfStyle w:val="000000100000" w:firstRow="0" w:lastRow="0" w:firstColumn="0" w:lastColumn="0" w:oddVBand="0" w:evenVBand="0" w:oddHBand="1" w:evenHBand="0" w:firstRowFirstColumn="0" w:firstRowLastColumn="0" w:lastRowFirstColumn="0" w:lastRowLastColumn="0"/>
            </w:pPr>
            <w:r>
              <w:t xml:space="preserve">Legacy </w:t>
            </w:r>
          </w:p>
        </w:tc>
        <w:tc>
          <w:tcPr>
            <w:tcW w:w="2094" w:type="pct"/>
            <w:shd w:val="clear" w:color="auto" w:fill="auto"/>
          </w:tcPr>
          <w:p w14:paraId="6AD4B5E6" w14:textId="77777777" w:rsidR="009903EB" w:rsidRPr="003471BE" w:rsidRDefault="009903EB" w:rsidP="0079167A">
            <w:pPr>
              <w:pStyle w:val="TableText"/>
              <w:cnfStyle w:val="000000100000" w:firstRow="0" w:lastRow="0" w:firstColumn="0" w:lastColumn="0" w:oddVBand="0" w:evenVBand="0" w:oddHBand="1" w:evenHBand="0" w:firstRowFirstColumn="0" w:firstRowLastColumn="0" w:lastRowFirstColumn="0" w:lastRowLastColumn="0"/>
            </w:pPr>
            <w:r>
              <w:t>Modern</w:t>
            </w:r>
          </w:p>
        </w:tc>
      </w:tr>
    </w:tbl>
    <w:p w14:paraId="196FE67E" w14:textId="5FFBB987" w:rsidR="009903EB" w:rsidRDefault="00EE6519" w:rsidP="00EE6519">
      <w:pPr>
        <w:pStyle w:val="Heading2"/>
      </w:pPr>
      <w:bookmarkStart w:id="2" w:name="_Toc202453417"/>
      <w:r>
        <w:t>U</w:t>
      </w:r>
      <w:r w:rsidRPr="00EE6519">
        <w:t>sing the old payment gateway</w:t>
      </w:r>
      <w:bookmarkEnd w:id="2"/>
    </w:p>
    <w:p w14:paraId="1DA2EF67" w14:textId="6D96883D" w:rsidR="00EE6519" w:rsidRPr="00EE6519" w:rsidRDefault="00EE6519" w:rsidP="00EE6519">
      <w:pPr>
        <w:pStyle w:val="NormalText"/>
      </w:pPr>
      <w:r w:rsidRPr="00EE6519">
        <w:t xml:space="preserve">The legacy system processed your payments using the </w:t>
      </w:r>
      <w:proofErr w:type="spellStart"/>
      <w:r w:rsidRPr="00EE6519">
        <w:t>Bambora</w:t>
      </w:r>
      <w:proofErr w:type="spellEnd"/>
      <w:r w:rsidRPr="00EE6519">
        <w:t xml:space="preserve"> payment gateway. It is a single-step process to enter your card details and pay. Once you hit </w:t>
      </w:r>
      <w:r w:rsidRPr="00EE6519">
        <w:rPr>
          <w:color w:val="8C1E5C"/>
        </w:rPr>
        <w:t xml:space="preserve">‘Pay Now’ </w:t>
      </w:r>
      <w:r w:rsidRPr="00EE6519">
        <w:t>a successful payment will redirect you back to the Online Services Portal automatically.</w:t>
      </w:r>
    </w:p>
    <w:p w14:paraId="72E201DC" w14:textId="38A2BC56" w:rsidR="00EE6519" w:rsidRPr="00EE6519" w:rsidRDefault="00EE6519" w:rsidP="00EE6519">
      <w:pPr>
        <w:pStyle w:val="Caption"/>
      </w:pPr>
      <w:r w:rsidRPr="00EE6519">
        <w:t xml:space="preserve">Figure </w:t>
      </w:r>
      <w:r w:rsidRPr="00EE6519">
        <w:fldChar w:fldCharType="begin"/>
      </w:r>
      <w:r w:rsidRPr="00EE6519">
        <w:instrText xml:space="preserve"> SEQ Figure \* ARABIC </w:instrText>
      </w:r>
      <w:r w:rsidRPr="00EE6519">
        <w:fldChar w:fldCharType="separate"/>
      </w:r>
      <w:r w:rsidRPr="00EE6519">
        <w:t>1</w:t>
      </w:r>
      <w:r w:rsidRPr="00EE6519">
        <w:fldChar w:fldCharType="end"/>
      </w:r>
      <w:r>
        <w:t>:</w:t>
      </w:r>
      <w:r w:rsidRPr="00EE6519">
        <w:t xml:space="preserve"> Legacy payment gateway system provided by Worldline </w:t>
      </w:r>
      <w:proofErr w:type="spellStart"/>
      <w:r w:rsidRPr="00EE6519">
        <w:t>Bambora</w:t>
      </w:r>
      <w:proofErr w:type="spellEnd"/>
    </w:p>
    <w:p w14:paraId="03D3A236" w14:textId="39B50431" w:rsidR="009903EB" w:rsidRDefault="00EE6519" w:rsidP="00EE6519">
      <w:pPr>
        <w:pStyle w:val="NormalText"/>
        <w:spacing w:before="2640"/>
      </w:pPr>
      <w:r>
        <w:rPr>
          <w:noProof/>
        </w:rPr>
        <w:drawing>
          <wp:inline distT="0" distB="0" distL="0" distR="0" wp14:anchorId="706E99A6" wp14:editId="224C0DB7">
            <wp:extent cx="6117731" cy="1699260"/>
            <wp:effectExtent l="0" t="0" r="0" b="0"/>
            <wp:docPr id="999173967" name="Picture 3"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73967" name="Picture 3" descr="A close-up of a computer screen&#10;&#10;AI-generated content may b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b="20640"/>
                    <a:stretch/>
                  </pic:blipFill>
                  <pic:spPr bwMode="auto">
                    <a:xfrm>
                      <a:off x="0" y="0"/>
                      <a:ext cx="6131955" cy="1703211"/>
                    </a:xfrm>
                    <a:prstGeom prst="rect">
                      <a:avLst/>
                    </a:prstGeom>
                    <a:noFill/>
                    <a:ln>
                      <a:noFill/>
                    </a:ln>
                    <a:extLst>
                      <a:ext uri="{53640926-AAD7-44D8-BBD7-CCE9431645EC}">
                        <a14:shadowObscured xmlns:a14="http://schemas.microsoft.com/office/drawing/2010/main"/>
                      </a:ext>
                    </a:extLst>
                  </pic:spPr>
                </pic:pic>
              </a:graphicData>
            </a:graphic>
          </wp:inline>
        </w:drawing>
      </w:r>
    </w:p>
    <w:p w14:paraId="2702AA31" w14:textId="4B65BA98" w:rsidR="009903EB" w:rsidRDefault="00EE6519" w:rsidP="00EE6519">
      <w:pPr>
        <w:pStyle w:val="Heading2"/>
      </w:pPr>
      <w:bookmarkStart w:id="3" w:name="_Toc202453418"/>
      <w:r>
        <w:t>U</w:t>
      </w:r>
      <w:r w:rsidRPr="00EE6519">
        <w:t>sing the new payment gateway</w:t>
      </w:r>
      <w:bookmarkEnd w:id="3"/>
    </w:p>
    <w:p w14:paraId="26C0A894" w14:textId="35B06957" w:rsidR="00EE6519" w:rsidRDefault="00EE6519" w:rsidP="00EE6519">
      <w:pPr>
        <w:pStyle w:val="NormalText"/>
      </w:pPr>
      <w:r w:rsidRPr="00EE6519">
        <w:t xml:space="preserve">The new card payment system uses the ANZ Worldline payment gateway. This includes substantial improvements in payment processing and security. It has a three-step process to enter your details and pay. Once you have completed your payment you will need to click </w:t>
      </w:r>
      <w:r w:rsidRPr="00EE6519">
        <w:rPr>
          <w:color w:val="8C1E5C"/>
        </w:rPr>
        <w:t xml:space="preserve">‘continue’ </w:t>
      </w:r>
      <w:r w:rsidRPr="00EE6519">
        <w:t>to return to the Online Services Portal.</w:t>
      </w:r>
    </w:p>
    <w:p w14:paraId="02966987" w14:textId="6CC2D59E" w:rsidR="00EE6519" w:rsidRDefault="00EE6519" w:rsidP="00EE6519">
      <w:pPr>
        <w:pStyle w:val="Heading3"/>
      </w:pPr>
      <w:bookmarkStart w:id="4" w:name="_Toc202453419"/>
      <w:r>
        <w:lastRenderedPageBreak/>
        <w:t>Pay in</w:t>
      </w:r>
      <w:r w:rsidRPr="00EE6519">
        <w:t xml:space="preserve"> </w:t>
      </w:r>
      <w:r>
        <w:t>3</w:t>
      </w:r>
      <w:r w:rsidRPr="00EE6519">
        <w:t xml:space="preserve"> </w:t>
      </w:r>
      <w:r>
        <w:t xml:space="preserve">simple </w:t>
      </w:r>
      <w:r w:rsidRPr="00EE6519">
        <w:t>steps</w:t>
      </w:r>
      <w:bookmarkEnd w:id="4"/>
    </w:p>
    <w:p w14:paraId="429A68DC" w14:textId="08812D5C" w:rsidR="00EE6519" w:rsidRPr="00EE6519" w:rsidRDefault="00EE6519" w:rsidP="00EE6519">
      <w:pPr>
        <w:pStyle w:val="Caption"/>
      </w:pPr>
      <w:r w:rsidRPr="00EE6519">
        <w:t xml:space="preserve">Step one </w:t>
      </w:r>
      <w:r>
        <w:t>–</w:t>
      </w:r>
      <w:r w:rsidRPr="00EE6519">
        <w:t xml:space="preserve"> select how you would like to pay</w:t>
      </w:r>
    </w:p>
    <w:p w14:paraId="108CF9A0" w14:textId="795BF9F5" w:rsidR="00EE6519" w:rsidRPr="00EE6519" w:rsidRDefault="00EE6519" w:rsidP="00EE6519">
      <w:pPr>
        <w:pStyle w:val="NormalText"/>
        <w:spacing w:before="6000"/>
      </w:pPr>
      <w:r>
        <w:rPr>
          <w:noProof/>
        </w:rPr>
        <w:drawing>
          <wp:inline distT="0" distB="0" distL="0" distR="0" wp14:anchorId="58911773" wp14:editId="1CA090D5">
            <wp:extent cx="6035040" cy="3940227"/>
            <wp:effectExtent l="0" t="0" r="3810" b="3175"/>
            <wp:docPr id="789820316"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20316" name="Picture 3" descr="A screenshot of a compu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035040" cy="3940227"/>
                    </a:xfrm>
                    <a:prstGeom prst="rect">
                      <a:avLst/>
                    </a:prstGeom>
                  </pic:spPr>
                </pic:pic>
              </a:graphicData>
            </a:graphic>
          </wp:inline>
        </w:drawing>
      </w:r>
    </w:p>
    <w:p w14:paraId="731A11EB" w14:textId="5EB5D320" w:rsidR="00D9342D" w:rsidRDefault="00D9342D" w:rsidP="00D9342D">
      <w:pPr>
        <w:pStyle w:val="Caption"/>
      </w:pPr>
      <w:r w:rsidRPr="00D9342D">
        <w:t xml:space="preserve">Step </w:t>
      </w:r>
      <w:r>
        <w:t>2</w:t>
      </w:r>
      <w:r w:rsidRPr="00D9342D">
        <w:t xml:space="preserve"> </w:t>
      </w:r>
      <w:r>
        <w:t>– e</w:t>
      </w:r>
      <w:r w:rsidRPr="00D9342D">
        <w:t>nter card details</w:t>
      </w:r>
    </w:p>
    <w:p w14:paraId="58D4597D" w14:textId="3793B0E2" w:rsidR="00D9342D" w:rsidRDefault="00D9342D" w:rsidP="00D9342D">
      <w:pPr>
        <w:pStyle w:val="NormalText"/>
        <w:spacing w:before="6120"/>
      </w:pPr>
      <w:r>
        <w:rPr>
          <w:noProof/>
        </w:rPr>
        <w:drawing>
          <wp:inline distT="0" distB="0" distL="0" distR="0" wp14:anchorId="37F5B1AF" wp14:editId="1250830C">
            <wp:extent cx="6035040" cy="3910139"/>
            <wp:effectExtent l="0" t="0" r="3810" b="0"/>
            <wp:docPr id="761214916"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14916" name="Picture 2" descr="A screenshot of a compu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6045503" cy="3916918"/>
                    </a:xfrm>
                    <a:prstGeom prst="rect">
                      <a:avLst/>
                    </a:prstGeom>
                  </pic:spPr>
                </pic:pic>
              </a:graphicData>
            </a:graphic>
          </wp:inline>
        </w:drawing>
      </w:r>
    </w:p>
    <w:p w14:paraId="504B50A8" w14:textId="00714F04" w:rsidR="00D9342D" w:rsidRPr="00D9342D" w:rsidRDefault="00D9342D" w:rsidP="00D9342D">
      <w:pPr>
        <w:pStyle w:val="Caption"/>
      </w:pPr>
      <w:r w:rsidRPr="00D9342D">
        <w:lastRenderedPageBreak/>
        <w:t xml:space="preserve">Step </w:t>
      </w:r>
      <w:r>
        <w:t>3</w:t>
      </w:r>
      <w:r w:rsidRPr="00D9342D">
        <w:t xml:space="preserve"> </w:t>
      </w:r>
      <w:r>
        <w:t>–</w:t>
      </w:r>
      <w:r w:rsidRPr="00D9342D">
        <w:t xml:space="preserve"> </w:t>
      </w:r>
      <w:r>
        <w:t>w</w:t>
      </w:r>
      <w:r w:rsidRPr="00D9342D">
        <w:t xml:space="preserve">ait, or click </w:t>
      </w:r>
      <w:r w:rsidRPr="00D9342D">
        <w:rPr>
          <w:color w:val="8C1E5C"/>
        </w:rPr>
        <w:t>'Continue'</w:t>
      </w:r>
      <w:r w:rsidRPr="00D9342D">
        <w:t xml:space="preserve"> to be returned to the Online Services Portal</w:t>
      </w:r>
    </w:p>
    <w:p w14:paraId="7DB3CFE6" w14:textId="05484641" w:rsidR="00EE6519" w:rsidRDefault="00D9342D" w:rsidP="00D9342D">
      <w:pPr>
        <w:pStyle w:val="NormalText"/>
        <w:spacing w:before="4200"/>
      </w:pPr>
      <w:r>
        <w:rPr>
          <w:noProof/>
        </w:rPr>
        <w:drawing>
          <wp:inline distT="0" distB="0" distL="0" distR="0" wp14:anchorId="40BBD7E5" wp14:editId="54D98711">
            <wp:extent cx="5731510" cy="2722880"/>
            <wp:effectExtent l="0" t="0" r="2540" b="1270"/>
            <wp:docPr id="73852318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23186" name="Picture 1" descr="A screenshot of a computer screen&#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731510" cy="2722880"/>
                    </a:xfrm>
                    <a:prstGeom prst="rect">
                      <a:avLst/>
                    </a:prstGeom>
                  </pic:spPr>
                </pic:pic>
              </a:graphicData>
            </a:graphic>
          </wp:inline>
        </w:drawing>
      </w:r>
    </w:p>
    <w:p w14:paraId="3A441701" w14:textId="77777777" w:rsidR="00D9342D" w:rsidRDefault="00D9342D" w:rsidP="00D9342D">
      <w:pPr>
        <w:pStyle w:val="Heading2"/>
      </w:pPr>
      <w:bookmarkStart w:id="5" w:name="_Toc202453420"/>
      <w:r>
        <w:t>Contact</w:t>
      </w:r>
      <w:bookmarkEnd w:id="5"/>
    </w:p>
    <w:p w14:paraId="2906DA45" w14:textId="2E6F2347" w:rsidR="00D9342D" w:rsidRPr="00A461C8" w:rsidRDefault="00D9342D" w:rsidP="00D9342D">
      <w:pPr>
        <w:pStyle w:val="NormalText"/>
      </w:pPr>
      <w:r>
        <w:t xml:space="preserve">If you have any questions about the payment </w:t>
      </w:r>
      <w:r>
        <w:t>gateway or need assistance,</w:t>
      </w:r>
      <w:r>
        <w:t xml:space="preserve"> please email </w:t>
      </w:r>
      <w:hyperlink r:id="rId18" w:history="1">
        <w:r w:rsidRPr="00B902BF">
          <w:rPr>
            <w:rStyle w:val="Hyperlink"/>
          </w:rPr>
          <w:t>enquiries@apvma.gov.au</w:t>
        </w:r>
      </w:hyperlink>
      <w:r>
        <w:t>.</w:t>
      </w:r>
    </w:p>
    <w:sectPr w:rsidR="00D9342D" w:rsidRPr="00A461C8" w:rsidSect="00D9342D">
      <w:headerReference w:type="even" r:id="rId19"/>
      <w:headerReference w:type="default" r:id="rId20"/>
      <w:pgSz w:w="11906" w:h="16838" w:code="9"/>
      <w:pgMar w:top="238" w:right="1134" w:bottom="1134" w:left="1134"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37BF" w14:textId="77777777" w:rsidR="00F73DAB" w:rsidRDefault="00F73DAB">
      <w:r>
        <w:separator/>
      </w:r>
    </w:p>
    <w:p w14:paraId="53395AE6" w14:textId="77777777" w:rsidR="00F73DAB" w:rsidRDefault="00F73DAB"/>
    <w:p w14:paraId="5A611274" w14:textId="77777777" w:rsidR="00F73DAB" w:rsidRDefault="00F73DAB"/>
  </w:endnote>
  <w:endnote w:type="continuationSeparator" w:id="0">
    <w:p w14:paraId="0225EC34" w14:textId="77777777" w:rsidR="00F73DAB" w:rsidRDefault="00F73DAB">
      <w:r>
        <w:continuationSeparator/>
      </w:r>
    </w:p>
    <w:p w14:paraId="03E32D55" w14:textId="77777777" w:rsidR="00F73DAB" w:rsidRDefault="00F73DAB"/>
    <w:p w14:paraId="3D4ED053" w14:textId="77777777" w:rsidR="00F73DAB" w:rsidRDefault="00F7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4C6D" w14:textId="77777777" w:rsidR="00F73DAB" w:rsidRDefault="00F73DAB">
      <w:r>
        <w:separator/>
      </w:r>
    </w:p>
  </w:footnote>
  <w:footnote w:type="continuationSeparator" w:id="0">
    <w:p w14:paraId="7BCA7A68" w14:textId="77777777" w:rsidR="00F73DAB" w:rsidRDefault="00F73DAB">
      <w:pPr>
        <w:spacing w:line="180" w:lineRule="exact"/>
      </w:pPr>
      <w:r>
        <w:continuationSeparator/>
      </w:r>
    </w:p>
    <w:p w14:paraId="21C6E8CF" w14:textId="77777777" w:rsidR="00F73DAB" w:rsidRDefault="00F73DAB"/>
    <w:p w14:paraId="66DE1EF2" w14:textId="77777777" w:rsidR="00F73DAB" w:rsidRDefault="00F73DAB"/>
  </w:footnote>
  <w:footnote w:type="continuationNotice" w:id="1">
    <w:p w14:paraId="69D4E988" w14:textId="77777777" w:rsidR="00F73DAB" w:rsidRDefault="00F73DAB"/>
    <w:p w14:paraId="280FF8F9" w14:textId="77777777" w:rsidR="00F73DAB" w:rsidRDefault="00F73DAB"/>
    <w:p w14:paraId="07CF37E3" w14:textId="77777777" w:rsidR="00F73DAB" w:rsidRDefault="00F73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61E4AE32" w:rsidR="00D23D6A" w:rsidRPr="00036C09" w:rsidRDefault="00D23D6A" w:rsidP="00036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7466" w14:textId="77777777" w:rsidR="001E25F2" w:rsidRPr="00036C09" w:rsidRDefault="001E25F2" w:rsidP="00036C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D8" w14:textId="2C0052F5" w:rsidR="00D23D6A" w:rsidRPr="00D9342D" w:rsidRDefault="00D23D6A" w:rsidP="00D93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341AEB"/>
    <w:multiLevelType w:val="hybridMultilevel"/>
    <w:tmpl w:val="8850F3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6A587D2B"/>
    <w:multiLevelType w:val="hybridMultilevel"/>
    <w:tmpl w:val="BA0013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979915991">
    <w:abstractNumId w:val="20"/>
  </w:num>
  <w:num w:numId="2" w16cid:durableId="1250195658">
    <w:abstractNumId w:val="20"/>
  </w:num>
  <w:num w:numId="3" w16cid:durableId="970331678">
    <w:abstractNumId w:val="17"/>
  </w:num>
  <w:num w:numId="4" w16cid:durableId="1139961449">
    <w:abstractNumId w:val="18"/>
  </w:num>
  <w:num w:numId="5" w16cid:durableId="1287195516">
    <w:abstractNumId w:val="17"/>
  </w:num>
  <w:num w:numId="6" w16cid:durableId="595360487">
    <w:abstractNumId w:val="21"/>
  </w:num>
  <w:num w:numId="7" w16cid:durableId="168184807">
    <w:abstractNumId w:val="19"/>
  </w:num>
  <w:num w:numId="8" w16cid:durableId="335302058">
    <w:abstractNumId w:val="12"/>
  </w:num>
  <w:num w:numId="9" w16cid:durableId="1151363089">
    <w:abstractNumId w:val="10"/>
  </w:num>
  <w:num w:numId="10" w16cid:durableId="1905488232">
    <w:abstractNumId w:val="14"/>
  </w:num>
  <w:num w:numId="11" w16cid:durableId="1458797406">
    <w:abstractNumId w:val="16"/>
  </w:num>
  <w:num w:numId="12" w16cid:durableId="1774547164">
    <w:abstractNumId w:val="21"/>
  </w:num>
  <w:num w:numId="13" w16cid:durableId="211576392">
    <w:abstractNumId w:val="21"/>
  </w:num>
  <w:num w:numId="14" w16cid:durableId="741297798">
    <w:abstractNumId w:val="17"/>
  </w:num>
  <w:num w:numId="15" w16cid:durableId="1971395528">
    <w:abstractNumId w:val="12"/>
  </w:num>
  <w:num w:numId="16" w16cid:durableId="491216777">
    <w:abstractNumId w:val="18"/>
  </w:num>
  <w:num w:numId="17" w16cid:durableId="1143350196">
    <w:abstractNumId w:val="10"/>
  </w:num>
  <w:num w:numId="18" w16cid:durableId="507911398">
    <w:abstractNumId w:val="14"/>
  </w:num>
  <w:num w:numId="19" w16cid:durableId="195391456">
    <w:abstractNumId w:val="20"/>
  </w:num>
  <w:num w:numId="20" w16cid:durableId="209610050">
    <w:abstractNumId w:val="24"/>
  </w:num>
  <w:num w:numId="21" w16cid:durableId="6300715">
    <w:abstractNumId w:val="13"/>
  </w:num>
  <w:num w:numId="22" w16cid:durableId="999503747">
    <w:abstractNumId w:val="21"/>
  </w:num>
  <w:num w:numId="23" w16cid:durableId="2136679703">
    <w:abstractNumId w:val="21"/>
  </w:num>
  <w:num w:numId="24" w16cid:durableId="1673606266">
    <w:abstractNumId w:val="21"/>
  </w:num>
  <w:num w:numId="25" w16cid:durableId="1612786442">
    <w:abstractNumId w:val="21"/>
  </w:num>
  <w:num w:numId="26" w16cid:durableId="1634365545">
    <w:abstractNumId w:val="21"/>
  </w:num>
  <w:num w:numId="27" w16cid:durableId="10427515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5"/>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5"/>
  </w:num>
  <w:num w:numId="40" w16cid:durableId="646785712">
    <w:abstractNumId w:val="22"/>
  </w:num>
  <w:num w:numId="41" w16cid:durableId="2065176762">
    <w:abstractNumId w:val="11"/>
  </w:num>
  <w:num w:numId="42" w16cid:durableId="18333318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36C09"/>
    <w:rsid w:val="00067828"/>
    <w:rsid w:val="000765C1"/>
    <w:rsid w:val="00080617"/>
    <w:rsid w:val="0008350E"/>
    <w:rsid w:val="00096163"/>
    <w:rsid w:val="000A410D"/>
    <w:rsid w:val="000A7EF6"/>
    <w:rsid w:val="000C2C1B"/>
    <w:rsid w:val="000C68A1"/>
    <w:rsid w:val="000D045A"/>
    <w:rsid w:val="000D49ED"/>
    <w:rsid w:val="000D73C1"/>
    <w:rsid w:val="000E372E"/>
    <w:rsid w:val="00120E00"/>
    <w:rsid w:val="001534D8"/>
    <w:rsid w:val="00167BB3"/>
    <w:rsid w:val="00174E15"/>
    <w:rsid w:val="00184190"/>
    <w:rsid w:val="00192AE1"/>
    <w:rsid w:val="00193533"/>
    <w:rsid w:val="001A0F5E"/>
    <w:rsid w:val="001B18DE"/>
    <w:rsid w:val="001B335C"/>
    <w:rsid w:val="001C6607"/>
    <w:rsid w:val="001D3257"/>
    <w:rsid w:val="001E25F2"/>
    <w:rsid w:val="001F1251"/>
    <w:rsid w:val="00206F56"/>
    <w:rsid w:val="0025418F"/>
    <w:rsid w:val="0026493F"/>
    <w:rsid w:val="00272DCD"/>
    <w:rsid w:val="00280720"/>
    <w:rsid w:val="00282A32"/>
    <w:rsid w:val="00293447"/>
    <w:rsid w:val="002A3239"/>
    <w:rsid w:val="002A394F"/>
    <w:rsid w:val="002A69DD"/>
    <w:rsid w:val="002B5703"/>
    <w:rsid w:val="002C1082"/>
    <w:rsid w:val="002D7779"/>
    <w:rsid w:val="002E20AC"/>
    <w:rsid w:val="002F1FAB"/>
    <w:rsid w:val="002F4591"/>
    <w:rsid w:val="0030255E"/>
    <w:rsid w:val="0031487D"/>
    <w:rsid w:val="00346134"/>
    <w:rsid w:val="00347883"/>
    <w:rsid w:val="003506C5"/>
    <w:rsid w:val="00381131"/>
    <w:rsid w:val="00381544"/>
    <w:rsid w:val="00393E2F"/>
    <w:rsid w:val="003A558F"/>
    <w:rsid w:val="003A72B5"/>
    <w:rsid w:val="003B37B1"/>
    <w:rsid w:val="003C0891"/>
    <w:rsid w:val="003D09F9"/>
    <w:rsid w:val="004029B3"/>
    <w:rsid w:val="004070E1"/>
    <w:rsid w:val="0041228F"/>
    <w:rsid w:val="00412703"/>
    <w:rsid w:val="0041559F"/>
    <w:rsid w:val="00442B84"/>
    <w:rsid w:val="00444045"/>
    <w:rsid w:val="00444FF1"/>
    <w:rsid w:val="004616C8"/>
    <w:rsid w:val="00461D26"/>
    <w:rsid w:val="00470304"/>
    <w:rsid w:val="00473575"/>
    <w:rsid w:val="00474010"/>
    <w:rsid w:val="0049603E"/>
    <w:rsid w:val="004A28A4"/>
    <w:rsid w:val="004D2C4F"/>
    <w:rsid w:val="004E7228"/>
    <w:rsid w:val="005064D5"/>
    <w:rsid w:val="00515F30"/>
    <w:rsid w:val="00520963"/>
    <w:rsid w:val="00522E27"/>
    <w:rsid w:val="00524903"/>
    <w:rsid w:val="005527B9"/>
    <w:rsid w:val="00556804"/>
    <w:rsid w:val="00560E83"/>
    <w:rsid w:val="00563297"/>
    <w:rsid w:val="00566590"/>
    <w:rsid w:val="00572131"/>
    <w:rsid w:val="00572D44"/>
    <w:rsid w:val="00573345"/>
    <w:rsid w:val="005D1A47"/>
    <w:rsid w:val="005E486E"/>
    <w:rsid w:val="006110AE"/>
    <w:rsid w:val="0062466B"/>
    <w:rsid w:val="0062653F"/>
    <w:rsid w:val="00643052"/>
    <w:rsid w:val="0064579C"/>
    <w:rsid w:val="00657A28"/>
    <w:rsid w:val="00666010"/>
    <w:rsid w:val="0069088C"/>
    <w:rsid w:val="006C08BC"/>
    <w:rsid w:val="006D62AA"/>
    <w:rsid w:val="006E2753"/>
    <w:rsid w:val="006E33F7"/>
    <w:rsid w:val="00700C27"/>
    <w:rsid w:val="00702B7D"/>
    <w:rsid w:val="00726216"/>
    <w:rsid w:val="007275CF"/>
    <w:rsid w:val="00734103"/>
    <w:rsid w:val="00770B96"/>
    <w:rsid w:val="0079167A"/>
    <w:rsid w:val="00794B71"/>
    <w:rsid w:val="0079772A"/>
    <w:rsid w:val="007A27EB"/>
    <w:rsid w:val="007A56DA"/>
    <w:rsid w:val="007D2FA8"/>
    <w:rsid w:val="007E13F3"/>
    <w:rsid w:val="007E420B"/>
    <w:rsid w:val="007F0146"/>
    <w:rsid w:val="008231F5"/>
    <w:rsid w:val="00832D38"/>
    <w:rsid w:val="008362F6"/>
    <w:rsid w:val="008366A3"/>
    <w:rsid w:val="00847050"/>
    <w:rsid w:val="008545E1"/>
    <w:rsid w:val="00860B66"/>
    <w:rsid w:val="00862E63"/>
    <w:rsid w:val="00892292"/>
    <w:rsid w:val="008B3FC2"/>
    <w:rsid w:val="008B550C"/>
    <w:rsid w:val="008C5C0D"/>
    <w:rsid w:val="008C6B9D"/>
    <w:rsid w:val="008D42AA"/>
    <w:rsid w:val="008E4ED4"/>
    <w:rsid w:val="008F14C4"/>
    <w:rsid w:val="008F3015"/>
    <w:rsid w:val="009534B5"/>
    <w:rsid w:val="009560C5"/>
    <w:rsid w:val="0095647E"/>
    <w:rsid w:val="009610F2"/>
    <w:rsid w:val="00972247"/>
    <w:rsid w:val="00985404"/>
    <w:rsid w:val="009903EB"/>
    <w:rsid w:val="009968FF"/>
    <w:rsid w:val="009A4448"/>
    <w:rsid w:val="009A6D14"/>
    <w:rsid w:val="009A7614"/>
    <w:rsid w:val="009B6ACE"/>
    <w:rsid w:val="009D0E59"/>
    <w:rsid w:val="009D452E"/>
    <w:rsid w:val="009E2AD6"/>
    <w:rsid w:val="009F16FF"/>
    <w:rsid w:val="00A02D0E"/>
    <w:rsid w:val="00A07866"/>
    <w:rsid w:val="00A16623"/>
    <w:rsid w:val="00A23729"/>
    <w:rsid w:val="00A2448D"/>
    <w:rsid w:val="00A35765"/>
    <w:rsid w:val="00A6283D"/>
    <w:rsid w:val="00A66116"/>
    <w:rsid w:val="00A66656"/>
    <w:rsid w:val="00A77CE7"/>
    <w:rsid w:val="00A87101"/>
    <w:rsid w:val="00AB659C"/>
    <w:rsid w:val="00AB7041"/>
    <w:rsid w:val="00AD17E8"/>
    <w:rsid w:val="00AF232A"/>
    <w:rsid w:val="00B05454"/>
    <w:rsid w:val="00B11760"/>
    <w:rsid w:val="00B15647"/>
    <w:rsid w:val="00B27675"/>
    <w:rsid w:val="00B35602"/>
    <w:rsid w:val="00B4462E"/>
    <w:rsid w:val="00B50074"/>
    <w:rsid w:val="00B54895"/>
    <w:rsid w:val="00BC5423"/>
    <w:rsid w:val="00BD021C"/>
    <w:rsid w:val="00BD2289"/>
    <w:rsid w:val="00BD55DB"/>
    <w:rsid w:val="00BD70E8"/>
    <w:rsid w:val="00BE797A"/>
    <w:rsid w:val="00BF088A"/>
    <w:rsid w:val="00C249EA"/>
    <w:rsid w:val="00C36537"/>
    <w:rsid w:val="00C4231C"/>
    <w:rsid w:val="00C501FF"/>
    <w:rsid w:val="00C53C96"/>
    <w:rsid w:val="00C7028F"/>
    <w:rsid w:val="00C73D24"/>
    <w:rsid w:val="00C95323"/>
    <w:rsid w:val="00C9656F"/>
    <w:rsid w:val="00C96BD2"/>
    <w:rsid w:val="00CA17DC"/>
    <w:rsid w:val="00CA44DB"/>
    <w:rsid w:val="00CB5E74"/>
    <w:rsid w:val="00CC6A6F"/>
    <w:rsid w:val="00CD6650"/>
    <w:rsid w:val="00CE456A"/>
    <w:rsid w:val="00CE7F45"/>
    <w:rsid w:val="00CF0504"/>
    <w:rsid w:val="00D10F59"/>
    <w:rsid w:val="00D23D6A"/>
    <w:rsid w:val="00D3519B"/>
    <w:rsid w:val="00D4143D"/>
    <w:rsid w:val="00D505AD"/>
    <w:rsid w:val="00D52AC9"/>
    <w:rsid w:val="00D67788"/>
    <w:rsid w:val="00D86C44"/>
    <w:rsid w:val="00D874AA"/>
    <w:rsid w:val="00D9318E"/>
    <w:rsid w:val="00D9342D"/>
    <w:rsid w:val="00D942C8"/>
    <w:rsid w:val="00DA6A7B"/>
    <w:rsid w:val="00DB3BF5"/>
    <w:rsid w:val="00DB3C9E"/>
    <w:rsid w:val="00DC0AD7"/>
    <w:rsid w:val="00DD08E2"/>
    <w:rsid w:val="00E30533"/>
    <w:rsid w:val="00E318E3"/>
    <w:rsid w:val="00E33D53"/>
    <w:rsid w:val="00E35DE7"/>
    <w:rsid w:val="00E41FED"/>
    <w:rsid w:val="00E70840"/>
    <w:rsid w:val="00E763CF"/>
    <w:rsid w:val="00E81DB1"/>
    <w:rsid w:val="00E9433C"/>
    <w:rsid w:val="00E97570"/>
    <w:rsid w:val="00EA511C"/>
    <w:rsid w:val="00EE0863"/>
    <w:rsid w:val="00EE297E"/>
    <w:rsid w:val="00EE5B09"/>
    <w:rsid w:val="00EE6519"/>
    <w:rsid w:val="00F0383D"/>
    <w:rsid w:val="00F30BDA"/>
    <w:rsid w:val="00F51AA7"/>
    <w:rsid w:val="00F56C76"/>
    <w:rsid w:val="00F6733A"/>
    <w:rsid w:val="00F73DAB"/>
    <w:rsid w:val="00F916A0"/>
    <w:rsid w:val="00F92A4A"/>
    <w:rsid w:val="00FB0015"/>
    <w:rsid w:val="00FB07D9"/>
    <w:rsid w:val="00FC09D2"/>
    <w:rsid w:val="00FC198C"/>
    <w:rsid w:val="00FC2D23"/>
    <w:rsid w:val="00FD344F"/>
    <w:rsid w:val="00FE54CA"/>
    <w:rsid w:val="00FE58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7A56DA"/>
    <w:pPr>
      <w:keepNext/>
      <w:keepLines/>
      <w:pageBreakBefore/>
      <w:spacing w:before="0" w:after="80" w:line="360" w:lineRule="exact"/>
      <w:outlineLvl w:val="0"/>
    </w:pPr>
    <w:rPr>
      <w:rFonts w:ascii="Franklin Gothic Medium" w:hAnsi="Franklin Gothic Medium"/>
      <w:color w:val="005295"/>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EE6519"/>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1E25F2"/>
    <w:pPr>
      <w:pBdr>
        <w:top w:val="single" w:sz="4" w:space="1" w:color="auto"/>
      </w:pBdr>
      <w:tabs>
        <w:tab w:val="right" w:pos="9639"/>
      </w:tabs>
      <w:spacing w:before="180" w:after="60"/>
      <w:ind w:left="454" w:hanging="454"/>
    </w:pPr>
    <w:rPr>
      <w:rFonts w:ascii="Franklin Gothic Medium" w:hAnsi="Franklin Gothic Medium"/>
      <w:bCs/>
      <w:noProof/>
      <w:color w:val="005295"/>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036C09"/>
    <w:pPr>
      <w:spacing w:before="40" w:after="40" w:line="20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35"/>
    <w:qFormat/>
    <w:rsid w:val="007A56DA"/>
    <w:pPr>
      <w:keepNext/>
      <w:keepLines/>
      <w:tabs>
        <w:tab w:val="left" w:pos="907"/>
      </w:tabs>
      <w:spacing w:before="240" w:after="120" w:line="280" w:lineRule="exact"/>
    </w:pPr>
    <w:rPr>
      <w:rFonts w:ascii="Franklin Gothic Medium" w:hAnsi="Franklin Gothic Medium"/>
      <w:color w:val="005295"/>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7A56DA"/>
    <w:rPr>
      <w:rFonts w:ascii="Franklin Gothic Medium" w:hAnsi="Franklin Gothic Medium"/>
      <w:color w:val="005295"/>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character" w:styleId="UnresolvedMention">
    <w:name w:val="Unresolved Mention"/>
    <w:basedOn w:val="DefaultParagraphFont"/>
    <w:uiPriority w:val="99"/>
    <w:semiHidden/>
    <w:unhideWhenUsed/>
    <w:rsid w:val="003D09F9"/>
    <w:rPr>
      <w:color w:val="605E5C"/>
      <w:shd w:val="clear" w:color="auto" w:fill="E1DFDD"/>
    </w:rPr>
  </w:style>
  <w:style w:type="paragraph" w:styleId="ListParagraph">
    <w:name w:val="List Paragraph"/>
    <w:basedOn w:val="Normal"/>
    <w:uiPriority w:val="34"/>
    <w:qFormat/>
    <w:rsid w:val="009903EB"/>
    <w:pPr>
      <w:spacing w:before="0" w:after="160" w:line="278" w:lineRule="auto"/>
      <w:ind w:left="720"/>
      <w:contextualSpacing/>
    </w:pPr>
    <w:rPr>
      <w:rFonts w:asciiTheme="minorHAnsi" w:eastAsiaTheme="minorHAnsi" w:hAnsiTheme="minorHAnsi" w:cstheme="minorBidi"/>
      <w:color w:val="auto"/>
      <w:kern w:val="2"/>
      <w:sz w:val="24"/>
      <w14:ligatures w14:val="standardContextual"/>
    </w:rPr>
  </w:style>
  <w:style w:type="table" w:styleId="PlainTable3">
    <w:name w:val="Plain Table 3"/>
    <w:basedOn w:val="TableNormal"/>
    <w:uiPriority w:val="43"/>
    <w:rsid w:val="009903EB"/>
    <w:rPr>
      <w:rFonts w:asciiTheme="minorHAnsi" w:eastAsiaTheme="minorHAnsi" w:hAnsiTheme="minorHAnsi" w:cstheme="minorBidi"/>
      <w:kern w:val="2"/>
      <w:sz w:val="24"/>
      <w:szCs w:val="24"/>
      <w:lang w:eastAsia="en-US"/>
      <w14:ligatures w14:val="standardContextual"/>
    </w:rPr>
    <w:tblPr>
      <w:tblStyleRowBandSize w:val="1"/>
      <w:tblStyleColBandSize w:val="1"/>
    </w:tblPr>
    <w:tblStylePr w:type="firstRow">
      <w:rPr>
        <w:b/>
        <w:bCs/>
        <w:caps/>
      </w:rPr>
      <w:tblPr/>
      <w:tcPr>
        <w:tcBorders>
          <w:bottom w:val="single" w:sz="4" w:space="0" w:color="989C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C98" w:themeColor="text1" w:themeTint="80"/>
        </w:tcBorders>
      </w:tcPr>
    </w:tblStylePr>
    <w:tblStylePr w:type="lastCol">
      <w:rPr>
        <w:b/>
        <w:bCs/>
        <w:caps/>
      </w:rPr>
      <w:tblPr/>
      <w:tcPr>
        <w:tcBorders>
          <w:left w:val="nil"/>
        </w:tcBorders>
      </w:tcPr>
    </w:tblStylePr>
    <w:tblStylePr w:type="band1Vert">
      <w:tblPr/>
      <w:tcPr>
        <w:shd w:val="clear" w:color="auto" w:fill="DEA100" w:themeFill="background1" w:themeFillShade="F2"/>
      </w:tcPr>
    </w:tblStylePr>
    <w:tblStylePr w:type="band1Horz">
      <w:tblPr/>
      <w:tcPr>
        <w:shd w:val="clear" w:color="auto" w:fill="DEA100"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1451">
      <w:bodyDiv w:val="1"/>
      <w:marLeft w:val="0"/>
      <w:marRight w:val="0"/>
      <w:marTop w:val="0"/>
      <w:marBottom w:val="0"/>
      <w:divBdr>
        <w:top w:val="none" w:sz="0" w:space="0" w:color="auto"/>
        <w:left w:val="none" w:sz="0" w:space="0" w:color="auto"/>
        <w:bottom w:val="none" w:sz="0" w:space="0" w:color="auto"/>
        <w:right w:val="none" w:sz="0" w:space="0" w:color="auto"/>
      </w:divBdr>
    </w:div>
    <w:div w:id="770011842">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enquiries@apvma.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A380625</value>
    </field>
    <field name="Objective-Title">
      <value order="0">Template AVPMA Publications</value>
    </field>
    <field name="Objective-Description">
      <value order="0"/>
    </field>
    <field name="Objective-CreationStamp">
      <value order="0">2015-09-14T20:46:52Z</value>
    </field>
    <field name="Objective-IsApproved">
      <value order="0">false</value>
    </field>
    <field name="Objective-IsPublished">
      <value order="0">true</value>
    </field>
    <field name="Objective-DatePublished">
      <value order="0">2023-05-24T08:59:38Z</value>
    </field>
    <field name="Objective-ModificationStamp">
      <value order="0">2023-05-24T08:59:38Z</value>
    </field>
    <field name="Objective-Owner">
      <value order="0">Katina King</value>
    </field>
    <field name="Objective-Path">
      <value order="0">APVMA:RECORDS AND KNOWLEDGE MANAGEMENT:Records and Knowledge Management - Instructional Material Library:Instructional Material - Parliamentary and Communication:Communications:03 - Templates - Other</value>
    </field>
    <field name="Objective-Parent">
      <value order="0">03 - Templates - Other</value>
    </field>
    <field name="Objective-State">
      <value order="0">Published</value>
    </field>
    <field name="Objective-VersionId">
      <value order="0">vA4499694</value>
    </field>
    <field name="Objective-Version">
      <value order="0">17.0</value>
    </field>
    <field name="Objective-VersionNumber">
      <value order="0">19</value>
    </field>
    <field name="Objective-VersionComment">
      <value order="0"/>
    </field>
    <field name="Objective-FileNumber">
      <value order="0">2014\7376</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5</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Quick reference guide – Boolean Seach Guide</vt:lpstr>
    </vt:vector>
  </TitlesOfParts>
  <Manager/>
  <Company>Australian Pesticides and Veterinary Medicines Authority</Company>
  <LinksUpToDate>false</LinksUpToDate>
  <CharactersWithSpaces>3212</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Online Services Portal: Credit and debit card payment processing guide</dc:title>
  <dc:subject/>
  <dc:creator>APVMA</dc:creator>
  <cp:keywords/>
  <dc:description/>
  <cp:lastModifiedBy>GRIFFIN, Jordanna</cp:lastModifiedBy>
  <cp:revision>2</cp:revision>
  <cp:lastPrinted>2020-11-12T03:52:00Z</cp:lastPrinted>
  <dcterms:created xsi:type="dcterms:W3CDTF">2025-07-03T06:59:00Z</dcterms:created>
  <dcterms:modified xsi:type="dcterms:W3CDTF">2025-07-03T06:59:00Z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A380625</vt:lpwstr>
  </property>
  <property fmtid="{D5CDD505-2E9C-101B-9397-08002B2CF9AE}" pid="4" name="Objective-Title">
    <vt:lpwstr>Template AVPMA Publications</vt:lpwstr>
  </property>
  <property fmtid="{D5CDD505-2E9C-101B-9397-08002B2CF9AE}" pid="5" name="Objective-Comment">
    <vt:lpwstr/>
  </property>
  <property fmtid="{D5CDD505-2E9C-101B-9397-08002B2CF9AE}" pid="6" name="Objective-CreationStamp">
    <vt:filetime>2015-09-14T20:46:52Z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2023-05-24T08:59:38Z</vt:filetime>
  </property>
  <property fmtid="{D5CDD505-2E9C-101B-9397-08002B2CF9AE}" pid="10" name="Objective-ModificationStamp">
    <vt:filetime>2023-05-24T08:59:38Z</vt:filetime>
  </property>
  <property fmtid="{D5CDD505-2E9C-101B-9397-08002B2CF9AE}" pid="11" name="Objective-Owner">
    <vt:lpwstr>Katina King</vt:lpwstr>
  </property>
  <property fmtid="{D5CDD505-2E9C-101B-9397-08002B2CF9AE}" pid="12" name="Objective-Path">
    <vt:lpwstr>APVMA:RECORDS AND KNOWLEDGE MANAGEMENT:Records and Knowledge Management - Instructional Material Library:Instructional Material - Parliamentary and Communication:Communications:03 -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
    <vt:lpwstr>17.0</vt:lpwstr>
  </property>
  <property fmtid="{D5CDD505-2E9C-101B-9397-08002B2CF9AE}" pid="16" name="Objective-VersionNumber">
    <vt:r8>19</vt:r8>
  </property>
  <property fmtid="{D5CDD505-2E9C-101B-9397-08002B2CF9AE}" pid="17" name="Objective-VersionComment">
    <vt:lpwstr/>
  </property>
  <property fmtid="{D5CDD505-2E9C-101B-9397-08002B2CF9AE}" pid="18" name="Objective-FileNumber">
    <vt:lpwstr>2014\7376</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vA4499694</vt:lpwstr>
  </property>
  <property fmtid="{D5CDD505-2E9C-101B-9397-08002B2CF9AE}" pid="23" name="Objective-Connect Creator">
    <vt:lpwstr/>
  </property>
</Properties>
</file>