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0479" w14:textId="19663528" w:rsidR="00810B29" w:rsidRPr="00810B29" w:rsidRDefault="00F07EBB" w:rsidP="00810B29">
      <w:pPr>
        <w:pStyle w:val="Heading1"/>
      </w:pPr>
      <w:bookmarkStart w:id="0" w:name="_Toc414373834"/>
      <w:bookmarkStart w:id="1" w:name="_Toc135232588"/>
      <w:bookmarkStart w:id="2" w:name="_Toc189492381"/>
      <w:r>
        <w:t>Agriculture Chemicals Working Group Working Group</w:t>
      </w:r>
      <w:r w:rsidR="00DC2156">
        <w:t xml:space="preserve">: </w:t>
      </w:r>
      <w:r w:rsidR="00810B29">
        <w:t>Terms of reference</w:t>
      </w:r>
    </w:p>
    <w:p w14:paraId="5772F06E" w14:textId="66614567" w:rsidR="00F07EBB" w:rsidRDefault="00F07EBB" w:rsidP="00F07EBB">
      <w:pPr>
        <w:pStyle w:val="Heading2"/>
        <w:rPr>
          <w:rFonts w:ascii="Aptos" w:hAnsi="Aptos"/>
        </w:rPr>
      </w:pPr>
      <w:r>
        <w:t>Purpose</w:t>
      </w:r>
    </w:p>
    <w:p w14:paraId="673594BC" w14:textId="54A61AAA" w:rsidR="00F07EBB" w:rsidRDefault="00F07EBB" w:rsidP="003641D6">
      <w:pPr>
        <w:pStyle w:val="NormalText"/>
      </w:pPr>
      <w:r w:rsidRPr="00D35C5E">
        <w:t>The Agricultural Chemicals Working Group is established to provide a forum for registrants (fee payers) and their representatives to engage with Australian Pesticides and Veterinary Medicines Authority (APVMA) on practical and operational matters related to the regulation of agricultural chemicals</w:t>
      </w:r>
      <w:r w:rsidR="00DC2156" w:rsidRPr="00D35C5E">
        <w:t>.</w:t>
      </w:r>
    </w:p>
    <w:p w14:paraId="13B0ECB3" w14:textId="77777777" w:rsidR="00F07EBB" w:rsidRDefault="00F07EBB" w:rsidP="003641D6">
      <w:pPr>
        <w:pStyle w:val="NormalText"/>
      </w:pPr>
      <w:r>
        <w:t>The group facilitates discussions on:</w:t>
      </w:r>
    </w:p>
    <w:p w14:paraId="00064F36" w14:textId="59C36261" w:rsidR="00F07EBB" w:rsidRDefault="00F07EBB" w:rsidP="00F07EBB">
      <w:pPr>
        <w:pStyle w:val="Bullet1"/>
      </w:pPr>
      <w:r>
        <w:t>Fees and levies, including cost recovery arrangements</w:t>
      </w:r>
      <w:r w:rsidR="00E71B36">
        <w:t>.</w:t>
      </w:r>
    </w:p>
    <w:p w14:paraId="23B14B4B" w14:textId="37A1F80F" w:rsidR="00F07EBB" w:rsidRDefault="00F07EBB" w:rsidP="00F07EBB">
      <w:pPr>
        <w:pStyle w:val="Bullet1"/>
      </w:pPr>
      <w:r>
        <w:t>Application processes and regulatory requirements for registrations, renewals, and approvals</w:t>
      </w:r>
      <w:r w:rsidR="00E71B36">
        <w:t>.</w:t>
      </w:r>
    </w:p>
    <w:p w14:paraId="6402284E" w14:textId="5BB6229A" w:rsidR="00F07EBB" w:rsidRDefault="00F07EBB" w:rsidP="00F07EBB">
      <w:pPr>
        <w:pStyle w:val="Bullet1"/>
      </w:pPr>
      <w:r>
        <w:t>Operational improvements to enhance regulatory efficiency and industry compliance</w:t>
      </w:r>
      <w:r w:rsidR="00E71B36">
        <w:t>.</w:t>
      </w:r>
    </w:p>
    <w:p w14:paraId="0D4B732B" w14:textId="755A4EE6" w:rsidR="00F07EBB" w:rsidRDefault="00F07EBB" w:rsidP="00F07EBB">
      <w:pPr>
        <w:pStyle w:val="Bullet1"/>
      </w:pPr>
      <w:r>
        <w:t>Emerging challenges and practical issues affecting registrants</w:t>
      </w:r>
      <w:r w:rsidR="00E71B36">
        <w:t>.</w:t>
      </w:r>
    </w:p>
    <w:p w14:paraId="6DC0D6FE" w14:textId="77777777" w:rsidR="00F07EBB" w:rsidRDefault="00F07EBB" w:rsidP="003641D6">
      <w:pPr>
        <w:pStyle w:val="NormalText"/>
      </w:pPr>
      <w:r>
        <w:t>The working group supports transparency, collaboration, and continuous improvement in regulatory administration.</w:t>
      </w:r>
    </w:p>
    <w:p w14:paraId="527B920C" w14:textId="3F966BF5" w:rsidR="00F07EBB" w:rsidRDefault="00F07EBB" w:rsidP="00F07EBB">
      <w:pPr>
        <w:pStyle w:val="Heading2"/>
      </w:pPr>
      <w:r>
        <w:t>Objectives</w:t>
      </w:r>
    </w:p>
    <w:p w14:paraId="09785394" w14:textId="77777777" w:rsidR="00F07EBB" w:rsidRDefault="00F07EBB" w:rsidP="003641D6">
      <w:pPr>
        <w:pStyle w:val="NormalText"/>
      </w:pPr>
      <w:r>
        <w:t>The working group will:</w:t>
      </w:r>
    </w:p>
    <w:p w14:paraId="58E4A1CB" w14:textId="2491CF68" w:rsidR="00F07EBB" w:rsidRDefault="00F07EBB" w:rsidP="00F07EBB">
      <w:pPr>
        <w:pStyle w:val="Bullet1"/>
      </w:pPr>
      <w:r>
        <w:t>Provide a structured forum for registrants</w:t>
      </w:r>
      <w:r w:rsidR="008207C1">
        <w:t xml:space="preserve"> and permit holders</w:t>
      </w:r>
      <w:r>
        <w:t xml:space="preserve"> to discuss practical and operational issues related to regulatory processes</w:t>
      </w:r>
      <w:r w:rsidR="00E71B36">
        <w:t>.</w:t>
      </w:r>
    </w:p>
    <w:p w14:paraId="1DDA2AC0" w14:textId="08CE9A62" w:rsidR="00F07EBB" w:rsidRDefault="00F07EBB" w:rsidP="00F07EBB">
      <w:pPr>
        <w:pStyle w:val="Bullet1"/>
      </w:pPr>
      <w:r>
        <w:t>Offer feedback on cost recovery arrangements, including fees and levies</w:t>
      </w:r>
      <w:r w:rsidR="00E71B36">
        <w:t>.</w:t>
      </w:r>
    </w:p>
    <w:p w14:paraId="79A5A383" w14:textId="04E63F4A" w:rsidR="00F07EBB" w:rsidRDefault="00F07EBB" w:rsidP="00F07EBB">
      <w:pPr>
        <w:pStyle w:val="Bullet1"/>
      </w:pPr>
      <w:r>
        <w:t>Identify opportunities to improve administrative efficiency and reduce unnecessary regulatory or administrative burden.</w:t>
      </w:r>
    </w:p>
    <w:p w14:paraId="384CAA1D" w14:textId="79054DA8" w:rsidR="00F07EBB" w:rsidRDefault="00F07EBB" w:rsidP="00F07EBB">
      <w:pPr>
        <w:pStyle w:val="Bullet1"/>
      </w:pPr>
      <w:r>
        <w:t>Enhance communication and engagement between the APVMA and registrants</w:t>
      </w:r>
      <w:r w:rsidR="00E71B36">
        <w:t>.</w:t>
      </w:r>
    </w:p>
    <w:p w14:paraId="1FD90B4D" w14:textId="54002E87" w:rsidR="00F07EBB" w:rsidRDefault="00F07EBB" w:rsidP="00C3207B">
      <w:pPr>
        <w:pStyle w:val="NormalText"/>
      </w:pPr>
      <w:r>
        <w:t>The group will not participate in regulatory decision-making.</w:t>
      </w:r>
    </w:p>
    <w:p w14:paraId="6A83A2A2" w14:textId="1F542F07" w:rsidR="00F07EBB" w:rsidRDefault="00F07EBB" w:rsidP="00C3207B">
      <w:pPr>
        <w:pStyle w:val="Heading2"/>
      </w:pPr>
      <w:r w:rsidRPr="00C3207B">
        <w:t>Membership</w:t>
      </w:r>
    </w:p>
    <w:p w14:paraId="2A71B1CA" w14:textId="1A18410C" w:rsidR="00F07EBB" w:rsidRPr="00C3207B" w:rsidRDefault="00F07EBB" w:rsidP="00C3207B">
      <w:pPr>
        <w:pStyle w:val="Heading3"/>
      </w:pPr>
      <w:r w:rsidRPr="00C3207B">
        <w:t>Composition</w:t>
      </w:r>
    </w:p>
    <w:p w14:paraId="31B7FEFA" w14:textId="5F041706" w:rsidR="00F07EBB" w:rsidRDefault="00F07EBB" w:rsidP="00C3207B">
      <w:pPr>
        <w:pStyle w:val="NormalText"/>
      </w:pPr>
      <w:r>
        <w:t>The working group will comprise 20 members, selected through an Expression of Interest (EOI) process, including:</w:t>
      </w:r>
    </w:p>
    <w:p w14:paraId="5338E65F" w14:textId="3678FAE7" w:rsidR="00F07EBB" w:rsidRDefault="00F07EBB" w:rsidP="00F07EBB">
      <w:pPr>
        <w:pStyle w:val="Bullet1"/>
      </w:pPr>
      <w:r>
        <w:t>Registrants from companies or organisations with active agricultural chemical/veterinary medicine registrations.</w:t>
      </w:r>
    </w:p>
    <w:p w14:paraId="7E0505AA" w14:textId="2F791798" w:rsidR="008207C1" w:rsidRDefault="008207C1" w:rsidP="00F07EBB">
      <w:pPr>
        <w:pStyle w:val="Bullet1"/>
      </w:pPr>
      <w:r>
        <w:t>Current permit holders or organisations representing current permit holders.</w:t>
      </w:r>
    </w:p>
    <w:p w14:paraId="6E818D6A" w14:textId="77777777" w:rsidR="00F07EBB" w:rsidRDefault="00F07EBB" w:rsidP="00F07EBB">
      <w:pPr>
        <w:pStyle w:val="Bullet1"/>
      </w:pPr>
      <w:r>
        <w:t>Industry representatives, including relevant peak bodies and associations.</w:t>
      </w:r>
    </w:p>
    <w:p w14:paraId="6A0FDBE5" w14:textId="2CB7C54D" w:rsidR="00F07EBB" w:rsidRDefault="00F07EBB" w:rsidP="00F07EBB">
      <w:pPr>
        <w:pStyle w:val="Bullet1"/>
      </w:pPr>
      <w:r>
        <w:t>Observers from the following may attend as required:</w:t>
      </w:r>
    </w:p>
    <w:p w14:paraId="66AC0035" w14:textId="656C3CF1" w:rsidR="00F07EBB" w:rsidRDefault="00F07EBB" w:rsidP="00C3207B">
      <w:pPr>
        <w:pStyle w:val="Bullet2"/>
      </w:pPr>
      <w:r>
        <w:t>Department of Agriculture, Fisheries and Forestry</w:t>
      </w:r>
    </w:p>
    <w:p w14:paraId="6F90EC23" w14:textId="1C60830A" w:rsidR="00F07EBB" w:rsidRDefault="00F07EBB" w:rsidP="00C3207B">
      <w:pPr>
        <w:pStyle w:val="Bullet2"/>
      </w:pPr>
      <w:r>
        <w:t>Department of Climate Change, Energy, the Environment and Water</w:t>
      </w:r>
    </w:p>
    <w:p w14:paraId="25BFE75D" w14:textId="77777777" w:rsidR="00F07EBB" w:rsidRDefault="00F07EBB" w:rsidP="00C3207B">
      <w:pPr>
        <w:pStyle w:val="Bullet2"/>
      </w:pPr>
      <w:r>
        <w:t>Food Standards Australia and New Zealand</w:t>
      </w:r>
    </w:p>
    <w:p w14:paraId="50F6D4F7" w14:textId="4E1B9CF2" w:rsidR="00F07EBB" w:rsidRDefault="00F07EBB" w:rsidP="00C3207B">
      <w:pPr>
        <w:pStyle w:val="Bullet2"/>
      </w:pPr>
      <w:r>
        <w:lastRenderedPageBreak/>
        <w:t>Office of the Gene Technology Regulator</w:t>
      </w:r>
    </w:p>
    <w:p w14:paraId="5FBC8826" w14:textId="5625A51E" w:rsidR="00F07EBB" w:rsidRDefault="00F07EBB" w:rsidP="00F07EBB">
      <w:pPr>
        <w:pStyle w:val="Heading3"/>
      </w:pPr>
      <w:r>
        <w:t>Appointment</w:t>
      </w:r>
      <w:r w:rsidR="00C3207B">
        <w:t xml:space="preserve"> and</w:t>
      </w:r>
      <w:r>
        <w:t xml:space="preserve"> </w:t>
      </w:r>
      <w:r w:rsidR="00C3207B">
        <w:t>t</w:t>
      </w:r>
      <w:r>
        <w:t>enure</w:t>
      </w:r>
    </w:p>
    <w:p w14:paraId="1153C7BB" w14:textId="7A7108DD" w:rsidR="00113FB2" w:rsidRPr="00C3207B" w:rsidRDefault="00F07EBB" w:rsidP="00C3207B">
      <w:pPr>
        <w:pStyle w:val="Bullet1"/>
      </w:pPr>
      <w:r w:rsidRPr="00C3207B">
        <w:t>Members will be appointed through an Expression of Interest (EOI) process and selected based on their expertise and sectoral relevance.</w:t>
      </w:r>
    </w:p>
    <w:p w14:paraId="0B8205B0" w14:textId="3A12B688" w:rsidR="00113FB2" w:rsidRPr="00C3207B" w:rsidRDefault="00F07EBB" w:rsidP="00C3207B">
      <w:pPr>
        <w:pStyle w:val="Bullet1"/>
      </w:pPr>
      <w:r w:rsidRPr="00C3207B">
        <w:t>Appointments will be for a term of up to 4 years, with the option to request a shorter term.</w:t>
      </w:r>
    </w:p>
    <w:p w14:paraId="0EEE878A" w14:textId="3752920E" w:rsidR="00113FB2" w:rsidRPr="00C3207B" w:rsidRDefault="00C3207B" w:rsidP="00C3207B">
      <w:pPr>
        <w:pStyle w:val="Bullet1"/>
      </w:pPr>
      <w:r>
        <w:t xml:space="preserve">At </w:t>
      </w:r>
      <w:r w:rsidR="00F07EBB" w:rsidRPr="00C3207B">
        <w:t>the end of a member’s term, they must express interest in renewing their membership. Previous membership does not automatically grant membership renewal.</w:t>
      </w:r>
    </w:p>
    <w:p w14:paraId="3179C2B3" w14:textId="15AC8428" w:rsidR="00113FB2" w:rsidRPr="00C3207B" w:rsidRDefault="00F07EBB" w:rsidP="00C3207B">
      <w:pPr>
        <w:pStyle w:val="Bullet1"/>
      </w:pPr>
      <w:r w:rsidRPr="00C3207B">
        <w:t>Members may resign by providing written notice</w:t>
      </w:r>
      <w:r w:rsidR="008207C1" w:rsidRPr="00C3207B">
        <w:t xml:space="preserve"> to the Chair.</w:t>
      </w:r>
    </w:p>
    <w:p w14:paraId="2E4F2A85" w14:textId="7FEA30F0" w:rsidR="00113FB2" w:rsidRPr="00C3207B" w:rsidRDefault="00F07EBB" w:rsidP="00C3207B">
      <w:pPr>
        <w:pStyle w:val="Bullet1"/>
      </w:pPr>
      <w:r w:rsidRPr="00C3207B">
        <w:t>The APVMA may review and adjust membership as needed to ensure balanced representation.</w:t>
      </w:r>
    </w:p>
    <w:p w14:paraId="0A2ACE7A" w14:textId="4332B997" w:rsidR="00F07EBB" w:rsidRPr="00C3207B" w:rsidRDefault="00F453DC" w:rsidP="00C3207B">
      <w:pPr>
        <w:pStyle w:val="Bullet1"/>
      </w:pPr>
      <w:bookmarkStart w:id="3" w:name="_Hlk190783868"/>
      <w:r>
        <w:t xml:space="preserve">The APVMA may appoint replacement members </w:t>
      </w:r>
      <w:r w:rsidR="00F07EBB" w:rsidRPr="00C3207B">
        <w:t xml:space="preserve">through </w:t>
      </w:r>
      <w:r>
        <w:t xml:space="preserve">an </w:t>
      </w:r>
      <w:r w:rsidR="00F07EBB" w:rsidRPr="00C3207B">
        <w:t>EOI process or by invitation if necessary.</w:t>
      </w:r>
    </w:p>
    <w:bookmarkEnd w:id="3"/>
    <w:p w14:paraId="5F37EA22" w14:textId="474C7980" w:rsidR="00F07EBB" w:rsidRDefault="00F07EBB" w:rsidP="00F07EBB">
      <w:pPr>
        <w:pStyle w:val="Heading3"/>
      </w:pPr>
      <w:r>
        <w:t xml:space="preserve">Termination of </w:t>
      </w:r>
      <w:r w:rsidR="006C4EFD">
        <w:t>m</w:t>
      </w:r>
      <w:r>
        <w:t>embership</w:t>
      </w:r>
    </w:p>
    <w:p w14:paraId="3D163698" w14:textId="77777777" w:rsidR="00F07EBB" w:rsidRPr="0076184E" w:rsidRDefault="00F07EBB" w:rsidP="00C3207B">
      <w:pPr>
        <w:pStyle w:val="NormalText"/>
      </w:pPr>
      <w:r w:rsidRPr="0076184E">
        <w:t xml:space="preserve">Membership may be terminated by the </w:t>
      </w:r>
      <w:r>
        <w:t>APVMA</w:t>
      </w:r>
      <w:r w:rsidRPr="0076184E">
        <w:t xml:space="preserve"> in the following circumstances:</w:t>
      </w:r>
    </w:p>
    <w:p w14:paraId="183948CD" w14:textId="5BDE0E1F" w:rsidR="00F07EBB" w:rsidRPr="0076184E" w:rsidRDefault="00F07EBB" w:rsidP="00F07EBB">
      <w:pPr>
        <w:pStyle w:val="Bullet1"/>
      </w:pPr>
      <w:r w:rsidRPr="0076184E">
        <w:t xml:space="preserve">Non-attendance at </w:t>
      </w:r>
      <w:r w:rsidR="00C3207B">
        <w:t>2</w:t>
      </w:r>
      <w:r w:rsidR="00C3207B" w:rsidRPr="0076184E">
        <w:t xml:space="preserve"> </w:t>
      </w:r>
      <w:r w:rsidRPr="0076184E">
        <w:t>consecutive meetings without reasonable cause.</w:t>
      </w:r>
    </w:p>
    <w:p w14:paraId="68AAA34E" w14:textId="77777777" w:rsidR="00F07EBB" w:rsidRPr="0076184E" w:rsidRDefault="00F07EBB" w:rsidP="00F07EBB">
      <w:pPr>
        <w:pStyle w:val="Bullet1"/>
      </w:pPr>
      <w:r w:rsidRPr="0076184E">
        <w:t>Failure to engage constructively, including disruptive behavio</w:t>
      </w:r>
      <w:r>
        <w:t>u</w:t>
      </w:r>
      <w:r w:rsidRPr="0076184E">
        <w:t>r or actions that undermine the group's objectives.</w:t>
      </w:r>
    </w:p>
    <w:p w14:paraId="7547E86F" w14:textId="2FB11398" w:rsidR="00F07EBB" w:rsidRPr="0076184E" w:rsidRDefault="00F07EBB" w:rsidP="00F07EBB">
      <w:pPr>
        <w:pStyle w:val="Bullet1"/>
      </w:pPr>
      <w:r w:rsidRPr="0076184E">
        <w:t>Breach of confidentiality or failure to disclose</w:t>
      </w:r>
      <w:r w:rsidR="00113FB2">
        <w:t xml:space="preserve"> actual or perceived</w:t>
      </w:r>
      <w:r w:rsidRPr="0076184E">
        <w:t xml:space="preserve"> conflicts of interest.</w:t>
      </w:r>
    </w:p>
    <w:p w14:paraId="62ACE940" w14:textId="70D0A74E" w:rsidR="00F07EBB" w:rsidRPr="0076184E" w:rsidRDefault="00F07EBB" w:rsidP="00F07EBB">
      <w:pPr>
        <w:pStyle w:val="Bullet1"/>
      </w:pPr>
      <w:r w:rsidRPr="0076184E">
        <w:t>Persistent failure to contribute meaningfully to discussions or meet participation expectations.</w:t>
      </w:r>
    </w:p>
    <w:p w14:paraId="1E7D3111" w14:textId="54EA53CB" w:rsidR="00F07EBB" w:rsidRPr="0076184E" w:rsidRDefault="00F07EBB" w:rsidP="00C3207B">
      <w:pPr>
        <w:pStyle w:val="NormalText"/>
      </w:pPr>
      <w:r w:rsidRPr="0076184E">
        <w:t xml:space="preserve">Termination decisions will be at the discretion of the Chair following consultation with the </w:t>
      </w:r>
      <w:r>
        <w:t xml:space="preserve">APVMA Executive Leadership </w:t>
      </w:r>
      <w:r w:rsidR="000E50BE">
        <w:t>T</w:t>
      </w:r>
      <w:r>
        <w:t>eam</w:t>
      </w:r>
      <w:r w:rsidRPr="0076184E">
        <w:t>. Members subject to termination</w:t>
      </w:r>
      <w:r w:rsidR="00113FB2">
        <w:t xml:space="preserve"> proceedings</w:t>
      </w:r>
      <w:r w:rsidRPr="0076184E">
        <w:t xml:space="preserve"> will be given an opportunity to respond before a final decision is made.</w:t>
      </w:r>
    </w:p>
    <w:p w14:paraId="0E3B6228" w14:textId="121F1165" w:rsidR="00F07EBB" w:rsidRDefault="00F07EBB" w:rsidP="00F07EBB">
      <w:pPr>
        <w:pStyle w:val="Heading2"/>
      </w:pPr>
      <w:r>
        <w:t>Meetings</w:t>
      </w:r>
    </w:p>
    <w:p w14:paraId="431A70A4" w14:textId="7FCE577A" w:rsidR="00113FB2" w:rsidRDefault="00F07EBB" w:rsidP="00F453DC">
      <w:pPr>
        <w:pStyle w:val="Bullet1"/>
      </w:pPr>
      <w:r>
        <w:t xml:space="preserve">The working group will meet </w:t>
      </w:r>
      <w:r w:rsidR="000E50BE">
        <w:t xml:space="preserve">2 </w:t>
      </w:r>
      <w:r>
        <w:t>times per year. Additional meetings may be held as required.</w:t>
      </w:r>
    </w:p>
    <w:p w14:paraId="7A2E559B" w14:textId="52E02E95" w:rsidR="00113FB2" w:rsidRPr="0076184E" w:rsidRDefault="00F453DC" w:rsidP="00F453DC">
      <w:pPr>
        <w:pStyle w:val="Bullet1"/>
      </w:pPr>
      <w:r>
        <w:t>Meetings</w:t>
      </w:r>
      <w:r w:rsidR="00113FB2" w:rsidRPr="0076184E">
        <w:t xml:space="preserve"> </w:t>
      </w:r>
      <w:r w:rsidR="00F07EBB" w:rsidRPr="0076184E">
        <w:t>will be conducted virtual</w:t>
      </w:r>
      <w:r w:rsidR="00F07EBB">
        <w:t>ly</w:t>
      </w:r>
      <w:r w:rsidR="00F07EBB" w:rsidRPr="0076184E">
        <w:t xml:space="preserve"> or </w:t>
      </w:r>
      <w:r w:rsidR="00113FB2">
        <w:t>as a hybrid virtual and in-person event</w:t>
      </w:r>
      <w:r w:rsidR="00F07EBB" w:rsidRPr="0076184E">
        <w:t>, depending on circumstances and member availability.</w:t>
      </w:r>
    </w:p>
    <w:p w14:paraId="775354EB" w14:textId="18843188" w:rsidR="00113FB2" w:rsidRPr="0076184E" w:rsidRDefault="00F07EBB" w:rsidP="00F453DC">
      <w:pPr>
        <w:pStyle w:val="Bullet1"/>
      </w:pPr>
      <w:r w:rsidRPr="0076184E">
        <w:t>A quorum will be</w:t>
      </w:r>
      <w:r>
        <w:t xml:space="preserve"> the Chair, plus</w:t>
      </w:r>
      <w:r w:rsidRPr="0076184E">
        <w:t xml:space="preserve"> </w:t>
      </w:r>
      <w:r>
        <w:t>6</w:t>
      </w:r>
      <w:r w:rsidRPr="0076184E">
        <w:t>0% of members</w:t>
      </w:r>
      <w:r w:rsidR="00113FB2">
        <w:t>.</w:t>
      </w:r>
    </w:p>
    <w:p w14:paraId="34C013DB" w14:textId="77777777" w:rsidR="000639FF" w:rsidRPr="00205787" w:rsidRDefault="000639FF" w:rsidP="000639FF">
      <w:pPr>
        <w:pStyle w:val="Bullet1"/>
      </w:pPr>
      <w:r w:rsidRPr="00205787">
        <w:t xml:space="preserve">The APVMA will distribute meeting agendas and papers </w:t>
      </w:r>
      <w:r>
        <w:t>at least 5 business days before each meeting</w:t>
      </w:r>
      <w:r w:rsidRPr="00205787">
        <w:t>.</w:t>
      </w:r>
    </w:p>
    <w:p w14:paraId="47C6935F" w14:textId="77777777" w:rsidR="000639FF" w:rsidRPr="00205787" w:rsidRDefault="000639FF" w:rsidP="000639FF">
      <w:pPr>
        <w:pStyle w:val="Bullet1"/>
      </w:pPr>
      <w:bookmarkStart w:id="4" w:name="_Hlk202277266"/>
      <w:r w:rsidRPr="00205787">
        <w:t>The APVMA will record meeting minutes and key outcomes and share these with members and relevant stakeholders</w:t>
      </w:r>
      <w:r>
        <w:t xml:space="preserve"> within 10 business days following each meeting</w:t>
      </w:r>
      <w:r w:rsidRPr="00205787">
        <w:t>.</w:t>
      </w:r>
    </w:p>
    <w:bookmarkEnd w:id="4"/>
    <w:p w14:paraId="1FC8A9BB" w14:textId="1F9CD3E4" w:rsidR="00F07EBB" w:rsidRDefault="00F07EBB" w:rsidP="00F07EBB">
      <w:pPr>
        <w:pStyle w:val="Heading2"/>
      </w:pPr>
      <w:r>
        <w:t xml:space="preserve">Roles </w:t>
      </w:r>
      <w:r w:rsidR="000E50BE">
        <w:t>and r</w:t>
      </w:r>
      <w:r>
        <w:t>esponsibilities</w:t>
      </w:r>
    </w:p>
    <w:p w14:paraId="39DC9833" w14:textId="3AAACE92" w:rsidR="00F07EBB" w:rsidRDefault="00F07EBB" w:rsidP="00F07EBB">
      <w:pPr>
        <w:pStyle w:val="Heading3"/>
      </w:pPr>
      <w:r>
        <w:t>Chairperson</w:t>
      </w:r>
    </w:p>
    <w:p w14:paraId="52278EB5" w14:textId="5E799CC1" w:rsidR="00113FB2" w:rsidRDefault="00F07EBB" w:rsidP="00F453DC">
      <w:pPr>
        <w:pStyle w:val="Bullet1"/>
      </w:pPr>
      <w:r>
        <w:t>The Chief Executive Officer of the APVMA or a designated official will chair meetings.</w:t>
      </w:r>
    </w:p>
    <w:p w14:paraId="6CF20448" w14:textId="77777777" w:rsidR="00F07EBB" w:rsidRDefault="00F07EBB" w:rsidP="00F453DC">
      <w:pPr>
        <w:pStyle w:val="Bullet1"/>
      </w:pPr>
      <w:r>
        <w:t>The Chair will facilitate discussions, ensure balanced participation, and maintain focus on the group's objectives.</w:t>
      </w:r>
    </w:p>
    <w:p w14:paraId="124CED49" w14:textId="49991651" w:rsidR="00F07EBB" w:rsidRDefault="00F07EBB" w:rsidP="00F07EBB">
      <w:pPr>
        <w:pStyle w:val="Heading3"/>
      </w:pPr>
      <w:r>
        <w:t>Members</w:t>
      </w:r>
    </w:p>
    <w:p w14:paraId="740F7A77" w14:textId="7A7F8A87" w:rsidR="00113FB2" w:rsidRDefault="00F07EBB" w:rsidP="00F453DC">
      <w:pPr>
        <w:pStyle w:val="Bullet1"/>
      </w:pPr>
      <w:r>
        <w:t>Provide practical insights and industry expertise.</w:t>
      </w:r>
    </w:p>
    <w:p w14:paraId="28E4DEBC" w14:textId="09F244E6" w:rsidR="00113FB2" w:rsidRDefault="00F07EBB" w:rsidP="00F453DC">
      <w:pPr>
        <w:pStyle w:val="Bullet1"/>
      </w:pPr>
      <w:r>
        <w:t>Engage constructively in discussions and respect confidentiality where required.</w:t>
      </w:r>
    </w:p>
    <w:p w14:paraId="7FE7657B" w14:textId="2E49D5BE" w:rsidR="00113FB2" w:rsidRDefault="00F07EBB" w:rsidP="00F453DC">
      <w:pPr>
        <w:pStyle w:val="Bullet1"/>
      </w:pPr>
      <w:r>
        <w:t>Review meeting materials and contribute actively.</w:t>
      </w:r>
    </w:p>
    <w:p w14:paraId="2BC8326F" w14:textId="77777777" w:rsidR="00F07EBB" w:rsidRDefault="00F07EBB" w:rsidP="00F453DC">
      <w:pPr>
        <w:pStyle w:val="Bullet1"/>
      </w:pPr>
      <w:r>
        <w:t>Disclose any conflicts of interest at the beginning of each meeting.</w:t>
      </w:r>
    </w:p>
    <w:p w14:paraId="53DBE9EA" w14:textId="137C50E9" w:rsidR="00F07EBB" w:rsidRDefault="00F07EBB" w:rsidP="00F07EBB">
      <w:pPr>
        <w:pStyle w:val="Heading3"/>
      </w:pPr>
      <w:r>
        <w:lastRenderedPageBreak/>
        <w:t>Secretariat</w:t>
      </w:r>
    </w:p>
    <w:p w14:paraId="4F183CF8" w14:textId="13D8E77F" w:rsidR="00F07EBB" w:rsidRPr="0076184E" w:rsidRDefault="00F07EBB" w:rsidP="00F453DC">
      <w:pPr>
        <w:pStyle w:val="NormalText"/>
      </w:pPr>
      <w:r w:rsidRPr="0076184E">
        <w:t xml:space="preserve">The </w:t>
      </w:r>
      <w:r>
        <w:t>APVMA</w:t>
      </w:r>
      <w:r w:rsidRPr="0076184E">
        <w:t xml:space="preserve"> will provide secretariat support, including scheduling meetings, preparing agendas, distributing </w:t>
      </w:r>
      <w:r w:rsidR="008207C1">
        <w:t xml:space="preserve">written </w:t>
      </w:r>
      <w:r w:rsidRPr="0076184E">
        <w:t>materials, recording minutes</w:t>
      </w:r>
      <w:r>
        <w:t xml:space="preserve">, </w:t>
      </w:r>
      <w:r w:rsidR="008207C1">
        <w:t xml:space="preserve">and </w:t>
      </w:r>
      <w:r>
        <w:t>preparing a public summary for the APVMA website</w:t>
      </w:r>
      <w:r w:rsidRPr="0076184E">
        <w:t>.</w:t>
      </w:r>
    </w:p>
    <w:p w14:paraId="2B44D470" w14:textId="1AEC2718" w:rsidR="00F07EBB" w:rsidRDefault="00F07EBB" w:rsidP="00F07EBB">
      <w:pPr>
        <w:pStyle w:val="Heading2"/>
      </w:pPr>
      <w:r>
        <w:t>Establishment of sub-working groups</w:t>
      </w:r>
    </w:p>
    <w:p w14:paraId="40C3FC17" w14:textId="18FD7AA3" w:rsidR="00F07EBB" w:rsidRDefault="008207C1" w:rsidP="00F453DC">
      <w:pPr>
        <w:pStyle w:val="NormalText"/>
      </w:pPr>
      <w:r>
        <w:t>The Chair may convene t</w:t>
      </w:r>
      <w:r w:rsidR="00F07EBB">
        <w:t xml:space="preserve">ime-bound sub-working groups </w:t>
      </w:r>
      <w:r w:rsidR="00F07EBB" w:rsidRPr="008B264F">
        <w:t>for a specific issue or topic, with a defined outcome or deliverable, noting that external stakeholders cannot be involved in regulatory decisions.</w:t>
      </w:r>
    </w:p>
    <w:p w14:paraId="7FBF5895" w14:textId="2F8DE206" w:rsidR="00F07EBB" w:rsidRDefault="00F07EBB" w:rsidP="00F07EBB">
      <w:pPr>
        <w:pStyle w:val="Heading3"/>
      </w:pPr>
      <w:r>
        <w:t xml:space="preserve">Criteria for </w:t>
      </w:r>
      <w:r w:rsidR="00615EDF">
        <w:t>e</w:t>
      </w:r>
      <w:r>
        <w:t xml:space="preserve">stablishing a </w:t>
      </w:r>
      <w:r w:rsidR="00615EDF">
        <w:t>s</w:t>
      </w:r>
      <w:r>
        <w:t>ub-</w:t>
      </w:r>
      <w:r w:rsidR="00615EDF">
        <w:t>w</w:t>
      </w:r>
      <w:r>
        <w:t xml:space="preserve">orking </w:t>
      </w:r>
      <w:r w:rsidR="00615EDF">
        <w:t>g</w:t>
      </w:r>
      <w:r>
        <w:t>roup</w:t>
      </w:r>
    </w:p>
    <w:p w14:paraId="6F532259" w14:textId="755F6CE8" w:rsidR="00F07EBB" w:rsidRDefault="00F07EBB" w:rsidP="000E50BE">
      <w:pPr>
        <w:pStyle w:val="NormalText"/>
      </w:pPr>
      <w:r>
        <w:t>A sub-working group may be established</w:t>
      </w:r>
      <w:r w:rsidR="00113FB2">
        <w:t xml:space="preserve"> at the APVMA’s discretion</w:t>
      </w:r>
      <w:r>
        <w:t xml:space="preserve"> if:</w:t>
      </w:r>
    </w:p>
    <w:p w14:paraId="7EC89846" w14:textId="77777777" w:rsidR="00F07EBB" w:rsidRPr="00113FB2" w:rsidRDefault="00F07EBB" w:rsidP="00113FB2">
      <w:pPr>
        <w:pStyle w:val="Bullet1"/>
      </w:pPr>
      <w:r w:rsidRPr="00113FB2">
        <w:t>The issue requires specialist expertise or technical input.</w:t>
      </w:r>
    </w:p>
    <w:p w14:paraId="7BB37101" w14:textId="77777777" w:rsidR="00F07EBB" w:rsidRPr="00113FB2" w:rsidRDefault="00F07EBB" w:rsidP="00113FB2">
      <w:pPr>
        <w:pStyle w:val="Bullet1"/>
      </w:pPr>
      <w:r w:rsidRPr="00113FB2">
        <w:t>The matter is complex and would benefit from targeted discussions.</w:t>
      </w:r>
    </w:p>
    <w:p w14:paraId="4CC40913" w14:textId="77777777" w:rsidR="00F07EBB" w:rsidRPr="00113FB2" w:rsidRDefault="00F07EBB" w:rsidP="00113FB2">
      <w:pPr>
        <w:pStyle w:val="Bullet1"/>
      </w:pPr>
      <w:r w:rsidRPr="00113FB2">
        <w:t>A clear scope, deliverables, and timeframe can be defined.</w:t>
      </w:r>
    </w:p>
    <w:p w14:paraId="7F28FF8A" w14:textId="77777777" w:rsidR="00F07EBB" w:rsidRDefault="00F07EBB" w:rsidP="00113FB2">
      <w:pPr>
        <w:pStyle w:val="Bullet1"/>
      </w:pPr>
      <w:r w:rsidRPr="00113FB2">
        <w:t>The issue is not already covered within the working group’s regular agenda</w:t>
      </w:r>
      <w:r>
        <w:t>.</w:t>
      </w:r>
    </w:p>
    <w:p w14:paraId="594030AB" w14:textId="5DEBA0F8" w:rsidR="00F07EBB" w:rsidRDefault="00F07EBB" w:rsidP="00F07EBB">
      <w:pPr>
        <w:pStyle w:val="Heading3"/>
      </w:pPr>
      <w:r>
        <w:t>Membership and operation</w:t>
      </w:r>
    </w:p>
    <w:p w14:paraId="6BEBF8CD" w14:textId="6199979D" w:rsidR="00F07C90" w:rsidRDefault="00F07EBB" w:rsidP="00F453DC">
      <w:pPr>
        <w:pStyle w:val="Bullet1"/>
      </w:pPr>
      <w:r>
        <w:t>Members will be drawn from the existing working group and may include additional subject matter experts, or members of the APVMA Advisory Group.</w:t>
      </w:r>
    </w:p>
    <w:p w14:paraId="0388BA3C" w14:textId="5C5A47B6" w:rsidR="00F07C90" w:rsidRDefault="00F07EBB" w:rsidP="00F453DC">
      <w:pPr>
        <w:pStyle w:val="Bullet1"/>
      </w:pPr>
      <w:r>
        <w:t>The sub-working group will be chaired by a designated APVMA representative.</w:t>
      </w:r>
    </w:p>
    <w:p w14:paraId="3D23D5F4" w14:textId="0E7DFD9E" w:rsidR="00F07C90" w:rsidRDefault="00F07EBB" w:rsidP="00F453DC">
      <w:pPr>
        <w:pStyle w:val="Bullet1"/>
      </w:pPr>
      <w:r>
        <w:t>Meetings will be held as required, with updates provided to the main working group.</w:t>
      </w:r>
    </w:p>
    <w:p w14:paraId="6DCA0611" w14:textId="77777777" w:rsidR="00F07EBB" w:rsidRDefault="00F07EBB" w:rsidP="00F453DC">
      <w:pPr>
        <w:pStyle w:val="Bullet1"/>
      </w:pPr>
      <w:r>
        <w:t>The sub-working group will report back with recommendations or findings within an agreed timeframe.</w:t>
      </w:r>
    </w:p>
    <w:p w14:paraId="18A16376" w14:textId="12774A7A" w:rsidR="00810B29" w:rsidRPr="0076184E" w:rsidRDefault="00810B29" w:rsidP="00810B29">
      <w:pPr>
        <w:pStyle w:val="Heading3"/>
      </w:pPr>
      <w:r w:rsidRPr="0076184E">
        <w:t xml:space="preserve">Confidentiality </w:t>
      </w:r>
      <w:r w:rsidR="000E50BE">
        <w:t>and</w:t>
      </w:r>
      <w:r w:rsidR="000E50BE" w:rsidRPr="0076184E">
        <w:t xml:space="preserve"> </w:t>
      </w:r>
      <w:r w:rsidRPr="0076184E">
        <w:t>Conflict of Interest</w:t>
      </w:r>
    </w:p>
    <w:p w14:paraId="7A55B306" w14:textId="0570E704" w:rsidR="00F07C90" w:rsidRDefault="00810B29" w:rsidP="00F453DC">
      <w:pPr>
        <w:pStyle w:val="Bullet1"/>
      </w:pPr>
      <w:r w:rsidRPr="0076184E">
        <w:t>Members must maintain confidentiality regarding sensitive discussions and regulatory matters.</w:t>
      </w:r>
    </w:p>
    <w:p w14:paraId="66784A96" w14:textId="24FF6E5C" w:rsidR="00F453DC" w:rsidRPr="0076184E" w:rsidRDefault="00F453DC" w:rsidP="00F453DC">
      <w:pPr>
        <w:pStyle w:val="Bullet1"/>
      </w:pPr>
      <w:r>
        <w:t>Members declare any actual or perceived conflicts of interest and comply with the APVMA</w:t>
      </w:r>
      <w:r w:rsidRPr="0076184E">
        <w:t xml:space="preserve"> </w:t>
      </w:r>
      <w:r>
        <w:rPr>
          <w:i/>
          <w:iCs/>
        </w:rPr>
        <w:t>C</w:t>
      </w:r>
      <w:r w:rsidRPr="0080749F">
        <w:rPr>
          <w:i/>
          <w:iCs/>
        </w:rPr>
        <w:t xml:space="preserve">onflict of </w:t>
      </w:r>
      <w:r>
        <w:rPr>
          <w:i/>
          <w:iCs/>
        </w:rPr>
        <w:t>I</w:t>
      </w:r>
      <w:r w:rsidRPr="0080749F">
        <w:rPr>
          <w:i/>
          <w:iCs/>
        </w:rPr>
        <w:t xml:space="preserve">nterest </w:t>
      </w:r>
      <w:r>
        <w:rPr>
          <w:i/>
          <w:iCs/>
        </w:rPr>
        <w:t>P</w:t>
      </w:r>
      <w:r w:rsidRPr="0080749F">
        <w:rPr>
          <w:i/>
          <w:iCs/>
        </w:rPr>
        <w:t>olicy</w:t>
      </w:r>
      <w:r>
        <w:rPr>
          <w:i/>
          <w:iCs/>
        </w:rPr>
        <w:t>.</w:t>
      </w:r>
    </w:p>
    <w:p w14:paraId="75EAD85B" w14:textId="575B3CDF" w:rsidR="00810B29" w:rsidRPr="0076184E" w:rsidRDefault="00810B29" w:rsidP="00810B29">
      <w:pPr>
        <w:pStyle w:val="Heading3"/>
      </w:pPr>
      <w:r w:rsidRPr="0076184E">
        <w:t xml:space="preserve">Reporting </w:t>
      </w:r>
      <w:r w:rsidR="000E50BE">
        <w:t>and</w:t>
      </w:r>
      <w:r w:rsidR="000E50BE" w:rsidRPr="0076184E">
        <w:t xml:space="preserve"> </w:t>
      </w:r>
      <w:r>
        <w:t>re</w:t>
      </w:r>
      <w:r w:rsidRPr="0076184E">
        <w:t>view</w:t>
      </w:r>
    </w:p>
    <w:p w14:paraId="06C90B67" w14:textId="13777987" w:rsidR="00810B29" w:rsidRPr="0076184E" w:rsidRDefault="00810B29" w:rsidP="00C96C78">
      <w:pPr>
        <w:pStyle w:val="Bullet1"/>
      </w:pPr>
      <w:r w:rsidRPr="0076184E">
        <w:t xml:space="preserve">The effectiveness and composition of the group will be reviewed every </w:t>
      </w:r>
      <w:r w:rsidR="000E50BE">
        <w:t>2</w:t>
      </w:r>
      <w:r w:rsidR="000E50BE" w:rsidRPr="0076184E">
        <w:t xml:space="preserve"> </w:t>
      </w:r>
      <w:r w:rsidRPr="0076184E">
        <w:t xml:space="preserve">years to ensure </w:t>
      </w:r>
      <w:r w:rsidR="008207C1">
        <w:t>that group objectives are being delivered and remain aligned to the APVMA’s requirements.</w:t>
      </w:r>
      <w:bookmarkEnd w:id="0"/>
      <w:bookmarkEnd w:id="1"/>
      <w:bookmarkEnd w:id="2"/>
    </w:p>
    <w:sectPr w:rsidR="00810B29" w:rsidRPr="0076184E" w:rsidSect="00DD3FE1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C569" w14:textId="77777777" w:rsidR="00CD7A5C" w:rsidRDefault="00CD7A5C" w:rsidP="00CF7CD7">
      <w:pPr>
        <w:spacing w:after="0" w:line="240" w:lineRule="auto"/>
      </w:pPr>
      <w:r>
        <w:separator/>
      </w:r>
    </w:p>
  </w:endnote>
  <w:endnote w:type="continuationSeparator" w:id="0">
    <w:p w14:paraId="3157BE91" w14:textId="77777777" w:rsidR="00CD7A5C" w:rsidRDefault="00CD7A5C" w:rsidP="00C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287220"/>
      <w:docPartObj>
        <w:docPartGallery w:val="Page Numbers (Bottom of Page)"/>
        <w:docPartUnique/>
      </w:docPartObj>
    </w:sdtPr>
    <w:sdtEndPr>
      <w:rPr>
        <w:rFonts w:cs="Arial"/>
        <w:noProof/>
        <w:sz w:val="18"/>
        <w:szCs w:val="18"/>
      </w:rPr>
    </w:sdtEndPr>
    <w:sdtContent>
      <w:p w14:paraId="6E47C373" w14:textId="77777777" w:rsidR="006C4EFD" w:rsidRPr="00506EC8" w:rsidRDefault="006C4EFD" w:rsidP="006C4EFD">
        <w:pPr>
          <w:pStyle w:val="Footer"/>
          <w:jc w:val="right"/>
          <w:rPr>
            <w:rFonts w:cs="Arial"/>
            <w:sz w:val="18"/>
            <w:szCs w:val="18"/>
          </w:rPr>
        </w:pPr>
        <w:r w:rsidRPr="00506EC8">
          <w:rPr>
            <w:rFonts w:cs="Arial"/>
            <w:sz w:val="18"/>
            <w:szCs w:val="18"/>
          </w:rPr>
          <w:fldChar w:fldCharType="begin"/>
        </w:r>
        <w:r w:rsidRPr="00506EC8">
          <w:rPr>
            <w:rFonts w:cs="Arial"/>
            <w:sz w:val="18"/>
            <w:szCs w:val="18"/>
          </w:rPr>
          <w:instrText xml:space="preserve"> PAGE   \* MERGEFORMAT </w:instrText>
        </w:r>
        <w:r w:rsidRPr="00506EC8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 w:rsidRPr="00506EC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15848"/>
      <w:docPartObj>
        <w:docPartGallery w:val="Page Numbers (Bottom of Page)"/>
        <w:docPartUnique/>
      </w:docPartObj>
    </w:sdtPr>
    <w:sdtEndPr>
      <w:rPr>
        <w:rFonts w:cs="Arial"/>
        <w:noProof/>
        <w:sz w:val="18"/>
        <w:szCs w:val="18"/>
      </w:rPr>
    </w:sdtEndPr>
    <w:sdtContent>
      <w:p w14:paraId="22041640" w14:textId="2FF3B6B5" w:rsidR="006A168C" w:rsidRPr="00506EC8" w:rsidRDefault="00FB14E7" w:rsidP="00FB14E7">
        <w:pPr>
          <w:pStyle w:val="Footer"/>
          <w:jc w:val="right"/>
          <w:rPr>
            <w:rFonts w:cs="Arial"/>
            <w:sz w:val="18"/>
            <w:szCs w:val="18"/>
          </w:rPr>
        </w:pPr>
        <w:r w:rsidRPr="00506EC8">
          <w:rPr>
            <w:rFonts w:cs="Arial"/>
            <w:sz w:val="18"/>
            <w:szCs w:val="18"/>
          </w:rPr>
          <w:fldChar w:fldCharType="begin"/>
        </w:r>
        <w:r w:rsidRPr="00506EC8">
          <w:rPr>
            <w:rFonts w:cs="Arial"/>
            <w:sz w:val="18"/>
            <w:szCs w:val="18"/>
          </w:rPr>
          <w:instrText xml:space="preserve"> PAGE   \* MERGEFORMAT </w:instrText>
        </w:r>
        <w:r w:rsidRPr="00506EC8">
          <w:rPr>
            <w:rFonts w:cs="Arial"/>
            <w:sz w:val="18"/>
            <w:szCs w:val="18"/>
          </w:rPr>
          <w:fldChar w:fldCharType="separate"/>
        </w:r>
        <w:r w:rsidR="00D04842">
          <w:rPr>
            <w:rFonts w:cs="Arial"/>
            <w:noProof/>
            <w:sz w:val="18"/>
            <w:szCs w:val="18"/>
          </w:rPr>
          <w:t>1</w:t>
        </w:r>
        <w:r w:rsidRPr="00506EC8">
          <w:rPr>
            <w:rFonts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D8B5" w14:textId="77777777" w:rsidR="00CD7A5C" w:rsidRDefault="00CD7A5C" w:rsidP="00CF7CD7">
      <w:pPr>
        <w:spacing w:after="0" w:line="240" w:lineRule="auto"/>
      </w:pPr>
      <w:r>
        <w:separator/>
      </w:r>
    </w:p>
  </w:footnote>
  <w:footnote w:type="continuationSeparator" w:id="0">
    <w:p w14:paraId="1DBF9A83" w14:textId="77777777" w:rsidR="00CD7A5C" w:rsidRDefault="00CD7A5C" w:rsidP="00CF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D4A7" w14:textId="77777777" w:rsidR="00B315FA" w:rsidRDefault="00B315FA" w:rsidP="00F94C03">
    <w:pPr>
      <w:pStyle w:val="Header"/>
      <w:ind w:left="-709" w:firstLine="709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8D1EE6F" wp14:editId="59BA8F8E">
          <wp:simplePos x="0" y="0"/>
          <wp:positionH relativeFrom="column">
            <wp:posOffset>-510540</wp:posOffset>
          </wp:positionH>
          <wp:positionV relativeFrom="paragraph">
            <wp:posOffset>-442595</wp:posOffset>
          </wp:positionV>
          <wp:extent cx="7618730" cy="124333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73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A4117"/>
    <w:multiLevelType w:val="hybridMultilevel"/>
    <w:tmpl w:val="84B23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64FA"/>
    <w:multiLevelType w:val="hybridMultilevel"/>
    <w:tmpl w:val="4BC4EB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57FDE"/>
    <w:multiLevelType w:val="hybridMultilevel"/>
    <w:tmpl w:val="8E909D2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00CF5"/>
    <w:multiLevelType w:val="hybridMultilevel"/>
    <w:tmpl w:val="914C9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4"/>
    <w:multiLevelType w:val="hybridMultilevel"/>
    <w:tmpl w:val="D5DA9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0699"/>
    <w:multiLevelType w:val="hybridMultilevel"/>
    <w:tmpl w:val="B2DC4982"/>
    <w:lvl w:ilvl="0" w:tplc="4FB2DC3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54F5A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D7385"/>
    <w:multiLevelType w:val="hybridMultilevel"/>
    <w:tmpl w:val="0EFEA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07C54"/>
    <w:multiLevelType w:val="hybridMultilevel"/>
    <w:tmpl w:val="F2041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0250"/>
    <w:multiLevelType w:val="hybridMultilevel"/>
    <w:tmpl w:val="155816EE"/>
    <w:lvl w:ilvl="0" w:tplc="08924D92">
      <w:start w:val="1"/>
      <w:numFmt w:val="decimal"/>
      <w:pStyle w:val="APVMAListnumbered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31D"/>
    <w:multiLevelType w:val="hybridMultilevel"/>
    <w:tmpl w:val="CB7E3F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1AE8"/>
    <w:multiLevelType w:val="hybridMultilevel"/>
    <w:tmpl w:val="EB8AD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22873"/>
    <w:multiLevelType w:val="hybridMultilevel"/>
    <w:tmpl w:val="EB2207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1D13"/>
    <w:multiLevelType w:val="hybridMultilevel"/>
    <w:tmpl w:val="480A3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42867"/>
    <w:multiLevelType w:val="hybridMultilevel"/>
    <w:tmpl w:val="3EDC0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872"/>
    <w:multiLevelType w:val="hybridMultilevel"/>
    <w:tmpl w:val="74B48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B5F98"/>
    <w:multiLevelType w:val="hybridMultilevel"/>
    <w:tmpl w:val="217A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414B1"/>
    <w:multiLevelType w:val="hybridMultilevel"/>
    <w:tmpl w:val="1C52FDB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460D1"/>
    <w:multiLevelType w:val="hybridMultilevel"/>
    <w:tmpl w:val="88BAB3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25944">
    <w:abstractNumId w:val="9"/>
  </w:num>
  <w:num w:numId="2" w16cid:durableId="146289740">
    <w:abstractNumId w:val="15"/>
  </w:num>
  <w:num w:numId="3" w16cid:durableId="1103646813">
    <w:abstractNumId w:val="16"/>
  </w:num>
  <w:num w:numId="4" w16cid:durableId="519785006">
    <w:abstractNumId w:val="3"/>
  </w:num>
  <w:num w:numId="5" w16cid:durableId="417484501">
    <w:abstractNumId w:val="7"/>
  </w:num>
  <w:num w:numId="6" w16cid:durableId="1828129891">
    <w:abstractNumId w:val="14"/>
  </w:num>
  <w:num w:numId="7" w16cid:durableId="715814406">
    <w:abstractNumId w:val="12"/>
  </w:num>
  <w:num w:numId="8" w16cid:durableId="799349154">
    <w:abstractNumId w:val="5"/>
  </w:num>
  <w:num w:numId="9" w16cid:durableId="278341013">
    <w:abstractNumId w:val="19"/>
  </w:num>
  <w:num w:numId="10" w16cid:durableId="458962578">
    <w:abstractNumId w:val="4"/>
  </w:num>
  <w:num w:numId="11" w16cid:durableId="974332061">
    <w:abstractNumId w:val="13"/>
  </w:num>
  <w:num w:numId="12" w16cid:durableId="335302058">
    <w:abstractNumId w:val="1"/>
  </w:num>
  <w:num w:numId="13" w16cid:durableId="741297798">
    <w:abstractNumId w:val="8"/>
  </w:num>
  <w:num w:numId="14" w16cid:durableId="1143350196">
    <w:abstractNumId w:val="0"/>
  </w:num>
  <w:num w:numId="15" w16cid:durableId="507911398">
    <w:abstractNumId w:val="2"/>
  </w:num>
  <w:num w:numId="16" w16cid:durableId="714425557">
    <w:abstractNumId w:val="0"/>
    <w:lvlOverride w:ilvl="0">
      <w:startOverride w:val="1"/>
    </w:lvlOverride>
  </w:num>
  <w:num w:numId="17" w16cid:durableId="889849998">
    <w:abstractNumId w:val="17"/>
  </w:num>
  <w:num w:numId="18" w16cid:durableId="1974168210">
    <w:abstractNumId w:val="20"/>
  </w:num>
  <w:num w:numId="19" w16cid:durableId="1484153733">
    <w:abstractNumId w:val="6"/>
  </w:num>
  <w:num w:numId="20" w16cid:durableId="1283655218">
    <w:abstractNumId w:val="11"/>
  </w:num>
  <w:num w:numId="21" w16cid:durableId="1755128680">
    <w:abstractNumId w:val="18"/>
  </w:num>
  <w:num w:numId="22" w16cid:durableId="79640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C0"/>
    <w:rsid w:val="00054138"/>
    <w:rsid w:val="0005646F"/>
    <w:rsid w:val="000639FF"/>
    <w:rsid w:val="0009354F"/>
    <w:rsid w:val="000C14FE"/>
    <w:rsid w:val="000C563A"/>
    <w:rsid w:val="000E50BE"/>
    <w:rsid w:val="00113FB2"/>
    <w:rsid w:val="00126EBB"/>
    <w:rsid w:val="0013530E"/>
    <w:rsid w:val="00135674"/>
    <w:rsid w:val="001632DB"/>
    <w:rsid w:val="00172727"/>
    <w:rsid w:val="001A16F6"/>
    <w:rsid w:val="001B4F2E"/>
    <w:rsid w:val="001C6B29"/>
    <w:rsid w:val="002154D2"/>
    <w:rsid w:val="00274713"/>
    <w:rsid w:val="002811E1"/>
    <w:rsid w:val="002B3DC6"/>
    <w:rsid w:val="002C639E"/>
    <w:rsid w:val="002E3675"/>
    <w:rsid w:val="00311960"/>
    <w:rsid w:val="0033016B"/>
    <w:rsid w:val="003641D6"/>
    <w:rsid w:val="003715D4"/>
    <w:rsid w:val="00397D5D"/>
    <w:rsid w:val="003A5A1F"/>
    <w:rsid w:val="003C1DE1"/>
    <w:rsid w:val="003D215E"/>
    <w:rsid w:val="00432EAB"/>
    <w:rsid w:val="004421B3"/>
    <w:rsid w:val="0044520A"/>
    <w:rsid w:val="004778F0"/>
    <w:rsid w:val="004A6CFE"/>
    <w:rsid w:val="004B628B"/>
    <w:rsid w:val="005066D8"/>
    <w:rsid w:val="00506EC8"/>
    <w:rsid w:val="005201CB"/>
    <w:rsid w:val="00556EA6"/>
    <w:rsid w:val="005605D8"/>
    <w:rsid w:val="00565FB8"/>
    <w:rsid w:val="00577DF6"/>
    <w:rsid w:val="00580523"/>
    <w:rsid w:val="005A531D"/>
    <w:rsid w:val="005E1AE3"/>
    <w:rsid w:val="005F0181"/>
    <w:rsid w:val="005F5136"/>
    <w:rsid w:val="00615EDF"/>
    <w:rsid w:val="0061630C"/>
    <w:rsid w:val="00621E77"/>
    <w:rsid w:val="00624C12"/>
    <w:rsid w:val="00625FD4"/>
    <w:rsid w:val="00662C9E"/>
    <w:rsid w:val="006743E3"/>
    <w:rsid w:val="00674A95"/>
    <w:rsid w:val="00677A6F"/>
    <w:rsid w:val="006920C2"/>
    <w:rsid w:val="00693583"/>
    <w:rsid w:val="006942AB"/>
    <w:rsid w:val="006A168C"/>
    <w:rsid w:val="006C1518"/>
    <w:rsid w:val="006C4EFD"/>
    <w:rsid w:val="006D534C"/>
    <w:rsid w:val="007057A3"/>
    <w:rsid w:val="0070753C"/>
    <w:rsid w:val="007234E8"/>
    <w:rsid w:val="00735364"/>
    <w:rsid w:val="00741ED7"/>
    <w:rsid w:val="0077131C"/>
    <w:rsid w:val="00780FD3"/>
    <w:rsid w:val="007A652F"/>
    <w:rsid w:val="007B3BDD"/>
    <w:rsid w:val="007B48DC"/>
    <w:rsid w:val="007C4809"/>
    <w:rsid w:val="007D2AA5"/>
    <w:rsid w:val="007E384F"/>
    <w:rsid w:val="00810B29"/>
    <w:rsid w:val="008207C1"/>
    <w:rsid w:val="00840393"/>
    <w:rsid w:val="008446A9"/>
    <w:rsid w:val="00850260"/>
    <w:rsid w:val="00854476"/>
    <w:rsid w:val="00856992"/>
    <w:rsid w:val="008800DB"/>
    <w:rsid w:val="00883466"/>
    <w:rsid w:val="00896800"/>
    <w:rsid w:val="008B3D72"/>
    <w:rsid w:val="008C4DB0"/>
    <w:rsid w:val="008F188A"/>
    <w:rsid w:val="00923F5F"/>
    <w:rsid w:val="00970C36"/>
    <w:rsid w:val="00991ED3"/>
    <w:rsid w:val="009A469B"/>
    <w:rsid w:val="009B13B3"/>
    <w:rsid w:val="009F3412"/>
    <w:rsid w:val="00A5019C"/>
    <w:rsid w:val="00A66BB1"/>
    <w:rsid w:val="00A80174"/>
    <w:rsid w:val="00A955FD"/>
    <w:rsid w:val="00AA4A3A"/>
    <w:rsid w:val="00AD29DD"/>
    <w:rsid w:val="00B00B79"/>
    <w:rsid w:val="00B07554"/>
    <w:rsid w:val="00B1082F"/>
    <w:rsid w:val="00B15F43"/>
    <w:rsid w:val="00B315FA"/>
    <w:rsid w:val="00B4168C"/>
    <w:rsid w:val="00B55C88"/>
    <w:rsid w:val="00B94207"/>
    <w:rsid w:val="00BD3727"/>
    <w:rsid w:val="00BF1CD6"/>
    <w:rsid w:val="00C22808"/>
    <w:rsid w:val="00C3207B"/>
    <w:rsid w:val="00C41429"/>
    <w:rsid w:val="00C516D5"/>
    <w:rsid w:val="00CC373D"/>
    <w:rsid w:val="00CD5224"/>
    <w:rsid w:val="00CD6183"/>
    <w:rsid w:val="00CD7A5C"/>
    <w:rsid w:val="00CF7CD7"/>
    <w:rsid w:val="00D04842"/>
    <w:rsid w:val="00D073B8"/>
    <w:rsid w:val="00D35C5E"/>
    <w:rsid w:val="00D80963"/>
    <w:rsid w:val="00D93104"/>
    <w:rsid w:val="00D94D9A"/>
    <w:rsid w:val="00DA03B7"/>
    <w:rsid w:val="00DA0EC3"/>
    <w:rsid w:val="00DC2156"/>
    <w:rsid w:val="00DD3FE1"/>
    <w:rsid w:val="00DD4183"/>
    <w:rsid w:val="00E0265B"/>
    <w:rsid w:val="00E13458"/>
    <w:rsid w:val="00E14077"/>
    <w:rsid w:val="00E536EF"/>
    <w:rsid w:val="00E71B36"/>
    <w:rsid w:val="00E7794A"/>
    <w:rsid w:val="00EC0FE2"/>
    <w:rsid w:val="00F07C90"/>
    <w:rsid w:val="00F07EBB"/>
    <w:rsid w:val="00F23ADC"/>
    <w:rsid w:val="00F32E98"/>
    <w:rsid w:val="00F356DE"/>
    <w:rsid w:val="00F453DC"/>
    <w:rsid w:val="00F94C03"/>
    <w:rsid w:val="00FB14E7"/>
    <w:rsid w:val="00FC18C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75B88"/>
  <w15:chartTrackingRefBased/>
  <w15:docId w15:val="{5EA259BA-F5A5-466D-A703-A5B711D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03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5D8"/>
    <w:pPr>
      <w:keepNext/>
      <w:keepLines/>
      <w:spacing w:after="80" w:line="360" w:lineRule="exact"/>
      <w:outlineLvl w:val="0"/>
    </w:pPr>
    <w:rPr>
      <w:rFonts w:ascii="Franklin Gothic Medium" w:eastAsiaTheme="majorEastAsia" w:hAnsi="Franklin Gothic Medium" w:cstheme="majorBidi"/>
      <w:color w:val="054F5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FD"/>
    <w:pPr>
      <w:keepNext/>
      <w:keepLines/>
      <w:spacing w:before="400" w:after="0" w:line="320" w:lineRule="exact"/>
      <w:outlineLvl w:val="1"/>
    </w:pPr>
    <w:rPr>
      <w:rFonts w:ascii="Franklin Gothic Medium" w:eastAsiaTheme="majorEastAsia" w:hAnsi="Franklin Gothic Medium" w:cstheme="majorBidi"/>
      <w:color w:val="054F5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EFD"/>
    <w:pPr>
      <w:keepNext/>
      <w:keepLines/>
      <w:spacing w:before="320" w:after="0" w:line="280" w:lineRule="exact"/>
      <w:outlineLvl w:val="2"/>
    </w:pPr>
    <w:rPr>
      <w:rFonts w:ascii="Franklin Gothic Medium" w:eastAsiaTheme="majorEastAsia" w:hAnsi="Franklin Gothic Medium" w:cstheme="majorBidi"/>
      <w:color w:val="1F4D78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D7"/>
  </w:style>
  <w:style w:type="paragraph" w:styleId="Footer">
    <w:name w:val="footer"/>
    <w:basedOn w:val="Normal"/>
    <w:link w:val="Foot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D7"/>
  </w:style>
  <w:style w:type="character" w:styleId="Hyperlink">
    <w:name w:val="Hyperlink"/>
    <w:basedOn w:val="DefaultParagraphFont"/>
    <w:uiPriority w:val="99"/>
    <w:unhideWhenUsed/>
    <w:rsid w:val="00677A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03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05D8"/>
    <w:rPr>
      <w:rFonts w:ascii="Franklin Gothic Medium" w:eastAsiaTheme="majorEastAsia" w:hAnsi="Franklin Gothic Medium" w:cstheme="majorBidi"/>
      <w:color w:val="054F5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4EFD"/>
    <w:rPr>
      <w:rFonts w:ascii="Franklin Gothic Medium" w:eastAsiaTheme="majorEastAsia" w:hAnsi="Franklin Gothic Medium" w:cstheme="majorBidi"/>
      <w:color w:val="054F5A"/>
      <w:sz w:val="24"/>
      <w:szCs w:val="26"/>
    </w:rPr>
  </w:style>
  <w:style w:type="character" w:customStyle="1" w:styleId="cf01">
    <w:name w:val="cf01"/>
    <w:basedOn w:val="DefaultParagraphFont"/>
    <w:rsid w:val="00F356D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3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rmalText">
    <w:name w:val="Normal Text"/>
    <w:basedOn w:val="Normal"/>
    <w:link w:val="NormalTextChar"/>
    <w:qFormat/>
    <w:rsid w:val="002154D2"/>
    <w:pPr>
      <w:suppressAutoHyphens/>
      <w:spacing w:before="240" w:after="240" w:line="280" w:lineRule="exact"/>
    </w:pPr>
    <w:rPr>
      <w:rFonts w:eastAsia="Times New Roman" w:cs="Arial"/>
      <w:color w:val="000000" w:themeColor="text1" w:themeShade="80"/>
      <w:kern w:val="20"/>
      <w:szCs w:val="24"/>
      <w:u w:color="000000"/>
    </w:rPr>
  </w:style>
  <w:style w:type="paragraph" w:customStyle="1" w:styleId="Bullet1">
    <w:name w:val="Bullet1"/>
    <w:basedOn w:val="NormalText"/>
    <w:link w:val="Bullet1Char"/>
    <w:uiPriority w:val="4"/>
    <w:qFormat/>
    <w:rsid w:val="005605D8"/>
    <w:pPr>
      <w:numPr>
        <w:numId w:val="13"/>
      </w:numPr>
      <w:spacing w:before="120" w:after="120"/>
    </w:pPr>
  </w:style>
  <w:style w:type="paragraph" w:customStyle="1" w:styleId="Bullet2">
    <w:name w:val="Bullet2"/>
    <w:basedOn w:val="Bullet1"/>
    <w:link w:val="Bullet2Char"/>
    <w:uiPriority w:val="4"/>
    <w:qFormat/>
    <w:rsid w:val="002154D2"/>
    <w:pPr>
      <w:numPr>
        <w:numId w:val="12"/>
      </w:numPr>
      <w:spacing w:before="60"/>
    </w:pPr>
  </w:style>
  <w:style w:type="character" w:customStyle="1" w:styleId="NormalTextChar">
    <w:name w:val="Normal Text Char"/>
    <w:basedOn w:val="DefaultParagraphFont"/>
    <w:link w:val="NormalText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character" w:customStyle="1" w:styleId="Bullet1Char">
    <w:name w:val="Bullet1 Char"/>
    <w:basedOn w:val="NormalTextChar"/>
    <w:link w:val="Bullet1"/>
    <w:uiPriority w:val="4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character" w:customStyle="1" w:styleId="Bullet2Char">
    <w:name w:val="Bullet2 Char"/>
    <w:basedOn w:val="Bullet1Char"/>
    <w:link w:val="Bullet2"/>
    <w:uiPriority w:val="4"/>
    <w:rsid w:val="002154D2"/>
    <w:rPr>
      <w:rFonts w:ascii="Arial" w:eastAsia="Times New Roman" w:hAnsi="Arial" w:cs="Arial"/>
      <w:color w:val="000000" w:themeColor="text1" w:themeShade="80"/>
      <w:kern w:val="20"/>
      <w:sz w:val="19"/>
      <w:szCs w:val="24"/>
      <w:u w:color="000000"/>
    </w:rPr>
  </w:style>
  <w:style w:type="paragraph" w:customStyle="1" w:styleId="ListNumbered">
    <w:name w:val="List_Numbered"/>
    <w:basedOn w:val="NormalText"/>
    <w:uiPriority w:val="4"/>
    <w:qFormat/>
    <w:rsid w:val="002154D2"/>
    <w:pPr>
      <w:numPr>
        <w:numId w:val="15"/>
      </w:numPr>
      <w:spacing w:before="120" w:after="120"/>
    </w:pPr>
  </w:style>
  <w:style w:type="paragraph" w:customStyle="1" w:styleId="ListAlpha">
    <w:name w:val="List_Alpha"/>
    <w:basedOn w:val="NormalText"/>
    <w:uiPriority w:val="4"/>
    <w:qFormat/>
    <w:rsid w:val="002154D2"/>
    <w:pPr>
      <w:numPr>
        <w:numId w:val="14"/>
      </w:numPr>
      <w:spacing w:before="120"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6C4EFD"/>
    <w:rPr>
      <w:rFonts w:ascii="Franklin Gothic Medium" w:eastAsiaTheme="majorEastAsia" w:hAnsi="Franklin Gothic Medium" w:cstheme="majorBidi"/>
      <w:color w:val="1F4D78" w:themeColor="accent1" w:themeShade="7F"/>
      <w:szCs w:val="24"/>
    </w:rPr>
  </w:style>
  <w:style w:type="paragraph" w:styleId="FootnoteText">
    <w:name w:val="footnote text"/>
    <w:aliases w:val="APVMA_Footnote"/>
    <w:basedOn w:val="NormalText"/>
    <w:link w:val="FootnoteTextChar"/>
    <w:uiPriority w:val="4"/>
    <w:semiHidden/>
    <w:rsid w:val="002154D2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"/>
    <w:basedOn w:val="DefaultParagraphFont"/>
    <w:link w:val="FootnoteText"/>
    <w:uiPriority w:val="4"/>
    <w:semiHidden/>
    <w:rsid w:val="002154D2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</w:rPr>
  </w:style>
  <w:style w:type="character" w:styleId="FootnoteReference">
    <w:name w:val="footnote reference"/>
    <w:uiPriority w:val="4"/>
    <w:semiHidden/>
    <w:rsid w:val="002154D2"/>
    <w:rPr>
      <w:vertAlign w:val="superscript"/>
    </w:rPr>
  </w:style>
  <w:style w:type="paragraph" w:customStyle="1" w:styleId="APVMAH3">
    <w:name w:val="APVMA H3"/>
    <w:basedOn w:val="Heading2"/>
    <w:qFormat/>
    <w:rsid w:val="005E1AE3"/>
    <w:pPr>
      <w:spacing w:before="320" w:line="280" w:lineRule="exact"/>
      <w:outlineLvl w:val="2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05D8"/>
    <w:rPr>
      <w:color w:val="605E5C"/>
      <w:shd w:val="clear" w:color="auto" w:fill="E1DFDD"/>
    </w:rPr>
  </w:style>
  <w:style w:type="paragraph" w:customStyle="1" w:styleId="TableText">
    <w:name w:val="TableText"/>
    <w:basedOn w:val="NormalText"/>
    <w:uiPriority w:val="4"/>
    <w:qFormat/>
    <w:rsid w:val="00F07EBB"/>
    <w:pPr>
      <w:spacing w:before="120" w:after="120" w:line="210" w:lineRule="exact"/>
    </w:pPr>
    <w:rPr>
      <w:spacing w:val="6"/>
      <w:sz w:val="17"/>
    </w:rPr>
  </w:style>
  <w:style w:type="character" w:styleId="Strong">
    <w:name w:val="Strong"/>
    <w:uiPriority w:val="4"/>
    <w:rsid w:val="00F07EBB"/>
    <w:rPr>
      <w:b/>
      <w:bCs/>
    </w:rPr>
  </w:style>
  <w:style w:type="paragraph" w:customStyle="1" w:styleId="APVMAListnumbered">
    <w:name w:val="APVMA List numbered"/>
    <w:basedOn w:val="Normal"/>
    <w:qFormat/>
    <w:rsid w:val="00F07EBB"/>
    <w:pPr>
      <w:numPr>
        <w:numId w:val="20"/>
      </w:numPr>
      <w:spacing w:before="240" w:after="240" w:line="280" w:lineRule="exact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87305aa901ad461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A3467016</value>
    </field>
    <field name="Objective-Title">
      <value order="0">APVMA Agricultural Chemicals Working Group: Terms of Reference</value>
    </field>
    <field name="Objective-Description">
      <value order="0"/>
    </field>
    <field name="Objective-CreationStamp">
      <value order="0">2025-03-03T05:13:19Z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2025-07-01T05:49:21Z</value>
    </field>
    <field name="Objective-Owner">
      <value order="0">Ezra Swadling</value>
    </field>
    <field name="Objective-Path">
      <value order="0">APVMA:REFORM AND ENGAGEMENT:Stakeholder Engagement:Projects:Stakeholder Forums Review 2024:Public consultation outcomes</value>
    </field>
    <field name="Objective-Parent">
      <value order="0">Public consultation outcomes</value>
    </field>
    <field name="Objective-State">
      <value order="0">Being Drafted</value>
    </field>
    <field name="Objective-VersionId">
      <value order="0">vA5344392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2024\4801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F6BD-5BF0-48DB-AB4C-8633C004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working groups - Terms of reference</vt:lpstr>
    </vt:vector>
  </TitlesOfParts>
  <Company>APVMA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working groups - Terms of reference</dc:title>
  <dc:subject/>
  <dc:creator>APVMA</dc:creator>
  <cp:keywords>[SEC=UNOFFICIAL]</cp:keywords>
  <dc:description/>
  <cp:lastModifiedBy>SWADLING, Ezra</cp:lastModifiedBy>
  <cp:revision>5</cp:revision>
  <dcterms:created xsi:type="dcterms:W3CDTF">2025-03-03T04:13:00Z</dcterms:created>
  <dcterms:modified xsi:type="dcterms:W3CDTF">2025-07-01T05:48:00Z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A3467016</vt:lpwstr>
  </property>
  <property fmtid="{D5CDD505-2E9C-101B-9397-08002B2CF9AE}" pid="4" name="Objective-Title">
    <vt:lpwstr>APVMA Agricultural Chemicals Working Group: Terms of Reference</vt:lpwstr>
  </property>
  <property fmtid="{D5CDD505-2E9C-101B-9397-08002B2CF9AE}" pid="5" name="Objective-Description">
    <vt:lpwstr/>
  </property>
  <property fmtid="{D5CDD505-2E9C-101B-9397-08002B2CF9AE}" pid="6" name="Objective-CreationStamp">
    <vt:filetime>2025-03-03T05:13:19Z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2025-07-01T05:49:21Z</vt:filetime>
  </property>
  <property fmtid="{D5CDD505-2E9C-101B-9397-08002B2CF9AE}" pid="11" name="Objective-Owner">
    <vt:lpwstr>Ezra Swadling</vt:lpwstr>
  </property>
  <property fmtid="{D5CDD505-2E9C-101B-9397-08002B2CF9AE}" pid="12" name="Objective-Path">
    <vt:lpwstr>APVMA:REFORM AND ENGAGEMENT:Stakeholder Engagement:Projects:Stakeholder Forums Review 2024:Public consultation outcomes</vt:lpwstr>
  </property>
  <property fmtid="{D5CDD505-2E9C-101B-9397-08002B2CF9AE}" pid="13" name="Objective-Parent">
    <vt:lpwstr>Public consultation outcomes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vA5344392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2024\4801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Caveats_Count">
    <vt:lpwstr>0</vt:lpwstr>
  </property>
  <property fmtid="{D5CDD505-2E9C-101B-9397-08002B2CF9AE}" pid="27" name="PM_DisplayValueSecClassificationWithQualifier">
    <vt:lpwstr>UNOFFICIAL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InsertionValue">
    <vt:lpwstr>UNOFFICIAL</vt:lpwstr>
  </property>
  <property fmtid="{D5CDD505-2E9C-101B-9397-08002B2CF9AE}" pid="31" name="PM_Originating_FileId">
    <vt:lpwstr>5D2109055CF4493CA869799039BB380A</vt:lpwstr>
  </property>
  <property fmtid="{D5CDD505-2E9C-101B-9397-08002B2CF9AE}" pid="32" name="PM_ProtectiveMarkingValue_Footer">
    <vt:lpwstr>UNOFFICIAL</vt:lpwstr>
  </property>
  <property fmtid="{D5CDD505-2E9C-101B-9397-08002B2CF9AE}" pid="33" name="PM_Originator_Hash_SHA1">
    <vt:lpwstr>54B2E3F5B4E05BB01884342B88078AE98077C2B7</vt:lpwstr>
  </property>
  <property fmtid="{D5CDD505-2E9C-101B-9397-08002B2CF9AE}" pid="34" name="PM_OriginationTimeStamp">
    <vt:lpwstr>2020-08-18T22:45:33Z</vt:lpwstr>
  </property>
  <property fmtid="{D5CDD505-2E9C-101B-9397-08002B2CF9AE}" pid="35" name="PM_ProtectiveMarkingValue_Header">
    <vt:lpwstr>UNOFFICIAL</vt:lpwstr>
  </property>
  <property fmtid="{D5CDD505-2E9C-101B-9397-08002B2CF9AE}" pid="36" name="PM_ProtectiveMarkingImage_Footer">
    <vt:lpwstr>C:\Program Files (x86)\Common Files\janusNET Shared\janusSEAL\Images\DocumentSlashBlue.png</vt:lpwstr>
  </property>
  <property fmtid="{D5CDD505-2E9C-101B-9397-08002B2CF9AE}" pid="37" name="PM_Namespace">
    <vt:lpwstr>gov.au</vt:lpwstr>
  </property>
  <property fmtid="{D5CDD505-2E9C-101B-9397-08002B2CF9AE}" pid="38" name="PM_Version">
    <vt:lpwstr>2018.3</vt:lpwstr>
  </property>
  <property fmtid="{D5CDD505-2E9C-101B-9397-08002B2CF9AE}" pid="39" name="PM_Note">
    <vt:lpwstr/>
  </property>
  <property fmtid="{D5CDD505-2E9C-101B-9397-08002B2CF9AE}" pid="40" name="PM_Markers">
    <vt:lpwstr/>
  </property>
  <property fmtid="{D5CDD505-2E9C-101B-9397-08002B2CF9AE}" pid="41" name="PM_Hash_Version">
    <vt:lpwstr>2018.0</vt:lpwstr>
  </property>
  <property fmtid="{D5CDD505-2E9C-101B-9397-08002B2CF9AE}" pid="42" name="PM_Hash_Salt_Prev">
    <vt:lpwstr>0AC49C46383060C6AA43D6F50DC4BBDC</vt:lpwstr>
  </property>
  <property fmtid="{D5CDD505-2E9C-101B-9397-08002B2CF9AE}" pid="43" name="PM_Hash_Salt">
    <vt:lpwstr>B1ECA1ED5FD797B3DF017BB7F2C76FB9</vt:lpwstr>
  </property>
  <property fmtid="{D5CDD505-2E9C-101B-9397-08002B2CF9AE}" pid="44" name="PM_Hash_SHA1">
    <vt:lpwstr>467E315C809B65EF2366A057B7756ECA9D74AB4D</vt:lpwstr>
  </property>
  <property fmtid="{D5CDD505-2E9C-101B-9397-08002B2CF9AE}" pid="45" name="PM_SecurityClassification_Prev">
    <vt:lpwstr>UNOFFICIAL</vt:lpwstr>
  </property>
  <property fmtid="{D5CDD505-2E9C-101B-9397-08002B2CF9AE}" pid="46" name="PM_Qualifier_Prev">
    <vt:lpwstr/>
  </property>
</Properties>
</file>