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364F22AD">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55734B7C" w:rsidR="003C0891" w:rsidRDefault="006D36C8" w:rsidP="00193533">
      <w:pPr>
        <w:pStyle w:val="APVMACoverSubtitle"/>
        <w:jc w:val="center"/>
      </w:pPr>
      <w:r>
        <w:t xml:space="preserve">on </w:t>
      </w:r>
      <w:r w:rsidR="0014021C">
        <w:t>metalaxyl-</w:t>
      </w:r>
      <w:r w:rsidR="007212F5">
        <w:t>M</w:t>
      </w:r>
      <w:r>
        <w:t xml:space="preserve"> in the product </w:t>
      </w:r>
      <w:r w:rsidR="0014021C" w:rsidRPr="0014021C">
        <w:t xml:space="preserve">Ridomil Gold 480 SL Systemic Fungicide </w:t>
      </w:r>
      <w:r>
        <w:t xml:space="preserve">for use on </w:t>
      </w:r>
      <w:r w:rsidR="0014021C">
        <w:t>peaches</w:t>
      </w:r>
    </w:p>
    <w:p w14:paraId="7FB897BF" w14:textId="002C2CFA" w:rsidR="006D36C8" w:rsidRDefault="006D36C8" w:rsidP="00193533">
      <w:pPr>
        <w:pStyle w:val="APVMACoverSubtitle"/>
        <w:jc w:val="center"/>
      </w:pPr>
      <w:r>
        <w:t xml:space="preserve">APVMA product number </w:t>
      </w:r>
      <w:r w:rsidR="0014021C">
        <w:t>64812</w:t>
      </w:r>
    </w:p>
    <w:p w14:paraId="5C6E8565" w14:textId="74161C71" w:rsidR="00193533" w:rsidRPr="00E41FED" w:rsidRDefault="000F2193"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 xml:space="preserve">January </w:t>
      </w:r>
      <w:r w:rsidR="0039549E">
        <w:t>2025</w:t>
      </w:r>
    </w:p>
    <w:p w14:paraId="170061D7" w14:textId="3B181D74" w:rsidR="00862E63" w:rsidRPr="005C0ACC" w:rsidRDefault="00862E63" w:rsidP="00021A6A">
      <w:pPr>
        <w:pStyle w:val="Copyrightpage"/>
      </w:pPr>
      <w:r w:rsidRPr="005C0ACC">
        <w:lastRenderedPageBreak/>
        <w:t xml:space="preserve">© Australian Pesticides and Veterinary Medicines Authority </w:t>
      </w:r>
      <w:r w:rsidR="0014021C" w:rsidRPr="0014021C">
        <w:t>202</w:t>
      </w:r>
      <w:r w:rsidR="000F2193">
        <w:t>5</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7B4A3DF7" w14:textId="53DD759A" w:rsidR="00862E63" w:rsidRPr="00021A6A" w:rsidRDefault="00021A6A"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8F7CBAD" w14:textId="77777777" w:rsidR="00991C0E" w:rsidRDefault="007B2C31" w:rsidP="00021A6A">
      <w:pPr>
        <w:pStyle w:val="Copyrightpage"/>
      </w:pPr>
      <w:r>
        <w:t>Assistant Director, Communications</w:t>
      </w:r>
      <w:r w:rsidR="00021A6A">
        <w:br/>
      </w:r>
      <w:r w:rsidR="00862E63" w:rsidRPr="005C0ACC">
        <w:t>Australian Pesticides and Veterinary Medicines Authority</w:t>
      </w:r>
      <w:r w:rsidR="00021A6A">
        <w:br/>
      </w:r>
      <w:r w:rsidR="00991C0E">
        <w:t>GPO Box 574</w:t>
      </w:r>
      <w:r w:rsidR="00991C0E">
        <w:br/>
        <w:t>Canberra ACT 2601</w:t>
      </w:r>
      <w:r w:rsidR="00991C0E" w:rsidRPr="005C0ACC">
        <w:t xml:space="preserve"> Australia</w:t>
      </w:r>
    </w:p>
    <w:p w14:paraId="2CEB5375" w14:textId="4312F2C2" w:rsidR="00862E63" w:rsidRPr="005C0ACC" w:rsidRDefault="006110AE" w:rsidP="00021A6A">
      <w:pPr>
        <w:pStyle w:val="Copyrightpage"/>
      </w:pPr>
      <w:r>
        <w:t xml:space="preserve">Telephone: +61 2 </w:t>
      </w:r>
      <w:r w:rsidR="00F74FA6">
        <w:t>6770 2300</w:t>
      </w:r>
    </w:p>
    <w:p w14:paraId="5AED6D8B" w14:textId="7BCA425C"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bookmarkStart w:id="1" w:name="_Hlk183693294"/>
      <w:r>
        <w:lastRenderedPageBreak/>
        <w:t>Contents</w:t>
      </w:r>
    </w:p>
    <w:p w14:paraId="534FCE8C" w14:textId="32ADF363" w:rsidR="00786676"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87405128" w:history="1">
        <w:r w:rsidR="00786676" w:rsidRPr="00A878A9">
          <w:rPr>
            <w:rStyle w:val="Hyperlink"/>
          </w:rPr>
          <w:t>Preface</w:t>
        </w:r>
        <w:r w:rsidR="00786676">
          <w:rPr>
            <w:webHidden/>
          </w:rPr>
          <w:tab/>
        </w:r>
        <w:r w:rsidR="00786676">
          <w:rPr>
            <w:webHidden/>
          </w:rPr>
          <w:fldChar w:fldCharType="begin"/>
        </w:r>
        <w:r w:rsidR="00786676">
          <w:rPr>
            <w:webHidden/>
          </w:rPr>
          <w:instrText xml:space="preserve"> PAGEREF _Toc187405128 \h </w:instrText>
        </w:r>
        <w:r w:rsidR="00786676">
          <w:rPr>
            <w:webHidden/>
          </w:rPr>
        </w:r>
        <w:r w:rsidR="00786676">
          <w:rPr>
            <w:webHidden/>
          </w:rPr>
          <w:fldChar w:fldCharType="separate"/>
        </w:r>
        <w:r w:rsidR="00786676">
          <w:rPr>
            <w:webHidden/>
          </w:rPr>
          <w:t>1</w:t>
        </w:r>
        <w:r w:rsidR="00786676">
          <w:rPr>
            <w:webHidden/>
          </w:rPr>
          <w:fldChar w:fldCharType="end"/>
        </w:r>
      </w:hyperlink>
    </w:p>
    <w:p w14:paraId="37B3A4A1" w14:textId="5CF62CFF" w:rsidR="00786676" w:rsidRDefault="00786676">
      <w:pPr>
        <w:pStyle w:val="TOC2"/>
        <w:rPr>
          <w:rFonts w:asciiTheme="minorHAnsi" w:eastAsiaTheme="minorEastAsia" w:hAnsiTheme="minorHAnsi" w:cstheme="minorBidi"/>
          <w:b w:val="0"/>
          <w:color w:val="auto"/>
          <w:kern w:val="2"/>
          <w:sz w:val="24"/>
          <w:lang w:eastAsia="en-AU"/>
          <w14:ligatures w14:val="standardContextual"/>
        </w:rPr>
      </w:pPr>
      <w:hyperlink w:anchor="_Toc187405129" w:history="1">
        <w:r w:rsidRPr="00A878A9">
          <w:rPr>
            <w:rStyle w:val="Hyperlink"/>
          </w:rPr>
          <w:t>About this document</w:t>
        </w:r>
        <w:r>
          <w:rPr>
            <w:webHidden/>
          </w:rPr>
          <w:tab/>
        </w:r>
        <w:r>
          <w:rPr>
            <w:webHidden/>
          </w:rPr>
          <w:fldChar w:fldCharType="begin"/>
        </w:r>
        <w:r>
          <w:rPr>
            <w:webHidden/>
          </w:rPr>
          <w:instrText xml:space="preserve"> PAGEREF _Toc187405129 \h </w:instrText>
        </w:r>
        <w:r>
          <w:rPr>
            <w:webHidden/>
          </w:rPr>
        </w:r>
        <w:r>
          <w:rPr>
            <w:webHidden/>
          </w:rPr>
          <w:fldChar w:fldCharType="separate"/>
        </w:r>
        <w:r>
          <w:rPr>
            <w:webHidden/>
          </w:rPr>
          <w:t>1</w:t>
        </w:r>
        <w:r>
          <w:rPr>
            <w:webHidden/>
          </w:rPr>
          <w:fldChar w:fldCharType="end"/>
        </w:r>
      </w:hyperlink>
    </w:p>
    <w:p w14:paraId="01BF912E" w14:textId="0D757195" w:rsidR="00786676" w:rsidRDefault="00786676">
      <w:pPr>
        <w:pStyle w:val="TOC2"/>
        <w:rPr>
          <w:rFonts w:asciiTheme="minorHAnsi" w:eastAsiaTheme="minorEastAsia" w:hAnsiTheme="minorHAnsi" w:cstheme="minorBidi"/>
          <w:b w:val="0"/>
          <w:color w:val="auto"/>
          <w:kern w:val="2"/>
          <w:sz w:val="24"/>
          <w:lang w:eastAsia="en-AU"/>
          <w14:ligatures w14:val="standardContextual"/>
        </w:rPr>
      </w:pPr>
      <w:hyperlink w:anchor="_Toc187405130" w:history="1">
        <w:r w:rsidRPr="00A878A9">
          <w:rPr>
            <w:rStyle w:val="Hyperlink"/>
          </w:rPr>
          <w:t>Making a submission</w:t>
        </w:r>
        <w:r>
          <w:rPr>
            <w:webHidden/>
          </w:rPr>
          <w:tab/>
        </w:r>
        <w:r>
          <w:rPr>
            <w:webHidden/>
          </w:rPr>
          <w:fldChar w:fldCharType="begin"/>
        </w:r>
        <w:r>
          <w:rPr>
            <w:webHidden/>
          </w:rPr>
          <w:instrText xml:space="preserve"> PAGEREF _Toc187405130 \h </w:instrText>
        </w:r>
        <w:r>
          <w:rPr>
            <w:webHidden/>
          </w:rPr>
        </w:r>
        <w:r>
          <w:rPr>
            <w:webHidden/>
          </w:rPr>
          <w:fldChar w:fldCharType="separate"/>
        </w:r>
        <w:r>
          <w:rPr>
            <w:webHidden/>
          </w:rPr>
          <w:t>1</w:t>
        </w:r>
        <w:r>
          <w:rPr>
            <w:webHidden/>
          </w:rPr>
          <w:fldChar w:fldCharType="end"/>
        </w:r>
      </w:hyperlink>
    </w:p>
    <w:p w14:paraId="2D313946" w14:textId="66B39F23" w:rsidR="00786676" w:rsidRDefault="00786676">
      <w:pPr>
        <w:pStyle w:val="TOC2"/>
        <w:rPr>
          <w:rFonts w:asciiTheme="minorHAnsi" w:eastAsiaTheme="minorEastAsia" w:hAnsiTheme="minorHAnsi" w:cstheme="minorBidi"/>
          <w:b w:val="0"/>
          <w:color w:val="auto"/>
          <w:kern w:val="2"/>
          <w:sz w:val="24"/>
          <w:lang w:eastAsia="en-AU"/>
          <w14:ligatures w14:val="standardContextual"/>
        </w:rPr>
      </w:pPr>
      <w:hyperlink w:anchor="_Toc187405131" w:history="1">
        <w:r w:rsidRPr="00A878A9">
          <w:rPr>
            <w:rStyle w:val="Hyperlink"/>
          </w:rPr>
          <w:t>Further information</w:t>
        </w:r>
        <w:r>
          <w:rPr>
            <w:webHidden/>
          </w:rPr>
          <w:tab/>
        </w:r>
        <w:r>
          <w:rPr>
            <w:webHidden/>
          </w:rPr>
          <w:fldChar w:fldCharType="begin"/>
        </w:r>
        <w:r>
          <w:rPr>
            <w:webHidden/>
          </w:rPr>
          <w:instrText xml:space="preserve"> PAGEREF _Toc187405131 \h </w:instrText>
        </w:r>
        <w:r>
          <w:rPr>
            <w:webHidden/>
          </w:rPr>
        </w:r>
        <w:r>
          <w:rPr>
            <w:webHidden/>
          </w:rPr>
          <w:fldChar w:fldCharType="separate"/>
        </w:r>
        <w:r>
          <w:rPr>
            <w:webHidden/>
          </w:rPr>
          <w:t>2</w:t>
        </w:r>
        <w:r>
          <w:rPr>
            <w:webHidden/>
          </w:rPr>
          <w:fldChar w:fldCharType="end"/>
        </w:r>
      </w:hyperlink>
    </w:p>
    <w:p w14:paraId="546F08AC" w14:textId="659FA393" w:rsidR="00786676" w:rsidRDefault="00786676">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7405132" w:history="1">
        <w:r w:rsidRPr="00A878A9">
          <w:rPr>
            <w:rStyle w:val="Hyperlink"/>
          </w:rPr>
          <w:t>Introduction</w:t>
        </w:r>
        <w:r>
          <w:rPr>
            <w:webHidden/>
          </w:rPr>
          <w:tab/>
        </w:r>
        <w:r>
          <w:rPr>
            <w:webHidden/>
          </w:rPr>
          <w:fldChar w:fldCharType="begin"/>
        </w:r>
        <w:r>
          <w:rPr>
            <w:webHidden/>
          </w:rPr>
          <w:instrText xml:space="preserve"> PAGEREF _Toc187405132 \h </w:instrText>
        </w:r>
        <w:r>
          <w:rPr>
            <w:webHidden/>
          </w:rPr>
        </w:r>
        <w:r>
          <w:rPr>
            <w:webHidden/>
          </w:rPr>
          <w:fldChar w:fldCharType="separate"/>
        </w:r>
        <w:r>
          <w:rPr>
            <w:webHidden/>
          </w:rPr>
          <w:t>3</w:t>
        </w:r>
        <w:r>
          <w:rPr>
            <w:webHidden/>
          </w:rPr>
          <w:fldChar w:fldCharType="end"/>
        </w:r>
      </w:hyperlink>
    </w:p>
    <w:p w14:paraId="42ACA1F3" w14:textId="3D2345D4" w:rsidR="00786676" w:rsidRDefault="00786676">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7405133" w:history="1">
        <w:r w:rsidRPr="00A878A9">
          <w:rPr>
            <w:rStyle w:val="Hyperlink"/>
          </w:rPr>
          <w:t>Trade considerations</w:t>
        </w:r>
        <w:r>
          <w:rPr>
            <w:webHidden/>
          </w:rPr>
          <w:tab/>
        </w:r>
        <w:r>
          <w:rPr>
            <w:webHidden/>
          </w:rPr>
          <w:fldChar w:fldCharType="begin"/>
        </w:r>
        <w:r>
          <w:rPr>
            <w:webHidden/>
          </w:rPr>
          <w:instrText xml:space="preserve"> PAGEREF _Toc187405133 \h </w:instrText>
        </w:r>
        <w:r>
          <w:rPr>
            <w:webHidden/>
          </w:rPr>
        </w:r>
        <w:r>
          <w:rPr>
            <w:webHidden/>
          </w:rPr>
          <w:fldChar w:fldCharType="separate"/>
        </w:r>
        <w:r>
          <w:rPr>
            <w:webHidden/>
          </w:rPr>
          <w:t>4</w:t>
        </w:r>
        <w:r>
          <w:rPr>
            <w:webHidden/>
          </w:rPr>
          <w:fldChar w:fldCharType="end"/>
        </w:r>
      </w:hyperlink>
    </w:p>
    <w:p w14:paraId="73CDBD98" w14:textId="022F686C" w:rsidR="00786676" w:rsidRDefault="00786676">
      <w:pPr>
        <w:pStyle w:val="TOC2"/>
        <w:rPr>
          <w:rFonts w:asciiTheme="minorHAnsi" w:eastAsiaTheme="minorEastAsia" w:hAnsiTheme="minorHAnsi" w:cstheme="minorBidi"/>
          <w:b w:val="0"/>
          <w:color w:val="auto"/>
          <w:kern w:val="2"/>
          <w:sz w:val="24"/>
          <w:lang w:eastAsia="en-AU"/>
          <w14:ligatures w14:val="standardContextual"/>
        </w:rPr>
      </w:pPr>
      <w:hyperlink w:anchor="_Toc187405134" w:history="1">
        <w:r w:rsidRPr="00A878A9">
          <w:rPr>
            <w:rStyle w:val="Hyperlink"/>
          </w:rPr>
          <w:t>Commodities exported</w:t>
        </w:r>
        <w:r>
          <w:rPr>
            <w:webHidden/>
          </w:rPr>
          <w:tab/>
        </w:r>
        <w:r>
          <w:rPr>
            <w:webHidden/>
          </w:rPr>
          <w:fldChar w:fldCharType="begin"/>
        </w:r>
        <w:r>
          <w:rPr>
            <w:webHidden/>
          </w:rPr>
          <w:instrText xml:space="preserve"> PAGEREF _Toc187405134 \h </w:instrText>
        </w:r>
        <w:r>
          <w:rPr>
            <w:webHidden/>
          </w:rPr>
        </w:r>
        <w:r>
          <w:rPr>
            <w:webHidden/>
          </w:rPr>
          <w:fldChar w:fldCharType="separate"/>
        </w:r>
        <w:r>
          <w:rPr>
            <w:webHidden/>
          </w:rPr>
          <w:t>4</w:t>
        </w:r>
        <w:r>
          <w:rPr>
            <w:webHidden/>
          </w:rPr>
          <w:fldChar w:fldCharType="end"/>
        </w:r>
      </w:hyperlink>
    </w:p>
    <w:p w14:paraId="36EF53A6" w14:textId="10796DB3" w:rsidR="00786676" w:rsidRDefault="00786676">
      <w:pPr>
        <w:pStyle w:val="TOC2"/>
        <w:rPr>
          <w:rFonts w:asciiTheme="minorHAnsi" w:eastAsiaTheme="minorEastAsia" w:hAnsiTheme="minorHAnsi" w:cstheme="minorBidi"/>
          <w:b w:val="0"/>
          <w:color w:val="auto"/>
          <w:kern w:val="2"/>
          <w:sz w:val="24"/>
          <w:lang w:eastAsia="en-AU"/>
          <w14:ligatures w14:val="standardContextual"/>
        </w:rPr>
      </w:pPr>
      <w:hyperlink w:anchor="_Toc187405135" w:history="1">
        <w:r w:rsidRPr="00A878A9">
          <w:rPr>
            <w:rStyle w:val="Hyperlink"/>
          </w:rPr>
          <w:t>Destination and value of exports</w:t>
        </w:r>
        <w:r>
          <w:rPr>
            <w:webHidden/>
          </w:rPr>
          <w:tab/>
        </w:r>
        <w:r>
          <w:rPr>
            <w:webHidden/>
          </w:rPr>
          <w:fldChar w:fldCharType="begin"/>
        </w:r>
        <w:r>
          <w:rPr>
            <w:webHidden/>
          </w:rPr>
          <w:instrText xml:space="preserve"> PAGEREF _Toc187405135 \h </w:instrText>
        </w:r>
        <w:r>
          <w:rPr>
            <w:webHidden/>
          </w:rPr>
        </w:r>
        <w:r>
          <w:rPr>
            <w:webHidden/>
          </w:rPr>
          <w:fldChar w:fldCharType="separate"/>
        </w:r>
        <w:r>
          <w:rPr>
            <w:webHidden/>
          </w:rPr>
          <w:t>4</w:t>
        </w:r>
        <w:r>
          <w:rPr>
            <w:webHidden/>
          </w:rPr>
          <w:fldChar w:fldCharType="end"/>
        </w:r>
      </w:hyperlink>
    </w:p>
    <w:p w14:paraId="1668E2A5" w14:textId="78F712F4" w:rsidR="00786676" w:rsidRDefault="00786676">
      <w:pPr>
        <w:pStyle w:val="TOC3"/>
        <w:rPr>
          <w:rFonts w:asciiTheme="minorHAnsi" w:eastAsiaTheme="minorEastAsia" w:hAnsiTheme="minorHAnsi" w:cstheme="minorBidi"/>
          <w:kern w:val="2"/>
          <w:sz w:val="24"/>
          <w:lang w:eastAsia="en-AU"/>
          <w14:ligatures w14:val="standardContextual"/>
        </w:rPr>
      </w:pPr>
      <w:hyperlink w:anchor="_Toc187405136" w:history="1">
        <w:r w:rsidRPr="00A878A9">
          <w:rPr>
            <w:rStyle w:val="Hyperlink"/>
          </w:rPr>
          <w:t>Proposed Australian use pattern</w:t>
        </w:r>
        <w:r>
          <w:rPr>
            <w:webHidden/>
          </w:rPr>
          <w:tab/>
        </w:r>
        <w:r>
          <w:rPr>
            <w:webHidden/>
          </w:rPr>
          <w:fldChar w:fldCharType="begin"/>
        </w:r>
        <w:r>
          <w:rPr>
            <w:webHidden/>
          </w:rPr>
          <w:instrText xml:space="preserve"> PAGEREF _Toc187405136 \h </w:instrText>
        </w:r>
        <w:r>
          <w:rPr>
            <w:webHidden/>
          </w:rPr>
        </w:r>
        <w:r>
          <w:rPr>
            <w:webHidden/>
          </w:rPr>
          <w:fldChar w:fldCharType="separate"/>
        </w:r>
        <w:r>
          <w:rPr>
            <w:webHidden/>
          </w:rPr>
          <w:t>5</w:t>
        </w:r>
        <w:r>
          <w:rPr>
            <w:webHidden/>
          </w:rPr>
          <w:fldChar w:fldCharType="end"/>
        </w:r>
      </w:hyperlink>
    </w:p>
    <w:p w14:paraId="50CB9787" w14:textId="363B9B46" w:rsidR="00786676" w:rsidRDefault="00786676">
      <w:pPr>
        <w:pStyle w:val="TOC2"/>
        <w:rPr>
          <w:rFonts w:asciiTheme="minorHAnsi" w:eastAsiaTheme="minorEastAsia" w:hAnsiTheme="minorHAnsi" w:cstheme="minorBidi"/>
          <w:b w:val="0"/>
          <w:color w:val="auto"/>
          <w:kern w:val="2"/>
          <w:sz w:val="24"/>
          <w:lang w:eastAsia="en-AU"/>
          <w14:ligatures w14:val="standardContextual"/>
        </w:rPr>
      </w:pPr>
      <w:hyperlink w:anchor="_Toc187405137" w:history="1">
        <w:r w:rsidRPr="00A878A9">
          <w:rPr>
            <w:rStyle w:val="Hyperlink"/>
          </w:rPr>
          <w:t>Results from residues trials presented to the APVMA</w:t>
        </w:r>
        <w:r>
          <w:rPr>
            <w:webHidden/>
          </w:rPr>
          <w:tab/>
        </w:r>
        <w:r>
          <w:rPr>
            <w:webHidden/>
          </w:rPr>
          <w:fldChar w:fldCharType="begin"/>
        </w:r>
        <w:r>
          <w:rPr>
            <w:webHidden/>
          </w:rPr>
          <w:instrText xml:space="preserve"> PAGEREF _Toc187405137 \h </w:instrText>
        </w:r>
        <w:r>
          <w:rPr>
            <w:webHidden/>
          </w:rPr>
        </w:r>
        <w:r>
          <w:rPr>
            <w:webHidden/>
          </w:rPr>
          <w:fldChar w:fldCharType="separate"/>
        </w:r>
        <w:r>
          <w:rPr>
            <w:webHidden/>
          </w:rPr>
          <w:t>5</w:t>
        </w:r>
        <w:r>
          <w:rPr>
            <w:webHidden/>
          </w:rPr>
          <w:fldChar w:fldCharType="end"/>
        </w:r>
      </w:hyperlink>
    </w:p>
    <w:p w14:paraId="2D80E9BD" w14:textId="62DD23B2" w:rsidR="00786676" w:rsidRDefault="00786676">
      <w:pPr>
        <w:pStyle w:val="TOC2"/>
        <w:rPr>
          <w:rFonts w:asciiTheme="minorHAnsi" w:eastAsiaTheme="minorEastAsia" w:hAnsiTheme="minorHAnsi" w:cstheme="minorBidi"/>
          <w:b w:val="0"/>
          <w:color w:val="auto"/>
          <w:kern w:val="2"/>
          <w:sz w:val="24"/>
          <w:lang w:eastAsia="en-AU"/>
          <w14:ligatures w14:val="standardContextual"/>
        </w:rPr>
      </w:pPr>
      <w:hyperlink w:anchor="_Toc187405138" w:history="1">
        <w:r w:rsidRPr="00A878A9">
          <w:rPr>
            <w:rStyle w:val="Hyperlink"/>
          </w:rPr>
          <w:t>Peaches</w:t>
        </w:r>
        <w:r>
          <w:rPr>
            <w:webHidden/>
          </w:rPr>
          <w:tab/>
        </w:r>
        <w:r>
          <w:rPr>
            <w:webHidden/>
          </w:rPr>
          <w:fldChar w:fldCharType="begin"/>
        </w:r>
        <w:r>
          <w:rPr>
            <w:webHidden/>
          </w:rPr>
          <w:instrText xml:space="preserve"> PAGEREF _Toc187405138 \h </w:instrText>
        </w:r>
        <w:r>
          <w:rPr>
            <w:webHidden/>
          </w:rPr>
        </w:r>
        <w:r>
          <w:rPr>
            <w:webHidden/>
          </w:rPr>
          <w:fldChar w:fldCharType="separate"/>
        </w:r>
        <w:r>
          <w:rPr>
            <w:webHidden/>
          </w:rPr>
          <w:t>6</w:t>
        </w:r>
        <w:r>
          <w:rPr>
            <w:webHidden/>
          </w:rPr>
          <w:fldChar w:fldCharType="end"/>
        </w:r>
      </w:hyperlink>
    </w:p>
    <w:p w14:paraId="4593CD61" w14:textId="2D9ECF69" w:rsidR="00786676" w:rsidRDefault="00786676">
      <w:pPr>
        <w:pStyle w:val="TOC2"/>
        <w:rPr>
          <w:rFonts w:asciiTheme="minorHAnsi" w:eastAsiaTheme="minorEastAsia" w:hAnsiTheme="minorHAnsi" w:cstheme="minorBidi"/>
          <w:b w:val="0"/>
          <w:color w:val="auto"/>
          <w:kern w:val="2"/>
          <w:sz w:val="24"/>
          <w:lang w:eastAsia="en-AU"/>
          <w14:ligatures w14:val="standardContextual"/>
        </w:rPr>
      </w:pPr>
      <w:hyperlink w:anchor="_Toc187405139" w:history="1">
        <w:r w:rsidRPr="00A878A9">
          <w:rPr>
            <w:rStyle w:val="Hyperlink"/>
          </w:rPr>
          <w:t>Codex Alimentarius Commission and overseas MRLs</w:t>
        </w:r>
        <w:r>
          <w:rPr>
            <w:webHidden/>
          </w:rPr>
          <w:tab/>
        </w:r>
        <w:r>
          <w:rPr>
            <w:webHidden/>
          </w:rPr>
          <w:fldChar w:fldCharType="begin"/>
        </w:r>
        <w:r>
          <w:rPr>
            <w:webHidden/>
          </w:rPr>
          <w:instrText xml:space="preserve"> PAGEREF _Toc187405139 \h </w:instrText>
        </w:r>
        <w:r>
          <w:rPr>
            <w:webHidden/>
          </w:rPr>
        </w:r>
        <w:r>
          <w:rPr>
            <w:webHidden/>
          </w:rPr>
          <w:fldChar w:fldCharType="separate"/>
        </w:r>
        <w:r>
          <w:rPr>
            <w:webHidden/>
          </w:rPr>
          <w:t>6</w:t>
        </w:r>
        <w:r>
          <w:rPr>
            <w:webHidden/>
          </w:rPr>
          <w:fldChar w:fldCharType="end"/>
        </w:r>
      </w:hyperlink>
    </w:p>
    <w:p w14:paraId="523AD449" w14:textId="4BA0D1D9" w:rsidR="00786676" w:rsidRDefault="00786676">
      <w:pPr>
        <w:pStyle w:val="TOC2"/>
        <w:rPr>
          <w:rFonts w:asciiTheme="minorHAnsi" w:eastAsiaTheme="minorEastAsia" w:hAnsiTheme="minorHAnsi" w:cstheme="minorBidi"/>
          <w:b w:val="0"/>
          <w:color w:val="auto"/>
          <w:kern w:val="2"/>
          <w:sz w:val="24"/>
          <w:lang w:eastAsia="en-AU"/>
          <w14:ligatures w14:val="standardContextual"/>
        </w:rPr>
      </w:pPr>
      <w:hyperlink w:anchor="_Toc187405140" w:history="1">
        <w:r w:rsidRPr="00A878A9">
          <w:rPr>
            <w:rStyle w:val="Hyperlink"/>
          </w:rPr>
          <w:t>Current and proposed Australian MRLs for metalaxyl</w:t>
        </w:r>
        <w:r>
          <w:rPr>
            <w:webHidden/>
          </w:rPr>
          <w:tab/>
        </w:r>
        <w:r>
          <w:rPr>
            <w:webHidden/>
          </w:rPr>
          <w:fldChar w:fldCharType="begin"/>
        </w:r>
        <w:r>
          <w:rPr>
            <w:webHidden/>
          </w:rPr>
          <w:instrText xml:space="preserve"> PAGEREF _Toc187405140 \h </w:instrText>
        </w:r>
        <w:r>
          <w:rPr>
            <w:webHidden/>
          </w:rPr>
        </w:r>
        <w:r>
          <w:rPr>
            <w:webHidden/>
          </w:rPr>
          <w:fldChar w:fldCharType="separate"/>
        </w:r>
        <w:r>
          <w:rPr>
            <w:webHidden/>
          </w:rPr>
          <w:t>8</w:t>
        </w:r>
        <w:r>
          <w:rPr>
            <w:webHidden/>
          </w:rPr>
          <w:fldChar w:fldCharType="end"/>
        </w:r>
      </w:hyperlink>
    </w:p>
    <w:p w14:paraId="35EECA63" w14:textId="46E14594" w:rsidR="00786676" w:rsidRDefault="00786676">
      <w:pPr>
        <w:pStyle w:val="TOC2"/>
        <w:rPr>
          <w:rFonts w:asciiTheme="minorHAnsi" w:eastAsiaTheme="minorEastAsia" w:hAnsiTheme="minorHAnsi" w:cstheme="minorBidi"/>
          <w:b w:val="0"/>
          <w:color w:val="auto"/>
          <w:kern w:val="2"/>
          <w:sz w:val="24"/>
          <w:lang w:eastAsia="en-AU"/>
          <w14:ligatures w14:val="standardContextual"/>
        </w:rPr>
      </w:pPr>
      <w:hyperlink w:anchor="_Toc187405141" w:history="1">
        <w:r w:rsidRPr="00A878A9">
          <w:rPr>
            <w:rStyle w:val="Hyperlink"/>
          </w:rPr>
          <w:t>Potential risk to trade</w:t>
        </w:r>
        <w:r>
          <w:rPr>
            <w:webHidden/>
          </w:rPr>
          <w:tab/>
        </w:r>
        <w:r>
          <w:rPr>
            <w:webHidden/>
          </w:rPr>
          <w:fldChar w:fldCharType="begin"/>
        </w:r>
        <w:r>
          <w:rPr>
            <w:webHidden/>
          </w:rPr>
          <w:instrText xml:space="preserve"> PAGEREF _Toc187405141 \h </w:instrText>
        </w:r>
        <w:r>
          <w:rPr>
            <w:webHidden/>
          </w:rPr>
        </w:r>
        <w:r>
          <w:rPr>
            <w:webHidden/>
          </w:rPr>
          <w:fldChar w:fldCharType="separate"/>
        </w:r>
        <w:r>
          <w:rPr>
            <w:webHidden/>
          </w:rPr>
          <w:t>8</w:t>
        </w:r>
        <w:r>
          <w:rPr>
            <w:webHidden/>
          </w:rPr>
          <w:fldChar w:fldCharType="end"/>
        </w:r>
      </w:hyperlink>
    </w:p>
    <w:p w14:paraId="24D717F3" w14:textId="61EE7D40" w:rsidR="00786676" w:rsidRDefault="00786676">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87405142" w:history="1">
        <w:r w:rsidRPr="00A878A9">
          <w:rPr>
            <w:rStyle w:val="Hyperlink"/>
          </w:rPr>
          <w:t>Conclusion</w:t>
        </w:r>
        <w:r>
          <w:rPr>
            <w:webHidden/>
          </w:rPr>
          <w:tab/>
        </w:r>
        <w:r>
          <w:rPr>
            <w:webHidden/>
          </w:rPr>
          <w:fldChar w:fldCharType="begin"/>
        </w:r>
        <w:r>
          <w:rPr>
            <w:webHidden/>
          </w:rPr>
          <w:instrText xml:space="preserve"> PAGEREF _Toc187405142 \h </w:instrText>
        </w:r>
        <w:r>
          <w:rPr>
            <w:webHidden/>
          </w:rPr>
        </w:r>
        <w:r>
          <w:rPr>
            <w:webHidden/>
          </w:rPr>
          <w:fldChar w:fldCharType="separate"/>
        </w:r>
        <w:r>
          <w:rPr>
            <w:webHidden/>
          </w:rPr>
          <w:t>9</w:t>
        </w:r>
        <w:r>
          <w:rPr>
            <w:webHidden/>
          </w:rPr>
          <w:fldChar w:fldCharType="end"/>
        </w:r>
      </w:hyperlink>
    </w:p>
    <w:p w14:paraId="52ACF79B" w14:textId="6ABE92E7" w:rsidR="00832B4C" w:rsidRDefault="005064D5" w:rsidP="00790A8E">
      <w:pPr>
        <w:pStyle w:val="ToCH1"/>
        <w:spacing w:before="500"/>
        <w:rPr>
          <w:noProof/>
        </w:rPr>
      </w:pPr>
      <w:r>
        <w:rPr>
          <w:rFonts w:ascii="Trebuchet MS" w:hAnsi="Trebuchet MS"/>
          <w:b/>
          <w:caps/>
          <w:noProof/>
          <w:szCs w:val="30"/>
        </w:rPr>
        <w:fldChar w:fldCharType="end"/>
      </w:r>
      <w:r w:rsidR="00696A51" w:rsidDel="00696A51">
        <w:rPr>
          <w:noProof/>
        </w:rPr>
        <w:t xml:space="preserve"> </w:t>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50A3E420" w14:textId="0040C30E" w:rsidR="00832B4C" w:rsidRDefault="00832B4C">
      <w:pPr>
        <w:pStyle w:val="TableofFigures"/>
        <w:rPr>
          <w:rFonts w:asciiTheme="minorHAnsi" w:eastAsiaTheme="minorEastAsia" w:hAnsiTheme="minorHAnsi" w:cstheme="minorBidi"/>
          <w:kern w:val="2"/>
          <w:sz w:val="24"/>
          <w:lang w:eastAsia="en-AU"/>
          <w14:ligatures w14:val="standardContextual"/>
        </w:rPr>
      </w:pPr>
      <w:hyperlink w:anchor="_Toc184289057" w:history="1">
        <w:r w:rsidRPr="00184A68">
          <w:rPr>
            <w:rStyle w:val="Hyperlink"/>
          </w:rPr>
          <w:t>Table 1:</w:t>
        </w:r>
        <w:r>
          <w:rPr>
            <w:rFonts w:asciiTheme="minorHAnsi" w:eastAsiaTheme="minorEastAsia" w:hAnsiTheme="minorHAnsi" w:cstheme="minorBidi"/>
            <w:kern w:val="2"/>
            <w:sz w:val="24"/>
            <w:lang w:eastAsia="en-AU"/>
            <w14:ligatures w14:val="standardContextual"/>
          </w:rPr>
          <w:tab/>
        </w:r>
        <w:r w:rsidRPr="00184A68">
          <w:rPr>
            <w:rStyle w:val="Hyperlink"/>
          </w:rPr>
          <w:t>Key export markets for Australian nectarines/peaches</w:t>
        </w:r>
        <w:r>
          <w:rPr>
            <w:webHidden/>
          </w:rPr>
          <w:tab/>
        </w:r>
        <w:r>
          <w:rPr>
            <w:webHidden/>
          </w:rPr>
          <w:fldChar w:fldCharType="begin"/>
        </w:r>
        <w:r>
          <w:rPr>
            <w:webHidden/>
          </w:rPr>
          <w:instrText xml:space="preserve"> PAGEREF _Toc184289057 \h </w:instrText>
        </w:r>
        <w:r>
          <w:rPr>
            <w:webHidden/>
          </w:rPr>
        </w:r>
        <w:r>
          <w:rPr>
            <w:webHidden/>
          </w:rPr>
          <w:fldChar w:fldCharType="separate"/>
        </w:r>
        <w:r>
          <w:rPr>
            <w:webHidden/>
          </w:rPr>
          <w:t>4</w:t>
        </w:r>
        <w:r>
          <w:rPr>
            <w:webHidden/>
          </w:rPr>
          <w:fldChar w:fldCharType="end"/>
        </w:r>
      </w:hyperlink>
    </w:p>
    <w:p w14:paraId="3A739244" w14:textId="4781CB13" w:rsidR="00832B4C" w:rsidRDefault="00832B4C">
      <w:pPr>
        <w:pStyle w:val="TableofFigures"/>
        <w:rPr>
          <w:rFonts w:asciiTheme="minorHAnsi" w:eastAsiaTheme="minorEastAsia" w:hAnsiTheme="minorHAnsi" w:cstheme="minorBidi"/>
          <w:kern w:val="2"/>
          <w:sz w:val="24"/>
          <w:lang w:eastAsia="en-AU"/>
          <w14:ligatures w14:val="standardContextual"/>
        </w:rPr>
      </w:pPr>
      <w:hyperlink w:anchor="_Toc184289058" w:history="1">
        <w:r w:rsidRPr="00184A68">
          <w:rPr>
            <w:rStyle w:val="Hyperlink"/>
          </w:rPr>
          <w:t>Table 2:</w:t>
        </w:r>
        <w:r>
          <w:rPr>
            <w:rFonts w:asciiTheme="minorHAnsi" w:eastAsiaTheme="minorEastAsia" w:hAnsiTheme="minorHAnsi" w:cstheme="minorBidi"/>
            <w:kern w:val="2"/>
            <w:sz w:val="24"/>
            <w:lang w:eastAsia="en-AU"/>
            <w14:ligatures w14:val="standardContextual"/>
          </w:rPr>
          <w:tab/>
        </w:r>
        <w:r w:rsidRPr="00184A68">
          <w:rPr>
            <w:rStyle w:val="Hyperlink"/>
          </w:rPr>
          <w:t>Proposed use pattern – Ridomil Gold 480 SL Systemic Fungicide (480 g/L metalaxyl-M)</w:t>
        </w:r>
        <w:r>
          <w:rPr>
            <w:webHidden/>
          </w:rPr>
          <w:tab/>
        </w:r>
        <w:r>
          <w:rPr>
            <w:webHidden/>
          </w:rPr>
          <w:fldChar w:fldCharType="begin"/>
        </w:r>
        <w:r>
          <w:rPr>
            <w:webHidden/>
          </w:rPr>
          <w:instrText xml:space="preserve"> PAGEREF _Toc184289058 \h </w:instrText>
        </w:r>
        <w:r>
          <w:rPr>
            <w:webHidden/>
          </w:rPr>
        </w:r>
        <w:r>
          <w:rPr>
            <w:webHidden/>
          </w:rPr>
          <w:fldChar w:fldCharType="separate"/>
        </w:r>
        <w:r>
          <w:rPr>
            <w:webHidden/>
          </w:rPr>
          <w:t>5</w:t>
        </w:r>
        <w:r>
          <w:rPr>
            <w:webHidden/>
          </w:rPr>
          <w:fldChar w:fldCharType="end"/>
        </w:r>
      </w:hyperlink>
    </w:p>
    <w:p w14:paraId="7EBF1118" w14:textId="57527608" w:rsidR="00832B4C" w:rsidRDefault="00832B4C">
      <w:pPr>
        <w:pStyle w:val="TableofFigures"/>
        <w:rPr>
          <w:rFonts w:asciiTheme="minorHAnsi" w:eastAsiaTheme="minorEastAsia" w:hAnsiTheme="minorHAnsi" w:cstheme="minorBidi"/>
          <w:kern w:val="2"/>
          <w:sz w:val="24"/>
          <w:lang w:eastAsia="en-AU"/>
          <w14:ligatures w14:val="standardContextual"/>
        </w:rPr>
      </w:pPr>
      <w:hyperlink w:anchor="_Toc184289059" w:history="1">
        <w:r w:rsidRPr="00184A68">
          <w:rPr>
            <w:rStyle w:val="Hyperlink"/>
          </w:rPr>
          <w:t>Table 3:</w:t>
        </w:r>
        <w:r>
          <w:rPr>
            <w:rFonts w:asciiTheme="minorHAnsi" w:eastAsiaTheme="minorEastAsia" w:hAnsiTheme="minorHAnsi" w:cstheme="minorBidi"/>
            <w:kern w:val="2"/>
            <w:sz w:val="24"/>
            <w:lang w:eastAsia="en-AU"/>
            <w14:ligatures w14:val="standardContextual"/>
          </w:rPr>
          <w:tab/>
        </w:r>
        <w:r w:rsidRPr="00184A68">
          <w:rPr>
            <w:rStyle w:val="Hyperlink"/>
          </w:rPr>
          <w:t>Current Australian and overseas MRLs/tolerances for metalaxyl</w:t>
        </w:r>
        <w:r>
          <w:rPr>
            <w:webHidden/>
          </w:rPr>
          <w:tab/>
        </w:r>
        <w:r>
          <w:rPr>
            <w:webHidden/>
          </w:rPr>
          <w:fldChar w:fldCharType="begin"/>
        </w:r>
        <w:r>
          <w:rPr>
            <w:webHidden/>
          </w:rPr>
          <w:instrText xml:space="preserve"> PAGEREF _Toc184289059 \h </w:instrText>
        </w:r>
        <w:r>
          <w:rPr>
            <w:webHidden/>
          </w:rPr>
        </w:r>
        <w:r>
          <w:rPr>
            <w:webHidden/>
          </w:rPr>
          <w:fldChar w:fldCharType="separate"/>
        </w:r>
        <w:r>
          <w:rPr>
            <w:webHidden/>
          </w:rPr>
          <w:t>7</w:t>
        </w:r>
        <w:r>
          <w:rPr>
            <w:webHidden/>
          </w:rPr>
          <w:fldChar w:fldCharType="end"/>
        </w:r>
      </w:hyperlink>
    </w:p>
    <w:p w14:paraId="02FFB01F" w14:textId="562EFBB8" w:rsidR="00832B4C" w:rsidRDefault="00832B4C">
      <w:pPr>
        <w:pStyle w:val="TableofFigures"/>
        <w:rPr>
          <w:rFonts w:asciiTheme="minorHAnsi" w:eastAsiaTheme="minorEastAsia" w:hAnsiTheme="minorHAnsi" w:cstheme="minorBidi"/>
          <w:kern w:val="2"/>
          <w:sz w:val="24"/>
          <w:lang w:eastAsia="en-AU"/>
          <w14:ligatures w14:val="standardContextual"/>
        </w:rPr>
      </w:pPr>
      <w:hyperlink w:anchor="_Toc184289060" w:history="1">
        <w:r w:rsidRPr="00184A68">
          <w:rPr>
            <w:rStyle w:val="Hyperlink"/>
          </w:rPr>
          <w:t>Table 4:</w:t>
        </w:r>
        <w:r>
          <w:rPr>
            <w:rFonts w:asciiTheme="minorHAnsi" w:eastAsiaTheme="minorEastAsia" w:hAnsiTheme="minorHAnsi" w:cstheme="minorBidi"/>
            <w:kern w:val="2"/>
            <w:sz w:val="24"/>
            <w:lang w:eastAsia="en-AU"/>
            <w14:ligatures w14:val="standardContextual"/>
          </w:rPr>
          <w:tab/>
        </w:r>
        <w:r w:rsidRPr="00184A68">
          <w:rPr>
            <w:rStyle w:val="Hyperlink"/>
          </w:rPr>
          <w:t>Current MRL Standard – Table 1</w:t>
        </w:r>
        <w:r>
          <w:rPr>
            <w:webHidden/>
          </w:rPr>
          <w:tab/>
        </w:r>
        <w:r>
          <w:rPr>
            <w:webHidden/>
          </w:rPr>
          <w:fldChar w:fldCharType="begin"/>
        </w:r>
        <w:r>
          <w:rPr>
            <w:webHidden/>
          </w:rPr>
          <w:instrText xml:space="preserve"> PAGEREF _Toc184289060 \h </w:instrText>
        </w:r>
        <w:r>
          <w:rPr>
            <w:webHidden/>
          </w:rPr>
        </w:r>
        <w:r>
          <w:rPr>
            <w:webHidden/>
          </w:rPr>
          <w:fldChar w:fldCharType="separate"/>
        </w:r>
        <w:r>
          <w:rPr>
            <w:webHidden/>
          </w:rPr>
          <w:t>8</w:t>
        </w:r>
        <w:r>
          <w:rPr>
            <w:webHidden/>
          </w:rPr>
          <w:fldChar w:fldCharType="end"/>
        </w:r>
      </w:hyperlink>
    </w:p>
    <w:p w14:paraId="2614460B" w14:textId="456C1AE9" w:rsidR="00832B4C" w:rsidRDefault="00832B4C">
      <w:pPr>
        <w:pStyle w:val="TableofFigures"/>
        <w:rPr>
          <w:rFonts w:asciiTheme="minorHAnsi" w:eastAsiaTheme="minorEastAsia" w:hAnsiTheme="minorHAnsi" w:cstheme="minorBidi"/>
          <w:kern w:val="2"/>
          <w:sz w:val="24"/>
          <w:lang w:eastAsia="en-AU"/>
          <w14:ligatures w14:val="standardContextual"/>
        </w:rPr>
      </w:pPr>
      <w:hyperlink w:anchor="_Toc184289061" w:history="1">
        <w:r w:rsidRPr="00184A68">
          <w:rPr>
            <w:rStyle w:val="Hyperlink"/>
          </w:rPr>
          <w:t>Table 5:</w:t>
        </w:r>
        <w:r>
          <w:rPr>
            <w:rFonts w:asciiTheme="minorHAnsi" w:eastAsiaTheme="minorEastAsia" w:hAnsiTheme="minorHAnsi" w:cstheme="minorBidi"/>
            <w:kern w:val="2"/>
            <w:sz w:val="24"/>
            <w:lang w:eastAsia="en-AU"/>
            <w14:ligatures w14:val="standardContextual"/>
          </w:rPr>
          <w:tab/>
        </w:r>
        <w:r w:rsidRPr="00184A68">
          <w:rPr>
            <w:rStyle w:val="Hyperlink"/>
          </w:rPr>
          <w:t>Proposed MRL Standard – Table1</w:t>
        </w:r>
        <w:r>
          <w:rPr>
            <w:webHidden/>
          </w:rPr>
          <w:tab/>
        </w:r>
        <w:r>
          <w:rPr>
            <w:webHidden/>
          </w:rPr>
          <w:fldChar w:fldCharType="begin"/>
        </w:r>
        <w:r>
          <w:rPr>
            <w:webHidden/>
          </w:rPr>
          <w:instrText xml:space="preserve"> PAGEREF _Toc184289061 \h </w:instrText>
        </w:r>
        <w:r>
          <w:rPr>
            <w:webHidden/>
          </w:rPr>
        </w:r>
        <w:r>
          <w:rPr>
            <w:webHidden/>
          </w:rPr>
          <w:fldChar w:fldCharType="separate"/>
        </w:r>
        <w:r>
          <w:rPr>
            <w:webHidden/>
          </w:rPr>
          <w:t>8</w:t>
        </w:r>
        <w:r>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bookmarkEnd w:id="1"/>
    </w:p>
    <w:p w14:paraId="014E858C" w14:textId="77777777" w:rsidR="002E20AC" w:rsidRDefault="002E20AC" w:rsidP="00032787">
      <w:pPr>
        <w:pStyle w:val="APVMAPreliminariesH1"/>
      </w:pPr>
      <w:bookmarkStart w:id="2" w:name="_Toc234063054"/>
      <w:bookmarkStart w:id="3" w:name="_Toc414373831"/>
      <w:bookmarkStart w:id="4" w:name="_Toc187405128"/>
      <w:r>
        <w:lastRenderedPageBreak/>
        <w:t>Preface</w:t>
      </w:r>
      <w:bookmarkEnd w:id="2"/>
      <w:bookmarkEnd w:id="3"/>
      <w:bookmarkEnd w:id="4"/>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5" w:name="_Toc414373832"/>
      <w:bookmarkStart w:id="6" w:name="_Toc187405129"/>
      <w:r>
        <w:t>About this document</w:t>
      </w:r>
      <w:bookmarkEnd w:id="5"/>
      <w:bookmarkEnd w:id="6"/>
    </w:p>
    <w:p w14:paraId="29EE149D" w14:textId="35E822D8"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Australian Pesticides and Veterinary Medicines Authority (APVMA) is considering an application to vary the use of an existing registered agric</w:t>
      </w:r>
      <w:r w:rsidR="00E63AC3">
        <w:rPr>
          <w:lang w:val="en-US"/>
        </w:rPr>
        <w:t>ultural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61CF03AE" w14:textId="77777777" w:rsidR="006D36C8" w:rsidRDefault="006D36C8" w:rsidP="00032787">
      <w:pPr>
        <w:pStyle w:val="APVMAPreliminariesH2"/>
      </w:pPr>
      <w:bookmarkStart w:id="7" w:name="_Toc187405130"/>
      <w:r>
        <w:t>Making a submission</w:t>
      </w:r>
      <w:bookmarkEnd w:id="7"/>
    </w:p>
    <w:p w14:paraId="5DCD1FC6" w14:textId="1B312B54" w:rsidR="006D36C8" w:rsidRPr="00AF1ED4" w:rsidRDefault="006D36C8" w:rsidP="00AF1ED4">
      <w:pPr>
        <w:pStyle w:val="APVMAText"/>
      </w:pPr>
      <w:r w:rsidRPr="00AF1ED4">
        <w:t>The APVMA invites any person to submit a relevant written submission as to whether the application to vary the registration of</w:t>
      </w:r>
      <w:r w:rsidR="006D6D34">
        <w:t xml:space="preserve"> </w:t>
      </w:r>
      <w:r w:rsidR="006D6D34" w:rsidRPr="002D5603">
        <w:t xml:space="preserve">Ridomil Gold 480 SL Systemic Fungicide </w:t>
      </w:r>
      <w:r w:rsidRPr="00AF1ED4">
        <w:t>should be granted.</w:t>
      </w:r>
      <w:r w:rsidR="00BA67F0" w:rsidRPr="00AF1ED4">
        <w:t xml:space="preserve"> </w:t>
      </w:r>
      <w:r w:rsidRPr="00AF1ED4">
        <w:t xml:space="preserve">Submissions should relate only to matters that the APVMA is required by legislation to </w:t>
      </w:r>
      <w:proofErr w:type="gramStart"/>
      <w:r w:rsidRPr="00AF1ED4">
        <w:t>take into account</w:t>
      </w:r>
      <w:proofErr w:type="gramEnd"/>
      <w:r w:rsidRPr="00AF1ED4">
        <w:t xml:space="preserve">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635EC962" w:rsidR="006D36C8" w:rsidRDefault="006D36C8" w:rsidP="006D36C8">
      <w:pPr>
        <w:pStyle w:val="APVMAText"/>
      </w:pPr>
      <w:r>
        <w:t>Submissions must be received by the APVMA by close of business on</w:t>
      </w:r>
      <w:r w:rsidR="006D6D34">
        <w:t xml:space="preserve"> </w:t>
      </w:r>
      <w:r w:rsidR="0091294F" w:rsidRPr="0067749E">
        <w:t>24</w:t>
      </w:r>
      <w:r w:rsidR="003F42F8" w:rsidRPr="0067749E">
        <w:t xml:space="preserve"> February 2025</w:t>
      </w:r>
      <w:r>
        <w:t xml:space="preserve"> and be directed to the contact listed below. All submissions to the APVMA will be acknowledged in writing via email or by post.</w:t>
      </w:r>
    </w:p>
    <w:p w14:paraId="00425FA1" w14:textId="77777777" w:rsidR="006D36C8" w:rsidRDefault="006D36C8" w:rsidP="006D36C8">
      <w:pPr>
        <w:pStyle w:val="APVMAText"/>
      </w:pPr>
      <w:r>
        <w:t xml:space="preserve">Relevant comments </w:t>
      </w:r>
      <w:r>
        <w:rPr>
          <w:lang w:val="en-US"/>
        </w:rPr>
        <w:t xml:space="preserve">will be </w:t>
      </w:r>
      <w:proofErr w:type="gramStart"/>
      <w:r>
        <w:rPr>
          <w:lang w:val="en-US"/>
        </w:rPr>
        <w:t>taken into account</w:t>
      </w:r>
      <w:proofErr w:type="gramEnd"/>
      <w:r>
        <w:rPr>
          <w:lang w:val="en-US"/>
        </w:rPr>
        <w:t xml:space="preserve"> by the APVMA in deciding whether to grant the application and in determining appropriate conditions of registration and product</w:t>
      </w:r>
      <w:r>
        <w:t xml:space="preserve"> labelling</w:t>
      </w:r>
      <w:r>
        <w:rPr>
          <w:lang w:val="en-US"/>
        </w:rPr>
        <w:t>.</w:t>
      </w:r>
    </w:p>
    <w:p w14:paraId="7B925ACB" w14:textId="77777777" w:rsidR="00ED3FAE" w:rsidRDefault="00ED3FAE">
      <w:pPr>
        <w:spacing w:line="240" w:lineRule="auto"/>
        <w:rPr>
          <w:rFonts w:cs="Arial"/>
          <w:u w:color="000000"/>
          <w:lang w:val="en-US"/>
        </w:rPr>
      </w:pPr>
      <w:r>
        <w:rPr>
          <w:lang w:val="en-US"/>
        </w:rPr>
        <w:br w:type="page"/>
      </w:r>
    </w:p>
    <w:p w14:paraId="0D5B62E2" w14:textId="36C9ECE8" w:rsidR="006D36C8" w:rsidRDefault="006D36C8" w:rsidP="006D36C8">
      <w:pPr>
        <w:pStyle w:val="APVMAText"/>
        <w:rPr>
          <w:lang w:val="en-US"/>
        </w:rPr>
      </w:pPr>
      <w:r>
        <w:rPr>
          <w:lang w:val="en-US"/>
        </w:rPr>
        <w:lastRenderedPageBreak/>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1A022493" w14:textId="376C6A62" w:rsidR="00991C0E" w:rsidRDefault="008836D1" w:rsidP="00991C0E">
      <w:pPr>
        <w:pStyle w:val="APVMAAddress"/>
        <w:tabs>
          <w:tab w:val="clear" w:pos="1361"/>
          <w:tab w:val="left" w:pos="851"/>
        </w:tabs>
        <w:ind w:left="0"/>
      </w:pPr>
      <w:r>
        <w:t>Executive Director</w:t>
      </w:r>
      <w:r w:rsidR="0014021C">
        <w:t xml:space="preserve">, </w:t>
      </w:r>
      <w:r w:rsidR="0014021C" w:rsidRPr="0014021C">
        <w:t>Risk Assessment Capability</w:t>
      </w:r>
      <w:r w:rsidR="00466D82">
        <w:br/>
      </w:r>
      <w:r w:rsidR="006D36C8">
        <w:t>Australian Pesticides and Veterinary Medicines Authority</w:t>
      </w:r>
      <w:r w:rsidR="00466D82">
        <w:br/>
      </w:r>
      <w:r w:rsidR="00991C0E">
        <w:t>GPO Box 574</w:t>
      </w:r>
      <w:r w:rsidR="00466D82">
        <w:br/>
      </w:r>
      <w:r w:rsidR="00991C0E">
        <w:t>Canberra ACT 2601 Australia</w:t>
      </w:r>
    </w:p>
    <w:p w14:paraId="6EDED567" w14:textId="2B40C8FB" w:rsidR="006D36C8" w:rsidRPr="006D36C8" w:rsidRDefault="006D36C8" w:rsidP="00466D82">
      <w:pPr>
        <w:pStyle w:val="APVMAAddress"/>
        <w:tabs>
          <w:tab w:val="clear" w:pos="1361"/>
          <w:tab w:val="left" w:pos="851"/>
        </w:tabs>
        <w:spacing w:before="240"/>
        <w:ind w:left="0"/>
      </w:pPr>
      <w:r>
        <w:rPr>
          <w:b/>
        </w:rPr>
        <w:t>Phone:</w:t>
      </w:r>
      <w:r>
        <w:tab/>
        <w:t xml:space="preserve">+61 2 </w:t>
      </w:r>
      <w:r w:rsidR="00BD0287">
        <w:t>6770 2300</w:t>
      </w:r>
      <w:r w:rsidR="00466D82">
        <w:br/>
      </w:r>
      <w:r>
        <w:rPr>
          <w:b/>
        </w:rPr>
        <w:t>Email:</w:t>
      </w:r>
      <w:r>
        <w:tab/>
      </w:r>
      <w:r w:rsidR="0014021C">
        <w:t>enquiries@apvma.gov.au</w:t>
      </w:r>
    </w:p>
    <w:p w14:paraId="75ADC83A" w14:textId="77777777" w:rsidR="006D36C8" w:rsidRDefault="006D36C8" w:rsidP="00032787">
      <w:pPr>
        <w:pStyle w:val="APVMAPreliminariesH2"/>
      </w:pPr>
      <w:bookmarkStart w:id="8" w:name="_Toc2243844"/>
      <w:bookmarkStart w:id="9" w:name="_Toc187405131"/>
      <w:r>
        <w:t>Further information</w:t>
      </w:r>
      <w:bookmarkEnd w:id="8"/>
      <w:bookmarkEnd w:id="9"/>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1"/>
          <w:headerReference w:type="default" r:id="rId22"/>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3" w:history="1">
        <w:r>
          <w:rPr>
            <w:rStyle w:val="Hyperlink"/>
          </w:rPr>
          <w:t>apvma.gov.au</w:t>
        </w:r>
      </w:hyperlink>
      <w:r w:rsidRPr="00AF1ED4">
        <w:rPr>
          <w:rStyle w:val="Hyperlink"/>
          <w:color w:val="auto"/>
          <w:u w:val="none"/>
        </w:rPr>
        <w:t>.</w:t>
      </w:r>
    </w:p>
    <w:p w14:paraId="5181B9C2" w14:textId="70DA256D" w:rsidR="002E20AC" w:rsidRDefault="007B1953" w:rsidP="000D2CEF">
      <w:pPr>
        <w:pStyle w:val="APVMAPreliminariesH1"/>
      </w:pPr>
      <w:bookmarkStart w:id="10" w:name="_Toc187405132"/>
      <w:r>
        <w:lastRenderedPageBreak/>
        <w:t>I</w:t>
      </w:r>
      <w:r w:rsidR="006D36C8">
        <w:t>ntroduction</w:t>
      </w:r>
      <w:bookmarkEnd w:id="10"/>
    </w:p>
    <w:p w14:paraId="304B2C23" w14:textId="5EA6C25D" w:rsidR="0014021C" w:rsidRPr="002D5603" w:rsidRDefault="0014021C" w:rsidP="0014021C">
      <w:pPr>
        <w:pStyle w:val="APVMAText"/>
      </w:pPr>
      <w:bookmarkStart w:id="11" w:name="_Toc414373835"/>
      <w:r w:rsidRPr="002D5603">
        <w:t xml:space="preserve">The APVMA has before it an application from </w:t>
      </w:r>
      <w:r w:rsidR="002D5603" w:rsidRPr="002D5603">
        <w:t xml:space="preserve">Syngenta Australia Pty Ltd </w:t>
      </w:r>
      <w:r w:rsidRPr="002D5603">
        <w:t xml:space="preserve">to </w:t>
      </w:r>
      <w:r w:rsidR="002D5603" w:rsidRPr="002D5603">
        <w:t xml:space="preserve">vary the registration </w:t>
      </w:r>
      <w:r w:rsidRPr="002D5603">
        <w:t xml:space="preserve">of </w:t>
      </w:r>
      <w:r w:rsidR="002D5603" w:rsidRPr="002D5603">
        <w:t xml:space="preserve">Ridomil Gold 480 SL Systemic Fungicide </w:t>
      </w:r>
      <w:r w:rsidR="000F2193">
        <w:t xml:space="preserve">(Product number 64812) </w:t>
      </w:r>
      <w:r w:rsidRPr="002D5603">
        <w:t xml:space="preserve">containing </w:t>
      </w:r>
      <w:r w:rsidR="002D5603" w:rsidRPr="002D5603">
        <w:t>480</w:t>
      </w:r>
      <w:r w:rsidRPr="002D5603">
        <w:t xml:space="preserve"> g/L </w:t>
      </w:r>
      <w:r w:rsidR="002D5603" w:rsidRPr="002D5603">
        <w:t>metalaxyl-</w:t>
      </w:r>
      <w:r w:rsidR="007212F5">
        <w:t>M</w:t>
      </w:r>
      <w:r w:rsidR="008A071E">
        <w:t xml:space="preserve"> Soluble Concentrate</w:t>
      </w:r>
      <w:r w:rsidRPr="002D5603">
        <w:t xml:space="preserve"> to add </w:t>
      </w:r>
      <w:r w:rsidR="002D5603" w:rsidRPr="002D5603">
        <w:t xml:space="preserve">a </w:t>
      </w:r>
      <w:r w:rsidRPr="002D5603">
        <w:t xml:space="preserve">use on </w:t>
      </w:r>
      <w:r w:rsidR="002D5603" w:rsidRPr="002D5603">
        <w:t>peaches.</w:t>
      </w:r>
    </w:p>
    <w:p w14:paraId="1D50DC78" w14:textId="7BE20D2B" w:rsidR="00D67750" w:rsidRDefault="00D67750" w:rsidP="0014021C">
      <w:pPr>
        <w:pStyle w:val="APVMAText"/>
      </w:pPr>
      <w:r w:rsidRPr="00D67750">
        <w:t>The registered use of metalaxyl-</w:t>
      </w:r>
      <w:r w:rsidR="0039549E">
        <w:t>M</w:t>
      </w:r>
      <w:r w:rsidRPr="00D67750">
        <w:t xml:space="preserve"> on peaches (P</w:t>
      </w:r>
      <w:r>
        <w:t xml:space="preserve">roduct number </w:t>
      </w:r>
      <w:r w:rsidRPr="00D67750">
        <w:t>50120</w:t>
      </w:r>
      <w:r w:rsidR="008A071E">
        <w:t>, Granular formulation</w:t>
      </w:r>
      <w:r w:rsidRPr="00D67750">
        <w:t xml:space="preserve">) involves application around the base of the tree trunk, applied in autumn and again in spring at a rate of 2.5 g ai/tree in conjunction with a harvest </w:t>
      </w:r>
      <w:r w:rsidR="0039549E">
        <w:t>w</w:t>
      </w:r>
      <w:r>
        <w:t xml:space="preserve">ithholding </w:t>
      </w:r>
      <w:r w:rsidR="0039549E">
        <w:t>p</w:t>
      </w:r>
      <w:r>
        <w:t>eriod (</w:t>
      </w:r>
      <w:r w:rsidRPr="00D67750">
        <w:t>WHP</w:t>
      </w:r>
      <w:r>
        <w:t>)</w:t>
      </w:r>
      <w:r w:rsidRPr="00D67750">
        <w:t xml:space="preserve"> of 6 weeks. The current metalaxyl </w:t>
      </w:r>
      <w:r w:rsidR="004B667C" w:rsidRPr="008A035F">
        <w:t>Maximum Residue Limit</w:t>
      </w:r>
      <w:r w:rsidR="004B667C" w:rsidRPr="00D67750">
        <w:t xml:space="preserve"> </w:t>
      </w:r>
      <w:r w:rsidR="004B667C">
        <w:t>(</w:t>
      </w:r>
      <w:r w:rsidRPr="00D67750">
        <w:t>MRL</w:t>
      </w:r>
      <w:r w:rsidR="004B667C">
        <w:t>)</w:t>
      </w:r>
      <w:r w:rsidRPr="00D67750">
        <w:t xml:space="preserve"> of 0.2 mg/kg for FS 0012 Stone fruits was established during the February 1984 Pesticides and Agricultural Chemicals Standing Committee</w:t>
      </w:r>
      <w:r>
        <w:t xml:space="preserve"> (</w:t>
      </w:r>
      <w:r w:rsidRPr="00D67750">
        <w:t>PACSC</w:t>
      </w:r>
      <w:r>
        <w:t>)</w:t>
      </w:r>
      <w:r w:rsidRPr="00D67750">
        <w:t xml:space="preserve"> meeting based on residue data on stone fruits.</w:t>
      </w:r>
    </w:p>
    <w:p w14:paraId="1C698E8E" w14:textId="3A6FECF3" w:rsidR="008A071E" w:rsidRDefault="008A071E" w:rsidP="0014021C">
      <w:pPr>
        <w:pStyle w:val="APVMAText"/>
      </w:pPr>
      <w:r>
        <w:t>It is noted that the registered use on peaches is for a different formulation type (Granular) than proposed (Soluble Concentrate)</w:t>
      </w:r>
      <w:r w:rsidR="00555089">
        <w:t>. Extrapolation between these formulation types was</w:t>
      </w:r>
      <w:r w:rsidR="001C5F2F">
        <w:t xml:space="preserve"> not considered appropriate</w:t>
      </w:r>
      <w:r>
        <w:t>.</w:t>
      </w:r>
      <w:r w:rsidR="001C5F2F">
        <w:t xml:space="preserve"> </w:t>
      </w:r>
      <w:r w:rsidR="00555089">
        <w:t>New data relevant to the proposed formulation type was</w:t>
      </w:r>
      <w:r w:rsidR="001C5F2F">
        <w:t xml:space="preserve"> </w:t>
      </w:r>
      <w:r w:rsidR="00555089">
        <w:t>considered in support of the proposed use.</w:t>
      </w:r>
    </w:p>
    <w:p w14:paraId="3A49FA34" w14:textId="123026D5" w:rsidR="004C3CAE" w:rsidRDefault="0014021C" w:rsidP="0014021C">
      <w:pPr>
        <w:pStyle w:val="APVMAText"/>
      </w:pPr>
      <w:r w:rsidRPr="008A035F">
        <w:t>Based on the submitted data</w:t>
      </w:r>
      <w:r w:rsidR="00D67750">
        <w:t xml:space="preserve"> and the recommended harvest </w:t>
      </w:r>
      <w:r w:rsidR="00E90BA7">
        <w:t>WHP</w:t>
      </w:r>
      <w:r w:rsidR="00D67750">
        <w:t xml:space="preserve"> of 21 days</w:t>
      </w:r>
      <w:r w:rsidRPr="008A035F">
        <w:t xml:space="preserve">, </w:t>
      </w:r>
      <w:r w:rsidR="004C3CAE">
        <w:t xml:space="preserve">the establishment of a </w:t>
      </w:r>
      <w:r w:rsidR="008A035F" w:rsidRPr="008A035F">
        <w:t xml:space="preserve">metalaxyl MRL for FS 0247 Peach at 0.6 mg/kg is </w:t>
      </w:r>
      <w:r w:rsidR="004C3CAE">
        <w:t>considered necessary.</w:t>
      </w:r>
      <w:r w:rsidR="008A035F" w:rsidRPr="008A035F">
        <w:t xml:space="preserve"> </w:t>
      </w:r>
      <w:r w:rsidR="00991C0E">
        <w:t>T</w:t>
      </w:r>
      <w:r w:rsidRPr="008A035F">
        <w:t xml:space="preserve">he current </w:t>
      </w:r>
      <w:r w:rsidR="008A035F" w:rsidRPr="008A035F">
        <w:t>metalaxyl</w:t>
      </w:r>
      <w:r w:rsidRPr="008A035F">
        <w:t xml:space="preserve"> MRL for </w:t>
      </w:r>
      <w:r w:rsidR="008A035F" w:rsidRPr="008A035F">
        <w:t>FS 0012 Stone fruits</w:t>
      </w:r>
      <w:r w:rsidRPr="008A035F">
        <w:t xml:space="preserve"> at </w:t>
      </w:r>
      <w:r w:rsidR="008A035F" w:rsidRPr="008A035F">
        <w:t>0.2</w:t>
      </w:r>
      <w:r w:rsidRPr="008A035F">
        <w:t xml:space="preserve"> mg/kg</w:t>
      </w:r>
      <w:r w:rsidR="008A035F" w:rsidRPr="008A035F">
        <w:t xml:space="preserve"> should be amended to </w:t>
      </w:r>
      <w:r w:rsidR="000F2193">
        <w:t>exclude peaches</w:t>
      </w:r>
      <w:r w:rsidR="008A035F" w:rsidRPr="008A035F">
        <w:t>.</w:t>
      </w:r>
    </w:p>
    <w:p w14:paraId="36EBD2B6" w14:textId="77777777" w:rsidR="00F10D70" w:rsidRDefault="00BC5A5C" w:rsidP="0014021C">
      <w:pPr>
        <w:pStyle w:val="APVMAText"/>
        <w:sectPr w:rsidR="00F10D70">
          <w:headerReference w:type="even" r:id="rId24"/>
          <w:pgSz w:w="11906" w:h="16838" w:code="9"/>
          <w:pgMar w:top="2835" w:right="1134" w:bottom="1134" w:left="1134" w:header="1701" w:footer="680" w:gutter="0"/>
          <w:cols w:space="708"/>
          <w:docGrid w:linePitch="360"/>
        </w:sectPr>
      </w:pPr>
      <w:r>
        <w:t>A metalaxyl peach MRL higher than the current stone fruit MRL is proposed which</w:t>
      </w:r>
      <w:r w:rsidR="004C3CAE" w:rsidRPr="00C3111B">
        <w:t xml:space="preserve"> therefore</w:t>
      </w:r>
      <w:r w:rsidR="0014021C" w:rsidRPr="00C3111B">
        <w:t xml:space="preserve"> require</w:t>
      </w:r>
      <w:r w:rsidR="004C3CAE" w:rsidRPr="00C3111B">
        <w:t>s</w:t>
      </w:r>
      <w:r w:rsidR="0014021C" w:rsidRPr="00C3111B">
        <w:t xml:space="preserve"> further consideration with respect to trade.</w:t>
      </w:r>
      <w:r w:rsidR="004C3CAE" w:rsidRPr="00C3111B">
        <w:t xml:space="preserve"> </w:t>
      </w:r>
      <w:r w:rsidR="0014021C" w:rsidRPr="00C3111B">
        <w:t xml:space="preserve">This </w:t>
      </w:r>
      <w:r w:rsidR="00991C0E">
        <w:t>T</w:t>
      </w:r>
      <w:r w:rsidR="0014021C" w:rsidRPr="00C3111B">
        <w:t xml:space="preserve">rade </w:t>
      </w:r>
      <w:r w:rsidR="00991C0E">
        <w:t>A</w:t>
      </w:r>
      <w:r w:rsidR="0014021C" w:rsidRPr="00C3111B">
        <w:t xml:space="preserve">dvice </w:t>
      </w:r>
      <w:r w:rsidR="00991C0E">
        <w:t>N</w:t>
      </w:r>
      <w:r w:rsidR="0014021C" w:rsidRPr="00C3111B">
        <w:t xml:space="preserve">otice considers the risk to trade in </w:t>
      </w:r>
      <w:r w:rsidR="008A035F" w:rsidRPr="00C3111B">
        <w:t>peaches</w:t>
      </w:r>
      <w:r w:rsidR="004C3CAE" w:rsidRPr="00C3111B">
        <w:t>.</w:t>
      </w:r>
    </w:p>
    <w:p w14:paraId="4707C66B" w14:textId="77777777" w:rsidR="00C3111B" w:rsidRDefault="00C3111B" w:rsidP="00C3111B">
      <w:pPr>
        <w:pStyle w:val="Heading1"/>
        <w:ind w:left="680" w:hanging="680"/>
      </w:pPr>
      <w:bookmarkStart w:id="12" w:name="_Toc2243846"/>
      <w:bookmarkStart w:id="13" w:name="_Toc152070968"/>
      <w:bookmarkStart w:id="14" w:name="_Toc231889745"/>
      <w:bookmarkStart w:id="15" w:name="_Toc2243848"/>
      <w:bookmarkStart w:id="16" w:name="_Toc187405133"/>
      <w:bookmarkEnd w:id="11"/>
      <w:r w:rsidRPr="00032787">
        <w:lastRenderedPageBreak/>
        <w:t>Trade</w:t>
      </w:r>
      <w:r>
        <w:t xml:space="preserve"> considerations</w:t>
      </w:r>
      <w:bookmarkEnd w:id="12"/>
      <w:bookmarkEnd w:id="13"/>
      <w:bookmarkEnd w:id="16"/>
    </w:p>
    <w:p w14:paraId="3CA05D00" w14:textId="77777777" w:rsidR="00C3111B" w:rsidRDefault="00C3111B" w:rsidP="00C3111B">
      <w:pPr>
        <w:pStyle w:val="Heading2"/>
        <w:numPr>
          <w:ilvl w:val="0"/>
          <w:numId w:val="0"/>
        </w:numPr>
      </w:pPr>
      <w:bookmarkStart w:id="17" w:name="_Toc187405134"/>
      <w:r>
        <w:t xml:space="preserve">Commodities </w:t>
      </w:r>
      <w:r w:rsidRPr="00753ED8">
        <w:t>exported</w:t>
      </w:r>
      <w:bookmarkEnd w:id="17"/>
    </w:p>
    <w:p w14:paraId="379395AD" w14:textId="02C5C606" w:rsidR="00557CE6" w:rsidRDefault="00C3111B" w:rsidP="00C3111B">
      <w:pPr>
        <w:pStyle w:val="APVMAText"/>
      </w:pPr>
      <w:r w:rsidRPr="002B0144">
        <w:t>Stone fruits</w:t>
      </w:r>
      <w:r w:rsidR="00557CE6">
        <w:t>, including peaches,</w:t>
      </w:r>
      <w:r>
        <w:t xml:space="preserve"> are considered to be major export commodities</w:t>
      </w:r>
      <w:r>
        <w:rPr>
          <w:rStyle w:val="FootnoteReference"/>
        </w:rPr>
        <w:footnoteReference w:id="2"/>
      </w:r>
      <w:r>
        <w:t xml:space="preserve">, as are commodities of animal origin, </w:t>
      </w:r>
      <w:r w:rsidRPr="002B0144">
        <w:t>such as meat, offal and dairy products, which may be derived from livestock fed feeds produced from treated stone fruits</w:t>
      </w:r>
      <w:r>
        <w:t>.</w:t>
      </w:r>
      <w:r w:rsidRPr="002B0144">
        <w:rPr>
          <w:vertAlign w:val="superscript"/>
        </w:rPr>
        <w:t xml:space="preserve"> </w:t>
      </w:r>
      <w:r w:rsidRPr="002B0144">
        <w:t xml:space="preserve">Residues in these commodities resulting from the use of </w:t>
      </w:r>
      <w:r w:rsidRPr="002B0144">
        <w:rPr>
          <w:i/>
        </w:rPr>
        <w:t>Ridomil Gold 480 SL Systemic Fungicide</w:t>
      </w:r>
      <w:r w:rsidRPr="002B0144">
        <w:t xml:space="preserve"> may have the potential to unduly prejudice trade.</w:t>
      </w:r>
    </w:p>
    <w:p w14:paraId="5EBE0039" w14:textId="6624ACBA" w:rsidR="00C3111B" w:rsidRPr="006817A6" w:rsidRDefault="002A25F1" w:rsidP="00C3111B">
      <w:pPr>
        <w:pStyle w:val="APVMAText"/>
        <w:rPr>
          <w:szCs w:val="20"/>
        </w:rPr>
      </w:pPr>
      <w:r>
        <w:rPr>
          <w:szCs w:val="20"/>
        </w:rPr>
        <w:t>T</w:t>
      </w:r>
      <w:r w:rsidR="00C3111B" w:rsidRPr="00F16F94">
        <w:rPr>
          <w:szCs w:val="20"/>
        </w:rPr>
        <w:t>he maximum livestock dietary burden for metalaxyl will not increase</w:t>
      </w:r>
      <w:r w:rsidR="00557CE6">
        <w:rPr>
          <w:szCs w:val="20"/>
        </w:rPr>
        <w:t xml:space="preserve">, </w:t>
      </w:r>
      <w:r>
        <w:rPr>
          <w:szCs w:val="20"/>
        </w:rPr>
        <w:t xml:space="preserve">noting peaches are not a significant feed for livestock </w:t>
      </w:r>
      <w:r w:rsidR="00557CE6">
        <w:rPr>
          <w:szCs w:val="20"/>
        </w:rPr>
        <w:t xml:space="preserve">and </w:t>
      </w:r>
      <w:r w:rsidR="00557CE6" w:rsidRPr="00557CE6">
        <w:rPr>
          <w:szCs w:val="20"/>
        </w:rPr>
        <w:t>a grazing restraint of “DO NOT graze any treated area or cut for stockfood.” is recommended</w:t>
      </w:r>
      <w:r>
        <w:rPr>
          <w:szCs w:val="20"/>
        </w:rPr>
        <w:t>.</w:t>
      </w:r>
      <w:r w:rsidR="00C3111B" w:rsidRPr="006817A6">
        <w:rPr>
          <w:szCs w:val="20"/>
        </w:rPr>
        <w:t xml:space="preserve"> </w:t>
      </w:r>
      <w:r>
        <w:rPr>
          <w:szCs w:val="20"/>
        </w:rPr>
        <w:t xml:space="preserve">The current </w:t>
      </w:r>
      <w:r w:rsidR="00557CE6">
        <w:rPr>
          <w:szCs w:val="20"/>
        </w:rPr>
        <w:t xml:space="preserve">animal commodity MRLs </w:t>
      </w:r>
      <w:r>
        <w:rPr>
          <w:szCs w:val="20"/>
        </w:rPr>
        <w:t xml:space="preserve">for metalaxyl therefore </w:t>
      </w:r>
      <w:r w:rsidR="00557CE6">
        <w:rPr>
          <w:szCs w:val="20"/>
        </w:rPr>
        <w:t>remain appropriate. T</w:t>
      </w:r>
      <w:r w:rsidR="00C3111B" w:rsidRPr="006817A6">
        <w:rPr>
          <w:szCs w:val="20"/>
        </w:rPr>
        <w:t>he risk to trade in animal commodities remains unchanged and does not require further consideration</w:t>
      </w:r>
      <w:r w:rsidR="005313DE">
        <w:rPr>
          <w:szCs w:val="20"/>
        </w:rPr>
        <w:t xml:space="preserve"> at this time</w:t>
      </w:r>
      <w:r w:rsidR="00C3111B" w:rsidRPr="006817A6">
        <w:rPr>
          <w:szCs w:val="20"/>
        </w:rPr>
        <w:t>.</w:t>
      </w:r>
    </w:p>
    <w:p w14:paraId="4E7D018C" w14:textId="77777777" w:rsidR="006D36C8" w:rsidRDefault="006D36C8" w:rsidP="007B1953">
      <w:pPr>
        <w:pStyle w:val="Heading2"/>
        <w:numPr>
          <w:ilvl w:val="0"/>
          <w:numId w:val="0"/>
        </w:numPr>
      </w:pPr>
      <w:bookmarkStart w:id="18" w:name="_Toc187405135"/>
      <w:r>
        <w:t>Destination and value of exports</w:t>
      </w:r>
      <w:bookmarkEnd w:id="14"/>
      <w:bookmarkEnd w:id="15"/>
      <w:bookmarkEnd w:id="18"/>
    </w:p>
    <w:p w14:paraId="262F9261" w14:textId="74501F88" w:rsidR="00B644ED" w:rsidRPr="00B644ED" w:rsidRDefault="006817A6" w:rsidP="0014021C">
      <w:pPr>
        <w:pStyle w:val="APVMAText"/>
        <w:rPr>
          <w:szCs w:val="20"/>
        </w:rPr>
      </w:pPr>
      <w:bookmarkStart w:id="19" w:name="_Toc252955166"/>
      <w:r>
        <w:rPr>
          <w:szCs w:val="20"/>
        </w:rPr>
        <w:t>According to the Australian Horticulture Statistics Handbook</w:t>
      </w:r>
      <w:r w:rsidR="00991C0E">
        <w:rPr>
          <w:szCs w:val="20"/>
        </w:rPr>
        <w:t xml:space="preserve"> 2022</w:t>
      </w:r>
      <w:r w:rsidR="003224B7">
        <w:rPr>
          <w:szCs w:val="20"/>
        </w:rPr>
        <w:t>–</w:t>
      </w:r>
      <w:r w:rsidR="00991C0E">
        <w:rPr>
          <w:szCs w:val="20"/>
        </w:rPr>
        <w:t>23</w:t>
      </w:r>
      <w:r>
        <w:rPr>
          <w:szCs w:val="20"/>
        </w:rPr>
        <w:t>, f</w:t>
      </w:r>
      <w:r w:rsidR="00B644ED" w:rsidRPr="00B644ED">
        <w:rPr>
          <w:szCs w:val="20"/>
        </w:rPr>
        <w:t xml:space="preserve">or the year ending June 2023, </w:t>
      </w:r>
      <w:r w:rsidR="00B644ED" w:rsidRPr="00B644ED">
        <w:t>Australia exported 9,909 tonnes of nectarines/peaches valued at $46.3m</w:t>
      </w:r>
      <w:r w:rsidR="00B644ED" w:rsidRPr="00B644ED">
        <w:rPr>
          <w:rStyle w:val="FootnoteReference"/>
        </w:rPr>
        <w:footnoteReference w:id="3"/>
      </w:r>
      <w:r w:rsidR="00B644ED" w:rsidRPr="00B644ED">
        <w:t>.</w:t>
      </w:r>
    </w:p>
    <w:p w14:paraId="189C9D6E" w14:textId="02E2D8AB" w:rsidR="006D36C8" w:rsidRDefault="006D36C8" w:rsidP="006D36C8">
      <w:pPr>
        <w:pStyle w:val="Caption"/>
      </w:pPr>
      <w:bookmarkStart w:id="20" w:name="_Toc184289057"/>
      <w:r>
        <w:t>Table 1:</w:t>
      </w:r>
      <w:r>
        <w:tab/>
      </w:r>
      <w:r w:rsidR="00B644ED">
        <w:t>Key</w:t>
      </w:r>
      <w:r>
        <w:t xml:space="preserve"> </w:t>
      </w:r>
      <w:r w:rsidR="000124F2">
        <w:t>e</w:t>
      </w:r>
      <w:r>
        <w:t xml:space="preserve">xport markets </w:t>
      </w:r>
      <w:bookmarkEnd w:id="19"/>
      <w:r w:rsidR="00B644ED">
        <w:t>for Australian nectarines/peaches</w:t>
      </w:r>
      <w:bookmarkEnd w:id="20"/>
    </w:p>
    <w:tbl>
      <w:tblPr>
        <w:tblW w:w="5149" w:type="pct"/>
        <w:tblBorders>
          <w:bottom w:val="dotted" w:sz="2" w:space="0" w:color="auto"/>
          <w:insideH w:val="dotted" w:sz="2" w:space="0" w:color="auto"/>
        </w:tblBorders>
        <w:tblLook w:val="0020" w:firstRow="1" w:lastRow="0" w:firstColumn="0" w:lastColumn="0" w:noHBand="0" w:noVBand="0"/>
      </w:tblPr>
      <w:tblGrid>
        <w:gridCol w:w="2920"/>
        <w:gridCol w:w="7005"/>
      </w:tblGrid>
      <w:tr w:rsidR="00B644ED" w14:paraId="30D4CFEA" w14:textId="77777777" w:rsidTr="004133DA">
        <w:trPr>
          <w:trHeight w:val="208"/>
          <w:tblHeader/>
        </w:trPr>
        <w:tc>
          <w:tcPr>
            <w:tcW w:w="1471" w:type="pct"/>
            <w:tcBorders>
              <w:top w:val="single" w:sz="4" w:space="0" w:color="auto"/>
              <w:bottom w:val="single" w:sz="4" w:space="0" w:color="auto"/>
            </w:tcBorders>
            <w:shd w:val="clear" w:color="auto" w:fill="00747A" w:themeFill="background2"/>
            <w:vAlign w:val="center"/>
          </w:tcPr>
          <w:p w14:paraId="3D8D5A44" w14:textId="77777777" w:rsidR="00B644ED" w:rsidRDefault="00B644ED" w:rsidP="00094DAC">
            <w:pPr>
              <w:pStyle w:val="APVMATableHead"/>
            </w:pPr>
            <w:r>
              <w:t>Crop</w:t>
            </w:r>
          </w:p>
        </w:tc>
        <w:tc>
          <w:tcPr>
            <w:tcW w:w="3529" w:type="pct"/>
            <w:tcBorders>
              <w:top w:val="single" w:sz="4" w:space="0" w:color="auto"/>
              <w:bottom w:val="single" w:sz="4" w:space="0" w:color="auto"/>
            </w:tcBorders>
            <w:shd w:val="clear" w:color="auto" w:fill="00747A" w:themeFill="background2"/>
            <w:vAlign w:val="center"/>
          </w:tcPr>
          <w:p w14:paraId="72CCAB4E" w14:textId="77777777" w:rsidR="00B644ED" w:rsidRDefault="00B644ED" w:rsidP="00094DAC">
            <w:pPr>
              <w:pStyle w:val="APVMATableHead"/>
            </w:pPr>
            <w:r>
              <w:t>Major destinations</w:t>
            </w:r>
          </w:p>
        </w:tc>
      </w:tr>
      <w:tr w:rsidR="00B644ED" w14:paraId="23B4AA76" w14:textId="77777777" w:rsidTr="004133DA">
        <w:trPr>
          <w:trHeight w:val="260"/>
        </w:trPr>
        <w:tc>
          <w:tcPr>
            <w:tcW w:w="1471" w:type="pct"/>
            <w:tcBorders>
              <w:top w:val="single" w:sz="4" w:space="0" w:color="auto"/>
              <w:bottom w:val="single" w:sz="4" w:space="0" w:color="auto"/>
            </w:tcBorders>
            <w:vAlign w:val="center"/>
          </w:tcPr>
          <w:p w14:paraId="6F391228" w14:textId="2F73A3BB" w:rsidR="00B644ED" w:rsidRPr="00094DAC" w:rsidRDefault="00B644ED" w:rsidP="00094DAC">
            <w:pPr>
              <w:pStyle w:val="APVMATableText"/>
            </w:pPr>
            <w:r w:rsidRPr="00094DAC">
              <w:t>Nectarines/Peaches</w:t>
            </w:r>
          </w:p>
        </w:tc>
        <w:tc>
          <w:tcPr>
            <w:tcW w:w="3529" w:type="pct"/>
            <w:tcBorders>
              <w:top w:val="single" w:sz="4" w:space="0" w:color="auto"/>
              <w:bottom w:val="single" w:sz="4" w:space="0" w:color="auto"/>
            </w:tcBorders>
            <w:vAlign w:val="center"/>
          </w:tcPr>
          <w:p w14:paraId="7B7A73AD" w14:textId="6008FCEA" w:rsidR="00B644ED" w:rsidRPr="00094DAC" w:rsidRDefault="00B644ED" w:rsidP="00094DAC">
            <w:pPr>
              <w:pStyle w:val="APVMATableText"/>
            </w:pPr>
            <w:r w:rsidRPr="00094DAC">
              <w:t>China, Singapore, Hong Kong, Malaysia and United Arab Emirates</w:t>
            </w:r>
          </w:p>
        </w:tc>
      </w:tr>
    </w:tbl>
    <w:p w14:paraId="389BF12A" w14:textId="77777777" w:rsidR="00692FC6" w:rsidRDefault="00692FC6">
      <w:pPr>
        <w:spacing w:line="240" w:lineRule="auto"/>
        <w:rPr>
          <w:rFonts w:cs="Arial"/>
          <w:kern w:val="20"/>
          <w:sz w:val="19"/>
          <w:u w:color="000000"/>
        </w:rPr>
      </w:pPr>
      <w:r>
        <w:br w:type="page"/>
      </w:r>
    </w:p>
    <w:p w14:paraId="3EC6D648" w14:textId="2EEAF1FC" w:rsidR="006D36C8" w:rsidRDefault="007B1953" w:rsidP="0014021C">
      <w:pPr>
        <w:pStyle w:val="Heading3"/>
        <w:numPr>
          <w:ilvl w:val="0"/>
          <w:numId w:val="0"/>
        </w:numPr>
      </w:pPr>
      <w:bookmarkStart w:id="21" w:name="_Toc231889746"/>
      <w:bookmarkStart w:id="22" w:name="_Toc2243849"/>
      <w:bookmarkStart w:id="23" w:name="_Toc187405136"/>
      <w:r>
        <w:lastRenderedPageBreak/>
        <w:t xml:space="preserve">Proposed Australian use </w:t>
      </w:r>
      <w:r w:rsidR="006D36C8">
        <w:t>patter</w:t>
      </w:r>
      <w:bookmarkEnd w:id="21"/>
      <w:bookmarkEnd w:id="22"/>
      <w:r w:rsidR="0014021C">
        <w:t>n</w:t>
      </w:r>
      <w:bookmarkEnd w:id="23"/>
    </w:p>
    <w:p w14:paraId="4005185E" w14:textId="1F89744D" w:rsidR="0014021C" w:rsidRDefault="0014021C" w:rsidP="0014021C">
      <w:pPr>
        <w:pStyle w:val="Caption"/>
      </w:pPr>
      <w:bookmarkStart w:id="24" w:name="_Toc96611081"/>
      <w:bookmarkStart w:id="25" w:name="_Toc97042674"/>
      <w:bookmarkStart w:id="26" w:name="_Toc152070978"/>
      <w:bookmarkStart w:id="27" w:name="_Toc184289058"/>
      <w:bookmarkStart w:id="28" w:name="_Toc231889747"/>
      <w:bookmarkStart w:id="29" w:name="_Toc2243850"/>
      <w:r w:rsidRPr="00BF52E7">
        <w:t>Table 2:</w:t>
      </w:r>
      <w:r>
        <w:tab/>
        <w:t xml:space="preserve">Proposed use pattern – </w:t>
      </w:r>
      <w:r w:rsidR="007212F5" w:rsidRPr="007212F5">
        <w:t xml:space="preserve">Ridomil Gold 480 SL Systemic Fungicide </w:t>
      </w:r>
      <w:r>
        <w:t>(</w:t>
      </w:r>
      <w:r w:rsidR="007212F5">
        <w:t>480</w:t>
      </w:r>
      <w:r>
        <w:t xml:space="preserve"> g/L </w:t>
      </w:r>
      <w:r w:rsidR="007212F5">
        <w:t>metalaxyl-M</w:t>
      </w:r>
      <w:r>
        <w:t>)</w:t>
      </w:r>
      <w:bookmarkEnd w:id="24"/>
      <w:bookmarkEnd w:id="25"/>
      <w:bookmarkEnd w:id="26"/>
      <w:bookmarkEnd w:id="27"/>
    </w:p>
    <w:tbl>
      <w:tblPr>
        <w:tblW w:w="5087" w:type="pct"/>
        <w:tblBorders>
          <w:bottom w:val="single" w:sz="4" w:space="0" w:color="auto"/>
          <w:insideH w:val="single" w:sz="4" w:space="0" w:color="auto"/>
        </w:tblBorders>
        <w:tblLook w:val="0020" w:firstRow="1" w:lastRow="0" w:firstColumn="0" w:lastColumn="0" w:noHBand="0" w:noVBand="0"/>
      </w:tblPr>
      <w:tblGrid>
        <w:gridCol w:w="1303"/>
        <w:gridCol w:w="2098"/>
        <w:gridCol w:w="2538"/>
        <w:gridCol w:w="3867"/>
      </w:tblGrid>
      <w:tr w:rsidR="0014021C" w14:paraId="0F6753F0" w14:textId="77777777" w:rsidTr="00C570DC">
        <w:trPr>
          <w:tblHeader/>
        </w:trPr>
        <w:tc>
          <w:tcPr>
            <w:tcW w:w="664" w:type="pct"/>
            <w:tcBorders>
              <w:bottom w:val="nil"/>
            </w:tcBorders>
            <w:shd w:val="clear" w:color="auto" w:fill="00747A" w:themeFill="background2"/>
            <w:vAlign w:val="bottom"/>
          </w:tcPr>
          <w:p w14:paraId="1E84AF08" w14:textId="77777777" w:rsidR="0014021C" w:rsidRDefault="0014021C" w:rsidP="00094DAC">
            <w:pPr>
              <w:pStyle w:val="APVMATableHead"/>
            </w:pPr>
            <w:r>
              <w:t>Crop</w:t>
            </w:r>
          </w:p>
        </w:tc>
        <w:tc>
          <w:tcPr>
            <w:tcW w:w="1070" w:type="pct"/>
            <w:tcBorders>
              <w:bottom w:val="nil"/>
            </w:tcBorders>
            <w:shd w:val="clear" w:color="auto" w:fill="00747A" w:themeFill="background2"/>
            <w:vAlign w:val="bottom"/>
          </w:tcPr>
          <w:p w14:paraId="633B9A6C" w14:textId="77777777" w:rsidR="0014021C" w:rsidRDefault="0014021C" w:rsidP="00094DAC">
            <w:pPr>
              <w:pStyle w:val="APVMATableHead"/>
            </w:pPr>
            <w:r>
              <w:t>Pest</w:t>
            </w:r>
          </w:p>
        </w:tc>
        <w:tc>
          <w:tcPr>
            <w:tcW w:w="1294" w:type="pct"/>
            <w:tcBorders>
              <w:bottom w:val="nil"/>
            </w:tcBorders>
            <w:shd w:val="clear" w:color="auto" w:fill="00747A" w:themeFill="background2"/>
            <w:vAlign w:val="bottom"/>
          </w:tcPr>
          <w:p w14:paraId="00A01D3F" w14:textId="2A60DC6B" w:rsidR="0014021C" w:rsidRDefault="0014021C" w:rsidP="00094DAC">
            <w:pPr>
              <w:pStyle w:val="APVMATableHead"/>
            </w:pPr>
            <w:r>
              <w:t>Rate</w:t>
            </w:r>
          </w:p>
        </w:tc>
        <w:tc>
          <w:tcPr>
            <w:tcW w:w="1972" w:type="pct"/>
            <w:tcBorders>
              <w:bottom w:val="nil"/>
            </w:tcBorders>
            <w:shd w:val="clear" w:color="auto" w:fill="00747A" w:themeFill="background2"/>
          </w:tcPr>
          <w:p w14:paraId="198E9E9B" w14:textId="77777777" w:rsidR="0014021C" w:rsidRDefault="0014021C" w:rsidP="00094DAC">
            <w:pPr>
              <w:pStyle w:val="APVMATableHead"/>
            </w:pPr>
            <w:r>
              <w:t>Critical comments</w:t>
            </w:r>
          </w:p>
        </w:tc>
      </w:tr>
      <w:tr w:rsidR="0014021C" w:rsidRPr="0014021C" w14:paraId="1E3F444A" w14:textId="77777777" w:rsidTr="00B644ED">
        <w:trPr>
          <w:cantSplit/>
        </w:trPr>
        <w:tc>
          <w:tcPr>
            <w:tcW w:w="664" w:type="pct"/>
            <w:vMerge w:val="restart"/>
            <w:tcBorders>
              <w:top w:val="nil"/>
              <w:bottom w:val="nil"/>
            </w:tcBorders>
          </w:tcPr>
          <w:p w14:paraId="0149B991" w14:textId="77777777" w:rsidR="0014021C" w:rsidRPr="00094DAC" w:rsidRDefault="00B644ED" w:rsidP="00094DAC">
            <w:pPr>
              <w:pStyle w:val="APVMATableText"/>
            </w:pPr>
            <w:r w:rsidRPr="00094DAC">
              <w:t>Peaches</w:t>
            </w:r>
          </w:p>
          <w:p w14:paraId="6F92D87B" w14:textId="77777777" w:rsidR="00B644ED" w:rsidRPr="00094DAC" w:rsidRDefault="00B644ED" w:rsidP="00094DAC">
            <w:pPr>
              <w:pStyle w:val="APVMATableText"/>
            </w:pPr>
            <w:r w:rsidRPr="00094DAC">
              <w:t>5 years or older</w:t>
            </w:r>
          </w:p>
          <w:p w14:paraId="0A0BE2F0" w14:textId="4D22FB95" w:rsidR="00B644ED" w:rsidRPr="00094DAC" w:rsidRDefault="00B644ED" w:rsidP="00094DAC">
            <w:pPr>
              <w:pStyle w:val="APVMATableText"/>
            </w:pPr>
            <w:r w:rsidRPr="00094DAC">
              <w:t>Curative treatment</w:t>
            </w:r>
          </w:p>
        </w:tc>
        <w:tc>
          <w:tcPr>
            <w:tcW w:w="1070" w:type="pct"/>
            <w:tcBorders>
              <w:top w:val="nil"/>
              <w:bottom w:val="single" w:sz="4" w:space="0" w:color="auto"/>
            </w:tcBorders>
          </w:tcPr>
          <w:p w14:paraId="7F367BA1" w14:textId="77777777" w:rsidR="00B644ED" w:rsidRPr="00094DAC" w:rsidRDefault="00B644ED" w:rsidP="00094DAC">
            <w:pPr>
              <w:pStyle w:val="APVMATableText"/>
            </w:pPr>
            <w:r w:rsidRPr="00094DAC">
              <w:t xml:space="preserve">Phytophthora Trunk Rot </w:t>
            </w:r>
          </w:p>
          <w:p w14:paraId="050DCAA0" w14:textId="4A316B09" w:rsidR="00C570DC" w:rsidRPr="00094DAC" w:rsidRDefault="00B644ED" w:rsidP="00094DAC">
            <w:pPr>
              <w:pStyle w:val="APVMATableText"/>
            </w:pPr>
            <w:r w:rsidRPr="00094DAC">
              <w:t xml:space="preserve">(Phytophthora </w:t>
            </w:r>
            <w:proofErr w:type="spellStart"/>
            <w:r w:rsidRPr="00094DAC">
              <w:t>cactorum</w:t>
            </w:r>
            <w:proofErr w:type="spellEnd"/>
            <w:r w:rsidRPr="00094DAC">
              <w:t>)</w:t>
            </w:r>
          </w:p>
        </w:tc>
        <w:tc>
          <w:tcPr>
            <w:tcW w:w="1294" w:type="pct"/>
            <w:tcBorders>
              <w:top w:val="nil"/>
              <w:bottom w:val="single" w:sz="4" w:space="0" w:color="auto"/>
            </w:tcBorders>
          </w:tcPr>
          <w:p w14:paraId="7D230525" w14:textId="08E68722" w:rsidR="0014021C" w:rsidRPr="00094DAC" w:rsidRDefault="00B644ED" w:rsidP="00094DAC">
            <w:pPr>
              <w:pStyle w:val="APVMATableText"/>
            </w:pPr>
            <w:r w:rsidRPr="00094DAC">
              <w:t>5.2</w:t>
            </w:r>
            <w:r w:rsidR="0014021C" w:rsidRPr="00094DAC">
              <w:t xml:space="preserve"> mL/</w:t>
            </w:r>
            <w:r w:rsidRPr="00094DAC">
              <w:t>tree</w:t>
            </w:r>
          </w:p>
          <w:p w14:paraId="43895AA9" w14:textId="0BAABC0E" w:rsidR="0014021C" w:rsidRPr="00094DAC" w:rsidRDefault="0014021C" w:rsidP="00094DAC">
            <w:pPr>
              <w:pStyle w:val="APVMATableText"/>
            </w:pPr>
            <w:r w:rsidRPr="00094DAC">
              <w:t>(</w:t>
            </w:r>
            <w:r w:rsidR="00B644ED" w:rsidRPr="00094DAC">
              <w:t>2.5 g ai/tree</w:t>
            </w:r>
            <w:r w:rsidRPr="00094DAC">
              <w:t>)</w:t>
            </w:r>
          </w:p>
        </w:tc>
        <w:tc>
          <w:tcPr>
            <w:tcW w:w="1972" w:type="pct"/>
            <w:tcBorders>
              <w:top w:val="nil"/>
              <w:bottom w:val="single" w:sz="4" w:space="0" w:color="auto"/>
            </w:tcBorders>
          </w:tcPr>
          <w:p w14:paraId="33E97521" w14:textId="7D345904" w:rsidR="0014021C" w:rsidRPr="00094DAC" w:rsidRDefault="00B644ED" w:rsidP="00094DAC">
            <w:pPr>
              <w:pStyle w:val="APVMATableText"/>
            </w:pPr>
            <w:r w:rsidRPr="00094DAC">
              <w:t>Apply in the autumn after harvesting is completed and again in the spring when trees have good leaf cover. Apply RIDOMIL® Gold 480 SL fungicide evenly in a shallow (5 cm) gutter dug around the base of the tree trunk.</w:t>
            </w:r>
          </w:p>
        </w:tc>
      </w:tr>
      <w:tr w:rsidR="0014021C" w:rsidRPr="0014021C" w14:paraId="2BF46A27" w14:textId="77777777" w:rsidTr="00C570DC">
        <w:trPr>
          <w:cantSplit/>
        </w:trPr>
        <w:tc>
          <w:tcPr>
            <w:tcW w:w="664" w:type="pct"/>
            <w:vMerge/>
            <w:tcBorders>
              <w:top w:val="nil"/>
              <w:bottom w:val="single" w:sz="4" w:space="0" w:color="auto"/>
            </w:tcBorders>
          </w:tcPr>
          <w:p w14:paraId="7C2B816D" w14:textId="77777777" w:rsidR="0014021C" w:rsidRPr="00094DAC" w:rsidRDefault="0014021C" w:rsidP="00094DAC">
            <w:pPr>
              <w:pStyle w:val="APVMATableText"/>
            </w:pPr>
          </w:p>
        </w:tc>
        <w:tc>
          <w:tcPr>
            <w:tcW w:w="1070" w:type="pct"/>
            <w:tcBorders>
              <w:top w:val="single" w:sz="4" w:space="0" w:color="auto"/>
              <w:bottom w:val="single" w:sz="4" w:space="0" w:color="auto"/>
            </w:tcBorders>
          </w:tcPr>
          <w:p w14:paraId="7BC1385A" w14:textId="77777777" w:rsidR="00B644ED" w:rsidRPr="00094DAC" w:rsidRDefault="00B644ED" w:rsidP="00094DAC">
            <w:pPr>
              <w:pStyle w:val="APVMATableText"/>
            </w:pPr>
            <w:r w:rsidRPr="00094DAC">
              <w:t>Phytophthora Root Rot</w:t>
            </w:r>
          </w:p>
          <w:p w14:paraId="173663D4" w14:textId="3E9BD57F" w:rsidR="0014021C" w:rsidRPr="00094DAC" w:rsidRDefault="00B644ED" w:rsidP="00094DAC">
            <w:pPr>
              <w:pStyle w:val="APVMATableText"/>
            </w:pPr>
            <w:r w:rsidRPr="00094DAC">
              <w:t xml:space="preserve">(P. </w:t>
            </w:r>
            <w:proofErr w:type="spellStart"/>
            <w:r w:rsidRPr="00094DAC">
              <w:t>cinnamomi</w:t>
            </w:r>
            <w:proofErr w:type="spellEnd"/>
            <w:r w:rsidRPr="00094DAC">
              <w:t>)</w:t>
            </w:r>
          </w:p>
        </w:tc>
        <w:tc>
          <w:tcPr>
            <w:tcW w:w="1294" w:type="pct"/>
            <w:tcBorders>
              <w:top w:val="single" w:sz="4" w:space="0" w:color="auto"/>
              <w:bottom w:val="single" w:sz="4" w:space="0" w:color="auto"/>
            </w:tcBorders>
          </w:tcPr>
          <w:p w14:paraId="6A04209B" w14:textId="77777777" w:rsidR="00C570DC" w:rsidRPr="00094DAC" w:rsidRDefault="00C570DC" w:rsidP="00094DAC">
            <w:pPr>
              <w:pStyle w:val="APVMATableText"/>
            </w:pPr>
            <w:r w:rsidRPr="00094DAC">
              <w:t>5.2 mL/tree</w:t>
            </w:r>
          </w:p>
          <w:p w14:paraId="557CBCEE" w14:textId="3B63C6A8" w:rsidR="0014021C" w:rsidRPr="00094DAC" w:rsidRDefault="00C570DC" w:rsidP="00094DAC">
            <w:pPr>
              <w:pStyle w:val="APVMATableText"/>
            </w:pPr>
            <w:r w:rsidRPr="00094DAC">
              <w:t>(2.5 g ai/tree)</w:t>
            </w:r>
          </w:p>
        </w:tc>
        <w:tc>
          <w:tcPr>
            <w:tcW w:w="1972" w:type="pct"/>
            <w:tcBorders>
              <w:top w:val="single" w:sz="4" w:space="0" w:color="auto"/>
              <w:bottom w:val="single" w:sz="4" w:space="0" w:color="auto"/>
            </w:tcBorders>
          </w:tcPr>
          <w:p w14:paraId="2D68E3B5" w14:textId="614CBA49" w:rsidR="0014021C" w:rsidRPr="00094DAC" w:rsidRDefault="00C570DC" w:rsidP="00094DAC">
            <w:pPr>
              <w:pStyle w:val="APVMATableText"/>
            </w:pPr>
            <w:r w:rsidRPr="00094DAC">
              <w:t>Clear all weed growth from under tree canopy. To ensure that the fungicide is carried into the feeder root zone of the tree, apply when rain is imminent or use irrigation as soon as practical. It is essential that good management practices including proper mulching, fertilisation, and irrigation, where required, be followed to allow satisfactory response to root rot control by RIDOMIL® Gold 480 SL fungicide.</w:t>
            </w:r>
          </w:p>
        </w:tc>
      </w:tr>
    </w:tbl>
    <w:p w14:paraId="6B316585" w14:textId="4214C985" w:rsidR="0014021C" w:rsidRPr="00C570DC" w:rsidRDefault="00C570DC" w:rsidP="00323317">
      <w:pPr>
        <w:pStyle w:val="APVMAText"/>
      </w:pPr>
      <w:r w:rsidRPr="00C570DC">
        <w:t>Harvest w</w:t>
      </w:r>
      <w:r w:rsidR="0014021C" w:rsidRPr="00C570DC">
        <w:t>ithholding period:</w:t>
      </w:r>
    </w:p>
    <w:p w14:paraId="5068F61B" w14:textId="7B9BA523" w:rsidR="00007DB4" w:rsidRDefault="00C570DC" w:rsidP="00323317">
      <w:pPr>
        <w:pStyle w:val="APVMAText"/>
      </w:pPr>
      <w:r w:rsidRPr="00C570DC">
        <w:t xml:space="preserve">Peaches: DO NOT harvest for </w:t>
      </w:r>
      <w:r w:rsidR="001E0243">
        <w:t>21 days</w:t>
      </w:r>
      <w:r w:rsidRPr="00C570DC">
        <w:t xml:space="preserve"> after application.</w:t>
      </w:r>
    </w:p>
    <w:p w14:paraId="1D819B24" w14:textId="3E812600" w:rsidR="00007DB4" w:rsidRPr="00C570DC" w:rsidRDefault="001E0243" w:rsidP="00323317">
      <w:pPr>
        <w:pStyle w:val="APVMAText"/>
      </w:pPr>
      <w:r>
        <w:t xml:space="preserve">Grazing: DO NOT graze any treated area or cut for </w:t>
      </w:r>
      <w:proofErr w:type="spellStart"/>
      <w:r>
        <w:t>stockfood</w:t>
      </w:r>
      <w:proofErr w:type="spellEnd"/>
      <w:r w:rsidR="005A7A8B">
        <w:t>.</w:t>
      </w:r>
    </w:p>
    <w:p w14:paraId="28529C15" w14:textId="77777777" w:rsidR="006D36C8" w:rsidRDefault="006D36C8" w:rsidP="00032787">
      <w:pPr>
        <w:pStyle w:val="Heading2"/>
      </w:pPr>
      <w:bookmarkStart w:id="30" w:name="_Toc187405137"/>
      <w:r>
        <w:t>Results from residues trials presented to the APVMA</w:t>
      </w:r>
      <w:bookmarkEnd w:id="28"/>
      <w:bookmarkEnd w:id="29"/>
      <w:bookmarkEnd w:id="30"/>
    </w:p>
    <w:p w14:paraId="4CF51C95" w14:textId="2AF91505" w:rsidR="00323317" w:rsidRDefault="0014021C" w:rsidP="0056594B">
      <w:pPr>
        <w:pStyle w:val="APVMAText"/>
      </w:pPr>
      <w:bookmarkStart w:id="31" w:name="_Toc231889748"/>
      <w:bookmarkStart w:id="32" w:name="_Toc2243851"/>
      <w:r w:rsidRPr="00323317">
        <w:t xml:space="preserve">The proposed use </w:t>
      </w:r>
      <w:r w:rsidR="00C570DC" w:rsidRPr="00323317">
        <w:t xml:space="preserve">for peaches 5 years or older is for an application in autumn after harvesting is completed followed by an application in spring when trees have good leaf cover, applied in a shallow gutter dug around the base of the tree trunk at a rate of 2.5 g ai/tree in conjunction with a harvest withholding period of </w:t>
      </w:r>
      <w:r w:rsidR="003F7CB7" w:rsidRPr="00323317">
        <w:t>21</w:t>
      </w:r>
      <w:r w:rsidR="00C570DC" w:rsidRPr="00323317">
        <w:t xml:space="preserve"> </w:t>
      </w:r>
      <w:r w:rsidR="003F7CB7" w:rsidRPr="00323317">
        <w:t>day</w:t>
      </w:r>
      <w:r w:rsidR="00C570DC" w:rsidRPr="00323317">
        <w:t>s.</w:t>
      </w:r>
      <w:r w:rsidR="003F7CB7" w:rsidRPr="00323317">
        <w:t xml:space="preserve"> An alternative use pattern at the same rate does not specify application timing with the same harvest withholding period</w:t>
      </w:r>
      <w:r w:rsidR="00BC5A5C" w:rsidRPr="00323317">
        <w:t>.</w:t>
      </w:r>
    </w:p>
    <w:p w14:paraId="30A83D0E" w14:textId="77777777" w:rsidR="00323317" w:rsidRDefault="00323317">
      <w:pPr>
        <w:spacing w:line="240" w:lineRule="auto"/>
        <w:rPr>
          <w:rFonts w:cs="Arial"/>
          <w:u w:color="000000"/>
        </w:rPr>
      </w:pPr>
      <w:r>
        <w:br w:type="page"/>
      </w:r>
    </w:p>
    <w:p w14:paraId="72565000" w14:textId="0867D966" w:rsidR="0014021C" w:rsidRPr="00532A2F" w:rsidRDefault="00C570DC" w:rsidP="000D2CEF">
      <w:pPr>
        <w:pStyle w:val="APVMAPreliminariesH2"/>
      </w:pPr>
      <w:bookmarkStart w:id="33" w:name="_Toc187405138"/>
      <w:r w:rsidRPr="00532A2F">
        <w:lastRenderedPageBreak/>
        <w:t>Peaches</w:t>
      </w:r>
      <w:bookmarkEnd w:id="33"/>
    </w:p>
    <w:p w14:paraId="744801F7" w14:textId="03F3F1B1" w:rsidR="0014021C" w:rsidRPr="003C2872" w:rsidRDefault="00991C0E" w:rsidP="0056594B">
      <w:pPr>
        <w:pStyle w:val="APVMAText"/>
      </w:pPr>
      <w:r>
        <w:t xml:space="preserve">A total of </w:t>
      </w:r>
      <w:r w:rsidR="00323317">
        <w:t>9</w:t>
      </w:r>
      <w:r w:rsidR="00C570DC" w:rsidRPr="003C2872">
        <w:t xml:space="preserve"> Spanish </w:t>
      </w:r>
      <w:r w:rsidR="003F7CB7">
        <w:t>Good Laboratory Practice (</w:t>
      </w:r>
      <w:r w:rsidR="00C570DC" w:rsidRPr="003C2872">
        <w:t>GLP</w:t>
      </w:r>
      <w:r w:rsidR="003F7CB7">
        <w:t>)</w:t>
      </w:r>
      <w:r w:rsidR="00C570DC" w:rsidRPr="003C2872">
        <w:t xml:space="preserve"> trials on peaches (5 trials) and nectarines (4 trials) relevant to the proposed use have been provided.</w:t>
      </w:r>
    </w:p>
    <w:p w14:paraId="753FEE85" w14:textId="5A82493F" w:rsidR="00007DB4" w:rsidRDefault="00C570DC" w:rsidP="0056594B">
      <w:pPr>
        <w:pStyle w:val="APVMAText"/>
      </w:pPr>
      <w:r w:rsidRPr="003C2872">
        <w:t>Metalaxyl-</w:t>
      </w:r>
      <w:r w:rsidR="00323317">
        <w:t>M</w:t>
      </w:r>
      <w:r w:rsidR="0014021C" w:rsidRPr="003C2872">
        <w:t xml:space="preserve"> residues</w:t>
      </w:r>
      <w:r w:rsidR="003C2872" w:rsidRPr="003C2872">
        <w:t xml:space="preserve"> (whole fruit basis) on peach and </w:t>
      </w:r>
      <w:r w:rsidR="003C2872">
        <w:t>nectarine fruits at 20</w:t>
      </w:r>
      <w:r w:rsidR="00323317">
        <w:t>–</w:t>
      </w:r>
      <w:r w:rsidR="003C2872">
        <w:t>21 days after last application</w:t>
      </w:r>
      <w:r w:rsidR="00991C0E">
        <w:t xml:space="preserve"> (DALA)</w:t>
      </w:r>
      <w:r w:rsidR="003C2872">
        <w:t xml:space="preserve">, following </w:t>
      </w:r>
      <w:r w:rsidR="00323317">
        <w:t>2</w:t>
      </w:r>
      <w:r w:rsidR="003C2872">
        <w:t xml:space="preserve"> </w:t>
      </w:r>
      <w:r w:rsidR="00301EA7">
        <w:t xml:space="preserve">soil </w:t>
      </w:r>
      <w:r w:rsidR="003C2872">
        <w:t>applications (30</w:t>
      </w:r>
      <w:r w:rsidR="00323317">
        <w:t>–</w:t>
      </w:r>
      <w:r w:rsidR="003C2872">
        <w:t>33 days apart) of metalaxyl-</w:t>
      </w:r>
      <w:r w:rsidR="00991C0E">
        <w:t>M</w:t>
      </w:r>
      <w:r w:rsidR="003C2872">
        <w:t xml:space="preserve"> </w:t>
      </w:r>
      <w:r w:rsidR="008F422E">
        <w:t>soluble concentrate (</w:t>
      </w:r>
      <w:r w:rsidR="003C2872">
        <w:t>SL</w:t>
      </w:r>
      <w:r w:rsidR="008F422E">
        <w:t>)</w:t>
      </w:r>
      <w:r w:rsidR="003C2872">
        <w:t xml:space="preserve"> at BBCH</w:t>
      </w:r>
      <w:r w:rsidR="00522E2C">
        <w:rPr>
          <w:rStyle w:val="FootnoteReference"/>
        </w:rPr>
        <w:footnoteReference w:id="4"/>
      </w:r>
      <w:r w:rsidR="003C2872">
        <w:t xml:space="preserve"> </w:t>
      </w:r>
      <w:r w:rsidR="003C2872" w:rsidRPr="002E7DD5">
        <w:t>71-85 at 558-592 g ai/ha (equivalent to</w:t>
      </w:r>
      <w:r w:rsidR="003C2872">
        <w:t xml:space="preserve"> ~0.74</w:t>
      </w:r>
      <w:r w:rsidR="00323317">
        <w:t>–</w:t>
      </w:r>
      <w:r w:rsidR="003C2872">
        <w:t>1.34 g ai/tree or</w:t>
      </w:r>
      <w:r w:rsidR="003C2872" w:rsidRPr="002E7DD5">
        <w:t xml:space="preserve"> ~0.</w:t>
      </w:r>
      <w:r w:rsidR="003C2872">
        <w:t>3</w:t>
      </w:r>
      <w:r w:rsidR="003C2872" w:rsidRPr="002E7DD5">
        <w:t>-0.</w:t>
      </w:r>
      <w:r w:rsidR="003C2872">
        <w:t>5</w:t>
      </w:r>
      <w:r w:rsidR="003C2872" w:rsidRPr="002E7DD5">
        <w:t xml:space="preserve"> </w:t>
      </w:r>
      <w:r w:rsidR="003C2872">
        <w:t>×</w:t>
      </w:r>
      <w:r w:rsidR="003C2872" w:rsidRPr="002E7DD5">
        <w:t xml:space="preserve"> proposed rate</w:t>
      </w:r>
      <w:r w:rsidR="003C2872">
        <w:t>), were in ranked order:</w:t>
      </w:r>
    </w:p>
    <w:p w14:paraId="73073C3D" w14:textId="77777777" w:rsidR="003C2872" w:rsidRDefault="003C2872" w:rsidP="0056594B">
      <w:pPr>
        <w:pStyle w:val="Bullet1"/>
      </w:pPr>
      <w:r>
        <w:t>peach: &lt; 0.01, 0.01, 0.02, 0.04 and 0.10 mg/kg (n=5)</w:t>
      </w:r>
    </w:p>
    <w:p w14:paraId="779ED6F5" w14:textId="77777777" w:rsidR="003C2872" w:rsidRDefault="003C2872" w:rsidP="0056594B">
      <w:pPr>
        <w:pStyle w:val="Bullet1"/>
      </w:pPr>
      <w:r>
        <w:t>nectarine: &lt; 0.01, 0.02 (2) and 0.07 mg/kg (n=4)</w:t>
      </w:r>
    </w:p>
    <w:p w14:paraId="23A97D4D" w14:textId="77777777" w:rsidR="003C2872" w:rsidRDefault="003C2872" w:rsidP="0056594B">
      <w:pPr>
        <w:pStyle w:val="APVMAText"/>
      </w:pPr>
      <w:r>
        <w:t>When scaled to the proposed rate, residues are expected to be in ranked order:</w:t>
      </w:r>
    </w:p>
    <w:p w14:paraId="3838B609" w14:textId="77777777" w:rsidR="003C2872" w:rsidRDefault="003C2872" w:rsidP="0056594B">
      <w:pPr>
        <w:pStyle w:val="Bullet1"/>
      </w:pPr>
      <w:r>
        <w:t xml:space="preserve">peach: </w:t>
      </w:r>
      <w:r w:rsidRPr="00AA0A4E">
        <w:t xml:space="preserve">&lt; 0.02, </w:t>
      </w:r>
      <w:r>
        <w:t xml:space="preserve">0.02, </w:t>
      </w:r>
      <w:r w:rsidRPr="00AA0A4E">
        <w:t>0</w:t>
      </w:r>
      <w:r>
        <w:t>.06, 0.11 and 0.32 mg/kg (n=5)</w:t>
      </w:r>
    </w:p>
    <w:p w14:paraId="236BA0DE" w14:textId="3DB30E8F" w:rsidR="003C2872" w:rsidRDefault="003C2872" w:rsidP="0056594B">
      <w:pPr>
        <w:pStyle w:val="Bullet1"/>
      </w:pPr>
      <w:r>
        <w:t xml:space="preserve">nectarine: </w:t>
      </w:r>
      <w:r w:rsidRPr="00AA0A4E">
        <w:t>&lt; 0.02, 0</w:t>
      </w:r>
      <w:r>
        <w:t>.04, 0.05 and 0.24 mg/kg (n=4)</w:t>
      </w:r>
    </w:p>
    <w:p w14:paraId="191AC88F" w14:textId="3FE49063" w:rsidR="003C2872" w:rsidRPr="003C2872" w:rsidRDefault="003C2872" w:rsidP="0056594B">
      <w:pPr>
        <w:pStyle w:val="APVMAText"/>
      </w:pPr>
      <w:r>
        <w:t xml:space="preserve">The peaches and nectarine trials were combined to estimate an MRL. The combined dataset </w:t>
      </w:r>
      <w:r w:rsidRPr="003C2872">
        <w:t>suitable for MRL estimation is, in ranked order: &lt; 0.02 (2), 0.02, 0.04, 0.05, 0.06, 0.11, 0.24 and 0.32 mg/kg (n=9).</w:t>
      </w:r>
    </w:p>
    <w:p w14:paraId="178E6906" w14:textId="571E5944" w:rsidR="003C2872" w:rsidRPr="003C2872" w:rsidRDefault="0014021C" w:rsidP="0056594B">
      <w:pPr>
        <w:pStyle w:val="APVMAText"/>
      </w:pPr>
      <w:r w:rsidRPr="003C2872">
        <w:t xml:space="preserve">Based on the </w:t>
      </w:r>
      <w:r w:rsidR="003C2872" w:rsidRPr="003C2872">
        <w:t>combined dataset which considered residues at 21 DALA</w:t>
      </w:r>
      <w:r w:rsidR="00D67750">
        <w:t>,</w:t>
      </w:r>
      <w:r w:rsidR="008F422E">
        <w:t xml:space="preserve"> the Organisation for Economic Cooperation and Development (OECD) MRL Calculator recommends an MRL of 0.6 mg/kg.</w:t>
      </w:r>
      <w:r w:rsidR="003C2872" w:rsidRPr="003C2872">
        <w:t xml:space="preserve"> </w:t>
      </w:r>
      <w:r w:rsidR="008F422E">
        <w:t>A</w:t>
      </w:r>
      <w:r w:rsidR="003C2872" w:rsidRPr="003C2872">
        <w:t xml:space="preserve"> metalaxyl MRL of 0.6 mg/kg for FS 0247 Peach is considered appropriate to support the proposed use on peaches in conjunction with a</w:t>
      </w:r>
      <w:r w:rsidR="00007DB4">
        <w:t xml:space="preserve"> </w:t>
      </w:r>
      <w:r w:rsidR="003C2872" w:rsidRPr="003C2872">
        <w:t xml:space="preserve">harvest withholding WHP of 21 days. The metalaxyl MRL for FS 0012 Stone fruits currently established at 0.2 mg/kg </w:t>
      </w:r>
      <w:r w:rsidR="00D67750">
        <w:t>will</w:t>
      </w:r>
      <w:r w:rsidR="003C2872" w:rsidRPr="003C2872">
        <w:t xml:space="preserve"> be changed </w:t>
      </w:r>
      <w:r w:rsidR="00007DB4">
        <w:t xml:space="preserve">to </w:t>
      </w:r>
      <w:r w:rsidR="00D67750">
        <w:t xml:space="preserve">exclude peach: </w:t>
      </w:r>
      <w:r w:rsidR="003C2872" w:rsidRPr="003C2872">
        <w:t>FS 0012 Stone fruits {except Peach}</w:t>
      </w:r>
      <w:r w:rsidR="00007DB4">
        <w:t xml:space="preserve"> at 0.2 mg/kg.</w:t>
      </w:r>
    </w:p>
    <w:p w14:paraId="0CB29406" w14:textId="12455002" w:rsidR="006D36C8" w:rsidRDefault="00957A91" w:rsidP="00032787">
      <w:pPr>
        <w:pStyle w:val="Heading2"/>
      </w:pPr>
      <w:bookmarkStart w:id="34" w:name="_Toc231889749"/>
      <w:bookmarkStart w:id="35" w:name="_Toc2243852"/>
      <w:bookmarkStart w:id="36" w:name="_Toc187405139"/>
      <w:bookmarkEnd w:id="31"/>
      <w:bookmarkEnd w:id="32"/>
      <w:r>
        <w:t>Codex Alimentarius C</w:t>
      </w:r>
      <w:r w:rsidR="006D36C8">
        <w:t>ommission and overseas MRLs</w:t>
      </w:r>
      <w:bookmarkEnd w:id="34"/>
      <w:bookmarkEnd w:id="35"/>
      <w:bookmarkEnd w:id="36"/>
    </w:p>
    <w:p w14:paraId="452D0517" w14:textId="07A1C93B" w:rsidR="003C2872" w:rsidRPr="002B0752" w:rsidRDefault="0014021C" w:rsidP="002B0752">
      <w:pPr>
        <w:pStyle w:val="APVMAText"/>
      </w:pPr>
      <w:r w:rsidRPr="002B0752">
        <w:t xml:space="preserve">The Codex Alimentarius Commission (Codex) is responsible for establishing Codex Maximum Residue Limits (CXLs) for pesticides and veterinary medicines. Codex CXLs are primarily intended to facilitate international trade, and accommodate differences in Good Agricultural Practice (GAP) employed by various countries. Some countries may accept Codex CXLs when importing foods. </w:t>
      </w:r>
      <w:r w:rsidR="003C2872" w:rsidRPr="002B0752">
        <w:t>Metalaxyl</w:t>
      </w:r>
      <w:r w:rsidRPr="002B0752">
        <w:t xml:space="preserve"> has been considered by Codex. The following relevant Codex CXLs and overseas MRLs have been established for </w:t>
      </w:r>
      <w:r w:rsidR="003C2872" w:rsidRPr="002B0752">
        <w:t>metalaxyl</w:t>
      </w:r>
      <w:r w:rsidRPr="002B0752">
        <w:t>.</w:t>
      </w:r>
    </w:p>
    <w:p w14:paraId="4BA3627B" w14:textId="7EF1E9D5" w:rsidR="0014021C" w:rsidRDefault="0014021C" w:rsidP="0014021C">
      <w:pPr>
        <w:pStyle w:val="Caption"/>
      </w:pPr>
      <w:bookmarkStart w:id="37" w:name="_Toc152070979"/>
      <w:bookmarkStart w:id="38" w:name="_Toc184289059"/>
      <w:r>
        <w:lastRenderedPageBreak/>
        <w:t>Table 3:</w:t>
      </w:r>
      <w:r>
        <w:tab/>
        <w:t xml:space="preserve">Current Australian and overseas MRLs/tolerances for </w:t>
      </w:r>
      <w:bookmarkEnd w:id="37"/>
      <w:r w:rsidR="003C2872">
        <w:t>metalaxyl</w:t>
      </w:r>
      <w:bookmarkEnd w:id="38"/>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157"/>
        <w:gridCol w:w="1051"/>
        <w:gridCol w:w="1234"/>
        <w:gridCol w:w="1160"/>
        <w:gridCol w:w="1464"/>
        <w:gridCol w:w="1607"/>
        <w:gridCol w:w="1605"/>
      </w:tblGrid>
      <w:tr w:rsidR="0065564A" w:rsidRPr="0065564A" w14:paraId="6A83094C" w14:textId="212E446F" w:rsidTr="00EB2FBA">
        <w:tc>
          <w:tcPr>
            <w:tcW w:w="624" w:type="pct"/>
            <w:vMerge w:val="restart"/>
            <w:tcBorders>
              <w:top w:val="nil"/>
              <w:left w:val="nil"/>
              <w:right w:val="nil"/>
            </w:tcBorders>
            <w:shd w:val="clear" w:color="auto" w:fill="00747A"/>
          </w:tcPr>
          <w:p w14:paraId="5605DD94" w14:textId="77777777" w:rsidR="00EB2FBA" w:rsidRPr="002B0752" w:rsidRDefault="00EB2FBA" w:rsidP="002B0752">
            <w:pPr>
              <w:pStyle w:val="APVMATableHead"/>
            </w:pPr>
            <w:r w:rsidRPr="002B0752">
              <w:t>Commodity</w:t>
            </w:r>
          </w:p>
        </w:tc>
        <w:tc>
          <w:tcPr>
            <w:tcW w:w="4376" w:type="pct"/>
            <w:gridSpan w:val="6"/>
            <w:tcBorders>
              <w:top w:val="nil"/>
              <w:left w:val="nil"/>
              <w:bottom w:val="nil"/>
              <w:right w:val="nil"/>
            </w:tcBorders>
            <w:shd w:val="clear" w:color="auto" w:fill="00747A"/>
          </w:tcPr>
          <w:p w14:paraId="0704109F" w14:textId="28AF304C" w:rsidR="00EB2FBA" w:rsidRPr="002B0752" w:rsidRDefault="00EB2FBA" w:rsidP="002B0752">
            <w:pPr>
              <w:pStyle w:val="APVMATableHead"/>
            </w:pPr>
            <w:r w:rsidRPr="002B0752">
              <w:t xml:space="preserve">Tolerance for residues arising from the use of </w:t>
            </w:r>
            <w:r w:rsidR="00007DB4" w:rsidRPr="002B0752">
              <w:t>metalaxyl</w:t>
            </w:r>
            <w:r w:rsidRPr="002B0752">
              <w:t xml:space="preserve"> (mg/kg)</w:t>
            </w:r>
          </w:p>
        </w:tc>
      </w:tr>
      <w:tr w:rsidR="0065564A" w:rsidRPr="0065564A" w14:paraId="6514C8BA" w14:textId="41FE6360" w:rsidTr="00EB2FBA">
        <w:tc>
          <w:tcPr>
            <w:tcW w:w="624" w:type="pct"/>
            <w:vMerge/>
            <w:tcBorders>
              <w:left w:val="nil"/>
              <w:bottom w:val="nil"/>
              <w:right w:val="nil"/>
            </w:tcBorders>
            <w:shd w:val="clear" w:color="auto" w:fill="00747A"/>
          </w:tcPr>
          <w:p w14:paraId="4008AAD6" w14:textId="77777777" w:rsidR="00EB2FBA" w:rsidRPr="002B0752" w:rsidRDefault="00EB2FBA" w:rsidP="002B0752">
            <w:pPr>
              <w:pStyle w:val="APVMATableHead"/>
            </w:pPr>
          </w:p>
        </w:tc>
        <w:tc>
          <w:tcPr>
            <w:tcW w:w="566" w:type="pct"/>
            <w:tcBorders>
              <w:top w:val="nil"/>
              <w:left w:val="nil"/>
              <w:bottom w:val="nil"/>
              <w:right w:val="nil"/>
            </w:tcBorders>
            <w:shd w:val="clear" w:color="auto" w:fill="00747A"/>
          </w:tcPr>
          <w:p w14:paraId="278EA1BF" w14:textId="77777777" w:rsidR="00EB2FBA" w:rsidRPr="002B0752" w:rsidRDefault="00EB2FBA" w:rsidP="002B0752">
            <w:pPr>
              <w:pStyle w:val="APVMATableHead"/>
            </w:pPr>
            <w:r w:rsidRPr="002B0752">
              <w:t>Australia</w:t>
            </w:r>
            <w:r w:rsidRPr="008467FF">
              <w:rPr>
                <w:rStyle w:val="FootnoteReference"/>
              </w:rPr>
              <w:footnoteReference w:id="5"/>
            </w:r>
          </w:p>
        </w:tc>
        <w:tc>
          <w:tcPr>
            <w:tcW w:w="665" w:type="pct"/>
            <w:tcBorders>
              <w:top w:val="nil"/>
              <w:left w:val="nil"/>
              <w:bottom w:val="nil"/>
              <w:right w:val="nil"/>
            </w:tcBorders>
            <w:shd w:val="clear" w:color="auto" w:fill="00747A"/>
          </w:tcPr>
          <w:p w14:paraId="25DFD33C" w14:textId="77777777" w:rsidR="00EB2FBA" w:rsidRPr="002B0752" w:rsidRDefault="00EB2FBA" w:rsidP="002B0752">
            <w:pPr>
              <w:pStyle w:val="APVMATableHead"/>
            </w:pPr>
            <w:r w:rsidRPr="002B0752">
              <w:t>EU</w:t>
            </w:r>
            <w:r w:rsidRPr="008467FF">
              <w:rPr>
                <w:rStyle w:val="FootnoteReference"/>
              </w:rPr>
              <w:footnoteReference w:id="6"/>
            </w:r>
          </w:p>
        </w:tc>
        <w:tc>
          <w:tcPr>
            <w:tcW w:w="625" w:type="pct"/>
            <w:tcBorders>
              <w:top w:val="nil"/>
              <w:left w:val="nil"/>
              <w:bottom w:val="nil"/>
              <w:right w:val="nil"/>
            </w:tcBorders>
            <w:shd w:val="clear" w:color="auto" w:fill="00747A"/>
          </w:tcPr>
          <w:p w14:paraId="16B77D24" w14:textId="77777777" w:rsidR="00EB2FBA" w:rsidRPr="002B0752" w:rsidRDefault="00EB2FBA" w:rsidP="002B0752">
            <w:pPr>
              <w:pStyle w:val="APVMATableHead"/>
            </w:pPr>
            <w:r w:rsidRPr="002B0752">
              <w:t>Japan</w:t>
            </w:r>
            <w:r w:rsidRPr="008467FF">
              <w:rPr>
                <w:rStyle w:val="FootnoteReference"/>
              </w:rPr>
              <w:footnoteReference w:id="7"/>
            </w:r>
          </w:p>
        </w:tc>
        <w:tc>
          <w:tcPr>
            <w:tcW w:w="789" w:type="pct"/>
            <w:tcBorders>
              <w:top w:val="nil"/>
              <w:left w:val="nil"/>
              <w:bottom w:val="nil"/>
              <w:right w:val="nil"/>
            </w:tcBorders>
            <w:shd w:val="clear" w:color="auto" w:fill="00747A"/>
          </w:tcPr>
          <w:p w14:paraId="1848877A" w14:textId="77777777" w:rsidR="00EB2FBA" w:rsidRPr="002B0752" w:rsidRDefault="00EB2FBA" w:rsidP="002B0752">
            <w:pPr>
              <w:pStyle w:val="APVMATableHead"/>
            </w:pPr>
            <w:r w:rsidRPr="002B0752">
              <w:t>Codex</w:t>
            </w:r>
            <w:r w:rsidRPr="008467FF">
              <w:rPr>
                <w:rStyle w:val="FootnoteReference"/>
              </w:rPr>
              <w:footnoteReference w:id="8"/>
            </w:r>
          </w:p>
        </w:tc>
        <w:tc>
          <w:tcPr>
            <w:tcW w:w="866" w:type="pct"/>
            <w:tcBorders>
              <w:top w:val="nil"/>
              <w:left w:val="nil"/>
              <w:bottom w:val="nil"/>
              <w:right w:val="nil"/>
            </w:tcBorders>
            <w:shd w:val="clear" w:color="auto" w:fill="00747A"/>
          </w:tcPr>
          <w:p w14:paraId="31820C0B" w14:textId="77777777" w:rsidR="00EB2FBA" w:rsidRPr="002B0752" w:rsidRDefault="00EB2FBA" w:rsidP="002B0752">
            <w:pPr>
              <w:pStyle w:val="APVMATableHead"/>
            </w:pPr>
            <w:r w:rsidRPr="002B0752">
              <w:t>USA</w:t>
            </w:r>
            <w:r w:rsidRPr="008467FF">
              <w:rPr>
                <w:rStyle w:val="FootnoteReference"/>
              </w:rPr>
              <w:footnoteReference w:id="9"/>
            </w:r>
          </w:p>
        </w:tc>
        <w:tc>
          <w:tcPr>
            <w:tcW w:w="865" w:type="pct"/>
            <w:tcBorders>
              <w:top w:val="nil"/>
              <w:left w:val="nil"/>
              <w:bottom w:val="nil"/>
              <w:right w:val="nil"/>
            </w:tcBorders>
            <w:shd w:val="clear" w:color="auto" w:fill="00747A"/>
          </w:tcPr>
          <w:p w14:paraId="57373BE1" w14:textId="3D79FEB6" w:rsidR="00EB2FBA" w:rsidRPr="002B0752" w:rsidRDefault="00EB2FBA" w:rsidP="002B0752">
            <w:pPr>
              <w:pStyle w:val="APVMATableHead"/>
            </w:pPr>
            <w:r w:rsidRPr="002B0752">
              <w:t>China</w:t>
            </w:r>
            <w:r w:rsidR="0065564A" w:rsidRPr="008467FF">
              <w:rPr>
                <w:rStyle w:val="FootnoteReference"/>
              </w:rPr>
              <w:footnoteReference w:id="10"/>
            </w:r>
          </w:p>
        </w:tc>
      </w:tr>
      <w:tr w:rsidR="0065564A" w:rsidRPr="0065564A" w14:paraId="042C50C7" w14:textId="7D01170D" w:rsidTr="00EB2FBA">
        <w:tc>
          <w:tcPr>
            <w:tcW w:w="624" w:type="pct"/>
            <w:tcBorders>
              <w:top w:val="nil"/>
              <w:left w:val="nil"/>
              <w:bottom w:val="single" w:sz="4" w:space="0" w:color="auto"/>
              <w:right w:val="nil"/>
            </w:tcBorders>
          </w:tcPr>
          <w:p w14:paraId="69657364" w14:textId="77777777" w:rsidR="00EB2FBA" w:rsidRPr="002B0752" w:rsidRDefault="00EB2FBA" w:rsidP="002B0752">
            <w:pPr>
              <w:pStyle w:val="APVMATableText"/>
            </w:pPr>
            <w:bookmarkStart w:id="41" w:name="_Hlk151991000"/>
            <w:r w:rsidRPr="002B0752">
              <w:t>Residue Definition</w:t>
            </w:r>
          </w:p>
        </w:tc>
        <w:tc>
          <w:tcPr>
            <w:tcW w:w="566" w:type="pct"/>
            <w:tcBorders>
              <w:top w:val="nil"/>
              <w:left w:val="nil"/>
              <w:bottom w:val="single" w:sz="4" w:space="0" w:color="auto"/>
              <w:right w:val="nil"/>
            </w:tcBorders>
          </w:tcPr>
          <w:p w14:paraId="7408ABC6" w14:textId="2C97673A" w:rsidR="00EB2FBA" w:rsidRPr="002B0752" w:rsidRDefault="00EB2FBA" w:rsidP="002B0752">
            <w:pPr>
              <w:pStyle w:val="APVMATableText"/>
            </w:pPr>
            <w:r w:rsidRPr="002B0752">
              <w:t>Metalaxyl (Residues arising from the use of Metalaxyl-M are covered by the MRLs for Metalaxyl)</w:t>
            </w:r>
          </w:p>
        </w:tc>
        <w:tc>
          <w:tcPr>
            <w:tcW w:w="665" w:type="pct"/>
            <w:tcBorders>
              <w:top w:val="nil"/>
              <w:left w:val="nil"/>
              <w:bottom w:val="single" w:sz="4" w:space="0" w:color="auto"/>
              <w:right w:val="nil"/>
            </w:tcBorders>
          </w:tcPr>
          <w:p w14:paraId="0BB2D314" w14:textId="21F8B45A" w:rsidR="00EB2FBA" w:rsidRPr="002B0752" w:rsidRDefault="00EB2FBA" w:rsidP="002B0752">
            <w:pPr>
              <w:pStyle w:val="APVMATableText"/>
            </w:pPr>
            <w:r w:rsidRPr="002B0752">
              <w:t>Metalaxyl and metalaxyl-M (metalaxyl including other mixtures of constituent isomers including metalaxyl-M (sum of isomers))(R)</w:t>
            </w:r>
          </w:p>
        </w:tc>
        <w:tc>
          <w:tcPr>
            <w:tcW w:w="625" w:type="pct"/>
            <w:tcBorders>
              <w:top w:val="nil"/>
              <w:left w:val="nil"/>
              <w:bottom w:val="single" w:sz="4" w:space="0" w:color="auto"/>
              <w:right w:val="nil"/>
            </w:tcBorders>
          </w:tcPr>
          <w:p w14:paraId="66585B63" w14:textId="55656932" w:rsidR="00EB2FBA" w:rsidRPr="002B0752" w:rsidRDefault="008467FF" w:rsidP="002B0752">
            <w:pPr>
              <w:pStyle w:val="APVMATableText"/>
            </w:pPr>
            <w:r w:rsidRPr="002B0752">
              <w:t xml:space="preserve">Metalaxyl </w:t>
            </w:r>
            <w:r w:rsidR="00EB2FBA" w:rsidRPr="002B0752">
              <w:t>and mefenoxam refer to metalaxyl ( include metalaxyl M)</w:t>
            </w:r>
          </w:p>
        </w:tc>
        <w:tc>
          <w:tcPr>
            <w:tcW w:w="789" w:type="pct"/>
            <w:tcBorders>
              <w:top w:val="nil"/>
              <w:left w:val="nil"/>
              <w:bottom w:val="single" w:sz="4" w:space="0" w:color="auto"/>
              <w:right w:val="nil"/>
            </w:tcBorders>
          </w:tcPr>
          <w:p w14:paraId="66B6DCD9" w14:textId="4BD548FD" w:rsidR="00EB2FBA" w:rsidRPr="002B0752" w:rsidRDefault="00EB2FBA" w:rsidP="002B0752">
            <w:pPr>
              <w:pStyle w:val="APVMATableText"/>
            </w:pPr>
            <w:r w:rsidRPr="002B0752">
              <w:t>Metalaxyl (sum of enantiomers)</w:t>
            </w:r>
          </w:p>
        </w:tc>
        <w:tc>
          <w:tcPr>
            <w:tcW w:w="866" w:type="pct"/>
            <w:tcBorders>
              <w:top w:val="nil"/>
              <w:left w:val="nil"/>
              <w:bottom w:val="single" w:sz="4" w:space="0" w:color="auto"/>
              <w:right w:val="nil"/>
            </w:tcBorders>
          </w:tcPr>
          <w:p w14:paraId="104362A7" w14:textId="3C8DB408" w:rsidR="00EB2FBA" w:rsidRPr="002B0752" w:rsidRDefault="008467FF" w:rsidP="002B0752">
            <w:pPr>
              <w:pStyle w:val="APVMATableText"/>
            </w:pPr>
            <w:r w:rsidRPr="002B0752">
              <w:t xml:space="preserve">Combined </w:t>
            </w:r>
            <w:r w:rsidR="00EB2FBA" w:rsidRPr="002B0752">
              <w:t>residues of the fungicide metalaxyl [N-(2,6-dmethylphyenyl)-N-(</w:t>
            </w:r>
            <w:proofErr w:type="spellStart"/>
            <w:r w:rsidR="00EB2FBA" w:rsidRPr="002B0752">
              <w:t>methoxyacetyl</w:t>
            </w:r>
            <w:proofErr w:type="spellEnd"/>
            <w:r w:rsidR="00EB2FBA" w:rsidRPr="002B0752">
              <w:t xml:space="preserve">) alanine </w:t>
            </w:r>
            <w:proofErr w:type="spellStart"/>
            <w:r w:rsidR="00EB2FBA" w:rsidRPr="002B0752">
              <w:t>methylester</w:t>
            </w:r>
            <w:proofErr w:type="spellEnd"/>
            <w:r w:rsidR="00EB2FBA" w:rsidRPr="002B0752">
              <w:t>] and its metabolites containing the 2,6-dimethylaniline moiety, and N-(2-hydroxy methyl-6-methylphenyl)-N-(</w:t>
            </w:r>
            <w:proofErr w:type="spellStart"/>
            <w:r w:rsidR="00EB2FBA" w:rsidRPr="002B0752">
              <w:t>methoxyacetyl</w:t>
            </w:r>
            <w:proofErr w:type="spellEnd"/>
            <w:r w:rsidR="00EB2FBA" w:rsidRPr="002B0752">
              <w:t>)-alanine methyl ester, each expressed as metalaxyl equivalents,</w:t>
            </w:r>
          </w:p>
        </w:tc>
        <w:tc>
          <w:tcPr>
            <w:tcW w:w="865" w:type="pct"/>
            <w:tcBorders>
              <w:top w:val="nil"/>
              <w:left w:val="nil"/>
              <w:bottom w:val="single" w:sz="4" w:space="0" w:color="auto"/>
              <w:right w:val="nil"/>
            </w:tcBorders>
          </w:tcPr>
          <w:p w14:paraId="2DDE58A4" w14:textId="6504700C" w:rsidR="00EB2FBA" w:rsidRPr="002B0752" w:rsidRDefault="0065564A" w:rsidP="002B0752">
            <w:pPr>
              <w:pStyle w:val="APVMATableText"/>
            </w:pPr>
            <w:r w:rsidRPr="002B0752">
              <w:t>Metalaxyl</w:t>
            </w:r>
          </w:p>
        </w:tc>
      </w:tr>
      <w:tr w:rsidR="0065564A" w:rsidRPr="00580529" w14:paraId="2D9C7C34" w14:textId="77777777" w:rsidTr="00EB2FBA">
        <w:tc>
          <w:tcPr>
            <w:tcW w:w="624" w:type="pct"/>
            <w:tcBorders>
              <w:top w:val="nil"/>
              <w:left w:val="nil"/>
              <w:bottom w:val="single" w:sz="4" w:space="0" w:color="auto"/>
              <w:right w:val="nil"/>
            </w:tcBorders>
          </w:tcPr>
          <w:p w14:paraId="1F1E729F" w14:textId="11A6D53F" w:rsidR="0065564A" w:rsidRPr="00E66B01" w:rsidRDefault="0065564A" w:rsidP="00E66B01">
            <w:pPr>
              <w:pStyle w:val="APVMATableText"/>
            </w:pPr>
            <w:r w:rsidRPr="00E66B01">
              <w:t>Peach</w:t>
            </w:r>
          </w:p>
        </w:tc>
        <w:tc>
          <w:tcPr>
            <w:tcW w:w="566" w:type="pct"/>
            <w:tcBorders>
              <w:top w:val="nil"/>
              <w:left w:val="nil"/>
              <w:bottom w:val="single" w:sz="4" w:space="0" w:color="auto"/>
              <w:right w:val="nil"/>
            </w:tcBorders>
          </w:tcPr>
          <w:p w14:paraId="22205C14" w14:textId="77777777" w:rsidR="008467FF" w:rsidRPr="00E66B01" w:rsidRDefault="0065564A" w:rsidP="00E66B01">
            <w:pPr>
              <w:pStyle w:val="APVMATableText"/>
            </w:pPr>
            <w:r w:rsidRPr="00E66B01">
              <w:t>0.2 (Stone Fruits - current)</w:t>
            </w:r>
          </w:p>
          <w:p w14:paraId="6E200F22" w14:textId="2535F5B8" w:rsidR="0065564A" w:rsidRPr="00E66B01" w:rsidRDefault="0065564A" w:rsidP="00E66B01">
            <w:pPr>
              <w:pStyle w:val="APVMATableText"/>
            </w:pPr>
            <w:r w:rsidRPr="00E66B01">
              <w:t>0.6</w:t>
            </w:r>
            <w:r w:rsidR="008467FF" w:rsidRPr="00E66B01">
              <w:t xml:space="preserve"> </w:t>
            </w:r>
            <w:r w:rsidRPr="00E66B01">
              <w:t>(Peach – proposed)</w:t>
            </w:r>
          </w:p>
        </w:tc>
        <w:tc>
          <w:tcPr>
            <w:tcW w:w="665" w:type="pct"/>
            <w:tcBorders>
              <w:top w:val="nil"/>
              <w:left w:val="nil"/>
              <w:bottom w:val="single" w:sz="4" w:space="0" w:color="auto"/>
              <w:right w:val="nil"/>
            </w:tcBorders>
          </w:tcPr>
          <w:p w14:paraId="5EF16F3B" w14:textId="206C9F04" w:rsidR="0065564A" w:rsidRPr="00E66B01" w:rsidRDefault="0065564A" w:rsidP="00E66B01">
            <w:pPr>
              <w:pStyle w:val="APVMATableText"/>
            </w:pPr>
            <w:r w:rsidRPr="00E66B01">
              <w:t>*0.01 (Peaches)</w:t>
            </w:r>
          </w:p>
        </w:tc>
        <w:tc>
          <w:tcPr>
            <w:tcW w:w="625" w:type="pct"/>
            <w:tcBorders>
              <w:top w:val="nil"/>
              <w:left w:val="nil"/>
              <w:bottom w:val="single" w:sz="4" w:space="0" w:color="auto"/>
              <w:right w:val="nil"/>
            </w:tcBorders>
          </w:tcPr>
          <w:p w14:paraId="6F450937" w14:textId="61133CBF" w:rsidR="0065564A" w:rsidRPr="00E66B01" w:rsidRDefault="0065564A" w:rsidP="00E66B01">
            <w:pPr>
              <w:pStyle w:val="APVMATableText"/>
            </w:pPr>
            <w:r w:rsidRPr="00E66B01">
              <w:t>0.2</w:t>
            </w:r>
          </w:p>
        </w:tc>
        <w:tc>
          <w:tcPr>
            <w:tcW w:w="789" w:type="pct"/>
            <w:tcBorders>
              <w:top w:val="nil"/>
              <w:left w:val="nil"/>
              <w:bottom w:val="single" w:sz="4" w:space="0" w:color="auto"/>
              <w:right w:val="nil"/>
            </w:tcBorders>
          </w:tcPr>
          <w:p w14:paraId="467F7A91" w14:textId="3A0E551C" w:rsidR="0065564A" w:rsidRPr="00E66B01" w:rsidRDefault="0065564A" w:rsidP="00E66B01">
            <w:pPr>
              <w:pStyle w:val="APVMATableText"/>
            </w:pPr>
            <w:r w:rsidRPr="00E66B01">
              <w:t>-</w:t>
            </w:r>
          </w:p>
        </w:tc>
        <w:tc>
          <w:tcPr>
            <w:tcW w:w="866" w:type="pct"/>
            <w:tcBorders>
              <w:top w:val="nil"/>
              <w:left w:val="nil"/>
              <w:bottom w:val="single" w:sz="4" w:space="0" w:color="auto"/>
              <w:right w:val="nil"/>
            </w:tcBorders>
          </w:tcPr>
          <w:p w14:paraId="238DE29F" w14:textId="44F75FCF" w:rsidR="0065564A" w:rsidRPr="00E66B01" w:rsidRDefault="0065564A" w:rsidP="00E66B01">
            <w:pPr>
              <w:pStyle w:val="APVMATableText"/>
            </w:pPr>
            <w:r w:rsidRPr="00E66B01">
              <w:t>1.0 (Fruit, stone, group 12)</w:t>
            </w:r>
          </w:p>
        </w:tc>
        <w:tc>
          <w:tcPr>
            <w:tcW w:w="865" w:type="pct"/>
            <w:tcBorders>
              <w:top w:val="nil"/>
              <w:left w:val="nil"/>
              <w:bottom w:val="single" w:sz="4" w:space="0" w:color="auto"/>
              <w:right w:val="nil"/>
            </w:tcBorders>
          </w:tcPr>
          <w:p w14:paraId="153BAE5A" w14:textId="118C8D64" w:rsidR="0065564A" w:rsidRPr="00E66B01" w:rsidRDefault="0065564A" w:rsidP="00E66B01">
            <w:pPr>
              <w:pStyle w:val="APVMATableText"/>
            </w:pPr>
            <w:r w:rsidRPr="00E66B01">
              <w:t>1</w:t>
            </w:r>
            <w:r w:rsidR="008467FF" w:rsidRPr="00E66B01">
              <w:t xml:space="preserve"> </w:t>
            </w:r>
            <w:r w:rsidRPr="00E66B01">
              <w:t>(Deciduous fruits)</w:t>
            </w:r>
          </w:p>
        </w:tc>
      </w:tr>
    </w:tbl>
    <w:p w14:paraId="7421D16B" w14:textId="50FE95FC" w:rsidR="006D36C8" w:rsidRDefault="006D36C8" w:rsidP="00032787">
      <w:pPr>
        <w:pStyle w:val="Heading2"/>
      </w:pPr>
      <w:bookmarkStart w:id="42" w:name="_Toc231889750"/>
      <w:bookmarkStart w:id="43" w:name="_Toc2243853"/>
      <w:bookmarkStart w:id="44" w:name="_Toc187405140"/>
      <w:bookmarkEnd w:id="41"/>
      <w:r>
        <w:lastRenderedPageBreak/>
        <w:t xml:space="preserve">Current </w:t>
      </w:r>
      <w:r w:rsidR="0010122F">
        <w:t xml:space="preserve">and proposed </w:t>
      </w:r>
      <w:r>
        <w:t xml:space="preserve">Australian MRLs for </w:t>
      </w:r>
      <w:bookmarkEnd w:id="42"/>
      <w:bookmarkEnd w:id="43"/>
      <w:r w:rsidR="004815D8">
        <w:t>metalaxyl</w:t>
      </w:r>
      <w:bookmarkEnd w:id="44"/>
    </w:p>
    <w:p w14:paraId="042D519C" w14:textId="77777777" w:rsidR="0014021C" w:rsidRDefault="0014021C" w:rsidP="0014021C">
      <w:pPr>
        <w:pStyle w:val="Caption"/>
      </w:pPr>
      <w:bookmarkStart w:id="45" w:name="_Toc96611087"/>
      <w:bookmarkStart w:id="46" w:name="_Toc97042677"/>
      <w:bookmarkStart w:id="47" w:name="_Toc152070980"/>
      <w:bookmarkStart w:id="48" w:name="_Toc184289060"/>
      <w:bookmarkStart w:id="49" w:name="_Toc231889751"/>
      <w:bookmarkStart w:id="50" w:name="_Toc2243854"/>
      <w:r>
        <w:t>Table 4:</w:t>
      </w:r>
      <w:r>
        <w:tab/>
        <w:t>Current MRL Standard – Table 1</w:t>
      </w:r>
      <w:bookmarkEnd w:id="45"/>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14021C" w14:paraId="10CAFFF2" w14:textId="77777777" w:rsidTr="004133DA">
        <w:trPr>
          <w:tblHeader/>
        </w:trPr>
        <w:tc>
          <w:tcPr>
            <w:tcW w:w="1613" w:type="pct"/>
            <w:tcBorders>
              <w:top w:val="nil"/>
              <w:left w:val="nil"/>
              <w:bottom w:val="single" w:sz="4" w:space="0" w:color="auto"/>
              <w:right w:val="nil"/>
            </w:tcBorders>
            <w:shd w:val="clear" w:color="auto" w:fill="00747A" w:themeFill="background2"/>
          </w:tcPr>
          <w:p w14:paraId="59A06EDD" w14:textId="77777777" w:rsidR="0014021C" w:rsidRPr="00E66B01" w:rsidRDefault="0014021C" w:rsidP="00E66B01">
            <w:pPr>
              <w:pStyle w:val="APVMATableHead"/>
            </w:pPr>
            <w:r w:rsidRPr="00E66B01">
              <w:t>Compound</w:t>
            </w:r>
          </w:p>
        </w:tc>
        <w:tc>
          <w:tcPr>
            <w:tcW w:w="2392" w:type="pct"/>
            <w:tcBorders>
              <w:top w:val="nil"/>
              <w:left w:val="nil"/>
              <w:bottom w:val="single" w:sz="4" w:space="0" w:color="auto"/>
              <w:right w:val="nil"/>
            </w:tcBorders>
            <w:shd w:val="clear" w:color="auto" w:fill="00747A" w:themeFill="background2"/>
          </w:tcPr>
          <w:p w14:paraId="7ACA0007" w14:textId="77777777" w:rsidR="0014021C" w:rsidRPr="00E66B01" w:rsidRDefault="0014021C" w:rsidP="00E66B01">
            <w:pPr>
              <w:pStyle w:val="APVMATableHead"/>
            </w:pPr>
            <w:r w:rsidRPr="00E66B01">
              <w:t>Food</w:t>
            </w:r>
          </w:p>
        </w:tc>
        <w:tc>
          <w:tcPr>
            <w:tcW w:w="995" w:type="pct"/>
            <w:tcBorders>
              <w:top w:val="nil"/>
              <w:left w:val="nil"/>
              <w:bottom w:val="single" w:sz="4" w:space="0" w:color="auto"/>
              <w:right w:val="nil"/>
            </w:tcBorders>
            <w:shd w:val="clear" w:color="auto" w:fill="00747A" w:themeFill="background2"/>
          </w:tcPr>
          <w:p w14:paraId="32701464" w14:textId="77777777" w:rsidR="0014021C" w:rsidRPr="00E66B01" w:rsidRDefault="0014021C" w:rsidP="00E66B01">
            <w:pPr>
              <w:pStyle w:val="APVMATableHead"/>
            </w:pPr>
            <w:r w:rsidRPr="00E66B01">
              <w:t>MRL (mg/kg)</w:t>
            </w:r>
          </w:p>
        </w:tc>
      </w:tr>
      <w:tr w:rsidR="0014021C" w14:paraId="106E11E8" w14:textId="77777777" w:rsidTr="004133DA">
        <w:tc>
          <w:tcPr>
            <w:tcW w:w="5000" w:type="pct"/>
            <w:gridSpan w:val="3"/>
            <w:tcBorders>
              <w:top w:val="single" w:sz="4" w:space="0" w:color="auto"/>
              <w:left w:val="nil"/>
              <w:bottom w:val="single" w:sz="4" w:space="0" w:color="auto"/>
              <w:right w:val="nil"/>
            </w:tcBorders>
          </w:tcPr>
          <w:p w14:paraId="56C9A28E" w14:textId="719D7CA0" w:rsidR="0014021C" w:rsidRPr="008467FF" w:rsidRDefault="004815D8" w:rsidP="008467FF">
            <w:pPr>
              <w:pStyle w:val="MRLActiveName"/>
            </w:pPr>
            <w:r w:rsidRPr="008467FF">
              <w:t>Metalaxyl</w:t>
            </w:r>
          </w:p>
        </w:tc>
      </w:tr>
      <w:tr w:rsidR="0014021C" w14:paraId="6AE3D062" w14:textId="77777777" w:rsidTr="004133DA">
        <w:tc>
          <w:tcPr>
            <w:tcW w:w="1613" w:type="pct"/>
            <w:tcBorders>
              <w:top w:val="single" w:sz="4" w:space="0" w:color="auto"/>
              <w:left w:val="nil"/>
              <w:bottom w:val="single" w:sz="4" w:space="0" w:color="auto"/>
              <w:right w:val="nil"/>
            </w:tcBorders>
          </w:tcPr>
          <w:p w14:paraId="69B1AF78" w14:textId="68BE1FBC" w:rsidR="0014021C" w:rsidRPr="008467FF" w:rsidRDefault="004815D8" w:rsidP="008467FF">
            <w:pPr>
              <w:pStyle w:val="APVMATableText"/>
            </w:pPr>
            <w:r w:rsidRPr="008467FF">
              <w:t>FS</w:t>
            </w:r>
            <w:r w:rsidR="0014021C" w:rsidRPr="008467FF">
              <w:tab/>
            </w:r>
            <w:r w:rsidRPr="008467FF">
              <w:t>0012</w:t>
            </w:r>
          </w:p>
        </w:tc>
        <w:tc>
          <w:tcPr>
            <w:tcW w:w="2392" w:type="pct"/>
            <w:tcBorders>
              <w:top w:val="single" w:sz="4" w:space="0" w:color="auto"/>
              <w:left w:val="nil"/>
              <w:bottom w:val="single" w:sz="4" w:space="0" w:color="auto"/>
              <w:right w:val="nil"/>
            </w:tcBorders>
          </w:tcPr>
          <w:p w14:paraId="60A585A7" w14:textId="67552E07" w:rsidR="0014021C" w:rsidRPr="008467FF" w:rsidRDefault="004815D8" w:rsidP="008467FF">
            <w:pPr>
              <w:pStyle w:val="APVMATableText"/>
            </w:pPr>
            <w:r w:rsidRPr="008467FF">
              <w:t>Stone fruits</w:t>
            </w:r>
          </w:p>
        </w:tc>
        <w:tc>
          <w:tcPr>
            <w:tcW w:w="995" w:type="pct"/>
            <w:tcBorders>
              <w:top w:val="single" w:sz="4" w:space="0" w:color="auto"/>
              <w:left w:val="nil"/>
              <w:bottom w:val="single" w:sz="4" w:space="0" w:color="auto"/>
              <w:right w:val="nil"/>
            </w:tcBorders>
          </w:tcPr>
          <w:p w14:paraId="4905498F" w14:textId="77777777" w:rsidR="0014021C" w:rsidRPr="008467FF" w:rsidRDefault="0014021C" w:rsidP="008467FF">
            <w:pPr>
              <w:pStyle w:val="APVMATableText"/>
            </w:pPr>
            <w:r w:rsidRPr="008467FF">
              <w:t>0.2</w:t>
            </w:r>
          </w:p>
        </w:tc>
      </w:tr>
    </w:tbl>
    <w:p w14:paraId="3928FA93" w14:textId="20CC9F97" w:rsidR="0010122F" w:rsidRDefault="0010122F" w:rsidP="0010122F">
      <w:pPr>
        <w:pStyle w:val="Caption"/>
      </w:pPr>
      <w:bookmarkStart w:id="51" w:name="_Toc252955171"/>
      <w:bookmarkStart w:id="52" w:name="_Toc135232171"/>
      <w:bookmarkStart w:id="53" w:name="_Toc184289061"/>
      <w:bookmarkStart w:id="54" w:name="_Toc96611090"/>
      <w:r>
        <w:t>Table 5:</w:t>
      </w:r>
      <w:r>
        <w:tab/>
        <w:t>Proposed MRL Standard – Table1</w:t>
      </w:r>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10122F" w14:paraId="397C76D5" w14:textId="77777777" w:rsidTr="001518BF">
        <w:trPr>
          <w:cantSplit/>
          <w:tblHeader/>
        </w:trPr>
        <w:tc>
          <w:tcPr>
            <w:tcW w:w="1613" w:type="pct"/>
            <w:tcBorders>
              <w:top w:val="single" w:sz="4" w:space="0" w:color="auto"/>
              <w:left w:val="nil"/>
              <w:bottom w:val="single" w:sz="4" w:space="0" w:color="auto"/>
              <w:right w:val="nil"/>
            </w:tcBorders>
            <w:shd w:val="clear" w:color="auto" w:fill="00747A" w:themeFill="background2"/>
          </w:tcPr>
          <w:p w14:paraId="74219FC2" w14:textId="77777777" w:rsidR="0010122F" w:rsidRDefault="0010122F" w:rsidP="008467FF">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48FAC4D2" w14:textId="77777777" w:rsidR="0010122F" w:rsidRDefault="0010122F" w:rsidP="008467FF">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575D8321" w14:textId="77777777" w:rsidR="0010122F" w:rsidRDefault="0010122F" w:rsidP="008467FF">
            <w:pPr>
              <w:pStyle w:val="APVMATableHead"/>
            </w:pPr>
            <w:r>
              <w:t>MRL (mg/kg)</w:t>
            </w:r>
          </w:p>
        </w:tc>
      </w:tr>
      <w:tr w:rsidR="0010122F" w14:paraId="31111A23" w14:textId="77777777" w:rsidTr="001518BF">
        <w:trPr>
          <w:cantSplit/>
        </w:trPr>
        <w:tc>
          <w:tcPr>
            <w:tcW w:w="5000" w:type="pct"/>
            <w:gridSpan w:val="3"/>
            <w:tcBorders>
              <w:top w:val="single" w:sz="4" w:space="0" w:color="auto"/>
              <w:left w:val="nil"/>
              <w:bottom w:val="single" w:sz="4" w:space="0" w:color="auto"/>
              <w:right w:val="nil"/>
            </w:tcBorders>
          </w:tcPr>
          <w:p w14:paraId="76E7AE28" w14:textId="7881B577" w:rsidR="0010122F" w:rsidRPr="008467FF" w:rsidRDefault="00301EA7" w:rsidP="008467FF">
            <w:pPr>
              <w:pStyle w:val="MRLActiveName"/>
            </w:pPr>
            <w:r w:rsidRPr="008467FF">
              <w:t>Metalaxyl</w:t>
            </w:r>
          </w:p>
        </w:tc>
      </w:tr>
      <w:tr w:rsidR="0010122F" w14:paraId="001317EF" w14:textId="77777777" w:rsidTr="001518BF">
        <w:trPr>
          <w:cantSplit/>
        </w:trPr>
        <w:tc>
          <w:tcPr>
            <w:tcW w:w="1613" w:type="pct"/>
            <w:tcBorders>
              <w:top w:val="single" w:sz="4" w:space="0" w:color="auto"/>
              <w:left w:val="nil"/>
              <w:bottom w:val="single" w:sz="4" w:space="0" w:color="auto"/>
              <w:right w:val="nil"/>
            </w:tcBorders>
          </w:tcPr>
          <w:p w14:paraId="78246FE0" w14:textId="77777777" w:rsidR="0010122F" w:rsidRDefault="0010122F" w:rsidP="008467FF">
            <w:pPr>
              <w:pStyle w:val="APVMATableText"/>
            </w:pPr>
            <w:r>
              <w:t>Delete:</w:t>
            </w:r>
          </w:p>
        </w:tc>
        <w:tc>
          <w:tcPr>
            <w:tcW w:w="2392" w:type="pct"/>
            <w:tcBorders>
              <w:top w:val="single" w:sz="4" w:space="0" w:color="auto"/>
              <w:left w:val="nil"/>
              <w:bottom w:val="single" w:sz="4" w:space="0" w:color="auto"/>
              <w:right w:val="nil"/>
            </w:tcBorders>
          </w:tcPr>
          <w:p w14:paraId="28E4E94D" w14:textId="77777777" w:rsidR="0010122F" w:rsidRDefault="0010122F" w:rsidP="008467FF">
            <w:pPr>
              <w:pStyle w:val="APVMATableText"/>
            </w:pPr>
          </w:p>
        </w:tc>
        <w:tc>
          <w:tcPr>
            <w:tcW w:w="995" w:type="pct"/>
            <w:tcBorders>
              <w:top w:val="single" w:sz="4" w:space="0" w:color="auto"/>
              <w:left w:val="nil"/>
              <w:bottom w:val="single" w:sz="4" w:space="0" w:color="auto"/>
              <w:right w:val="nil"/>
            </w:tcBorders>
          </w:tcPr>
          <w:p w14:paraId="70D6EB70" w14:textId="77777777" w:rsidR="0010122F" w:rsidRDefault="0010122F" w:rsidP="008467FF">
            <w:pPr>
              <w:pStyle w:val="APVMATableText"/>
            </w:pPr>
          </w:p>
        </w:tc>
      </w:tr>
      <w:tr w:rsidR="0010122F" w14:paraId="660427E0" w14:textId="77777777" w:rsidTr="001518BF">
        <w:trPr>
          <w:cantSplit/>
        </w:trPr>
        <w:tc>
          <w:tcPr>
            <w:tcW w:w="1613" w:type="pct"/>
            <w:tcBorders>
              <w:top w:val="single" w:sz="4" w:space="0" w:color="auto"/>
              <w:left w:val="nil"/>
              <w:bottom w:val="single" w:sz="4" w:space="0" w:color="auto"/>
              <w:right w:val="nil"/>
            </w:tcBorders>
          </w:tcPr>
          <w:p w14:paraId="1DBE102F" w14:textId="35C6524D" w:rsidR="0010122F" w:rsidRDefault="00301EA7" w:rsidP="008467FF">
            <w:pPr>
              <w:pStyle w:val="APVMATableText"/>
            </w:pPr>
            <w:r>
              <w:t>FS</w:t>
            </w:r>
            <w:r w:rsidR="0010122F">
              <w:tab/>
              <w:t>00</w:t>
            </w:r>
            <w:r>
              <w:t>12</w:t>
            </w:r>
          </w:p>
        </w:tc>
        <w:tc>
          <w:tcPr>
            <w:tcW w:w="2392" w:type="pct"/>
            <w:tcBorders>
              <w:top w:val="single" w:sz="4" w:space="0" w:color="auto"/>
              <w:left w:val="nil"/>
              <w:bottom w:val="single" w:sz="4" w:space="0" w:color="auto"/>
              <w:right w:val="nil"/>
            </w:tcBorders>
          </w:tcPr>
          <w:p w14:paraId="1F7FAAA7" w14:textId="3ABE4197" w:rsidR="0010122F" w:rsidRDefault="00301EA7" w:rsidP="008467FF">
            <w:pPr>
              <w:pStyle w:val="APVMATableText"/>
            </w:pPr>
            <w:r>
              <w:t>Stone fruits</w:t>
            </w:r>
          </w:p>
        </w:tc>
        <w:tc>
          <w:tcPr>
            <w:tcW w:w="995" w:type="pct"/>
            <w:tcBorders>
              <w:top w:val="single" w:sz="4" w:space="0" w:color="auto"/>
              <w:left w:val="nil"/>
              <w:bottom w:val="single" w:sz="4" w:space="0" w:color="auto"/>
              <w:right w:val="nil"/>
            </w:tcBorders>
          </w:tcPr>
          <w:p w14:paraId="7FC28F66" w14:textId="5EA2E58F" w:rsidR="0010122F" w:rsidRDefault="0010122F" w:rsidP="008467FF">
            <w:pPr>
              <w:pStyle w:val="APVMATableText"/>
            </w:pPr>
            <w:r>
              <w:t>0.</w:t>
            </w:r>
            <w:r w:rsidR="00301EA7">
              <w:t>2</w:t>
            </w:r>
          </w:p>
        </w:tc>
      </w:tr>
      <w:tr w:rsidR="0010122F" w14:paraId="6FAF8A6A" w14:textId="77777777" w:rsidTr="001518BF">
        <w:trPr>
          <w:cantSplit/>
        </w:trPr>
        <w:tc>
          <w:tcPr>
            <w:tcW w:w="1613" w:type="pct"/>
            <w:tcBorders>
              <w:top w:val="single" w:sz="4" w:space="0" w:color="auto"/>
              <w:left w:val="nil"/>
              <w:bottom w:val="single" w:sz="4" w:space="0" w:color="auto"/>
              <w:right w:val="nil"/>
            </w:tcBorders>
          </w:tcPr>
          <w:p w14:paraId="487AA4E6" w14:textId="77777777" w:rsidR="0010122F" w:rsidRDefault="0010122F" w:rsidP="008467FF">
            <w:pPr>
              <w:pStyle w:val="APVMATableText"/>
            </w:pPr>
            <w:r>
              <w:t>Add:</w:t>
            </w:r>
          </w:p>
        </w:tc>
        <w:tc>
          <w:tcPr>
            <w:tcW w:w="2392" w:type="pct"/>
            <w:tcBorders>
              <w:top w:val="single" w:sz="4" w:space="0" w:color="auto"/>
              <w:left w:val="nil"/>
              <w:bottom w:val="single" w:sz="4" w:space="0" w:color="auto"/>
              <w:right w:val="nil"/>
            </w:tcBorders>
          </w:tcPr>
          <w:p w14:paraId="2414F44E" w14:textId="77777777" w:rsidR="0010122F" w:rsidRDefault="0010122F" w:rsidP="008467FF">
            <w:pPr>
              <w:pStyle w:val="APVMATableText"/>
            </w:pPr>
          </w:p>
        </w:tc>
        <w:tc>
          <w:tcPr>
            <w:tcW w:w="995" w:type="pct"/>
            <w:tcBorders>
              <w:top w:val="single" w:sz="4" w:space="0" w:color="auto"/>
              <w:left w:val="nil"/>
              <w:bottom w:val="single" w:sz="4" w:space="0" w:color="auto"/>
              <w:right w:val="nil"/>
            </w:tcBorders>
          </w:tcPr>
          <w:p w14:paraId="52ED2BA0" w14:textId="77777777" w:rsidR="0010122F" w:rsidRDefault="0010122F" w:rsidP="008467FF">
            <w:pPr>
              <w:pStyle w:val="APVMATableText"/>
            </w:pPr>
          </w:p>
        </w:tc>
      </w:tr>
      <w:tr w:rsidR="0010122F" w14:paraId="712047E2" w14:textId="77777777" w:rsidTr="001518BF">
        <w:trPr>
          <w:cantSplit/>
        </w:trPr>
        <w:tc>
          <w:tcPr>
            <w:tcW w:w="1613" w:type="pct"/>
            <w:tcBorders>
              <w:top w:val="single" w:sz="4" w:space="0" w:color="auto"/>
              <w:left w:val="nil"/>
              <w:bottom w:val="single" w:sz="4" w:space="0" w:color="auto"/>
              <w:right w:val="nil"/>
            </w:tcBorders>
          </w:tcPr>
          <w:p w14:paraId="3C5DF6ED" w14:textId="39D53B1D" w:rsidR="0010122F" w:rsidRDefault="00301EA7" w:rsidP="008467FF">
            <w:pPr>
              <w:pStyle w:val="APVMATableText"/>
            </w:pPr>
            <w:r>
              <w:t>FS</w:t>
            </w:r>
            <w:r w:rsidR="0010122F">
              <w:tab/>
              <w:t>0</w:t>
            </w:r>
            <w:r>
              <w:t>247</w:t>
            </w:r>
          </w:p>
        </w:tc>
        <w:tc>
          <w:tcPr>
            <w:tcW w:w="2392" w:type="pct"/>
            <w:tcBorders>
              <w:top w:val="single" w:sz="4" w:space="0" w:color="auto"/>
              <w:left w:val="nil"/>
              <w:bottom w:val="single" w:sz="4" w:space="0" w:color="auto"/>
              <w:right w:val="nil"/>
            </w:tcBorders>
          </w:tcPr>
          <w:p w14:paraId="7BD6A3A8" w14:textId="6382545D" w:rsidR="0010122F" w:rsidRDefault="00301EA7" w:rsidP="008467FF">
            <w:pPr>
              <w:pStyle w:val="APVMATableText"/>
            </w:pPr>
            <w:r>
              <w:t>Peach</w:t>
            </w:r>
          </w:p>
        </w:tc>
        <w:tc>
          <w:tcPr>
            <w:tcW w:w="995" w:type="pct"/>
            <w:tcBorders>
              <w:top w:val="single" w:sz="4" w:space="0" w:color="auto"/>
              <w:left w:val="nil"/>
              <w:bottom w:val="single" w:sz="4" w:space="0" w:color="auto"/>
              <w:right w:val="nil"/>
            </w:tcBorders>
          </w:tcPr>
          <w:p w14:paraId="745161C2" w14:textId="6DD2F262" w:rsidR="0010122F" w:rsidRDefault="0010122F" w:rsidP="008467FF">
            <w:pPr>
              <w:pStyle w:val="APVMATableText"/>
            </w:pPr>
            <w:r>
              <w:t>0.</w:t>
            </w:r>
            <w:r w:rsidR="00301EA7">
              <w:t>6</w:t>
            </w:r>
          </w:p>
        </w:tc>
      </w:tr>
      <w:tr w:rsidR="00301EA7" w14:paraId="0425E347" w14:textId="77777777" w:rsidTr="001518BF">
        <w:trPr>
          <w:cantSplit/>
        </w:trPr>
        <w:tc>
          <w:tcPr>
            <w:tcW w:w="1613" w:type="pct"/>
            <w:tcBorders>
              <w:top w:val="single" w:sz="4" w:space="0" w:color="auto"/>
              <w:left w:val="nil"/>
              <w:bottom w:val="single" w:sz="4" w:space="0" w:color="auto"/>
              <w:right w:val="nil"/>
            </w:tcBorders>
          </w:tcPr>
          <w:p w14:paraId="074B4A13" w14:textId="601E3246" w:rsidR="00301EA7" w:rsidRDefault="00301EA7" w:rsidP="008467FF">
            <w:pPr>
              <w:pStyle w:val="APVMATableText"/>
            </w:pPr>
            <w:r>
              <w:t>FS</w:t>
            </w:r>
            <w:r>
              <w:tab/>
              <w:t>0012</w:t>
            </w:r>
          </w:p>
        </w:tc>
        <w:tc>
          <w:tcPr>
            <w:tcW w:w="2392" w:type="pct"/>
            <w:tcBorders>
              <w:top w:val="single" w:sz="4" w:space="0" w:color="auto"/>
              <w:left w:val="nil"/>
              <w:bottom w:val="single" w:sz="4" w:space="0" w:color="auto"/>
              <w:right w:val="nil"/>
            </w:tcBorders>
          </w:tcPr>
          <w:p w14:paraId="6E65629D" w14:textId="05D0D902" w:rsidR="00301EA7" w:rsidRDefault="00301EA7" w:rsidP="008467FF">
            <w:pPr>
              <w:pStyle w:val="APVMATableText"/>
            </w:pPr>
            <w:r>
              <w:t>Stone fruits {except Peach}</w:t>
            </w:r>
          </w:p>
        </w:tc>
        <w:tc>
          <w:tcPr>
            <w:tcW w:w="995" w:type="pct"/>
            <w:tcBorders>
              <w:top w:val="single" w:sz="4" w:space="0" w:color="auto"/>
              <w:left w:val="nil"/>
              <w:bottom w:val="single" w:sz="4" w:space="0" w:color="auto"/>
              <w:right w:val="nil"/>
            </w:tcBorders>
          </w:tcPr>
          <w:p w14:paraId="42850537" w14:textId="7A12661F" w:rsidR="00301EA7" w:rsidRDefault="00301EA7" w:rsidP="008467FF">
            <w:pPr>
              <w:pStyle w:val="APVMATableText"/>
            </w:pPr>
            <w:r>
              <w:t>0.2</w:t>
            </w:r>
          </w:p>
        </w:tc>
      </w:tr>
    </w:tbl>
    <w:p w14:paraId="2FBAB401" w14:textId="77777777" w:rsidR="006D36C8" w:rsidRDefault="006D36C8" w:rsidP="007B1953">
      <w:pPr>
        <w:pStyle w:val="Heading2"/>
      </w:pPr>
      <w:bookmarkStart w:id="55" w:name="_Toc187405141"/>
      <w:bookmarkEnd w:id="54"/>
      <w:r w:rsidRPr="00032787">
        <w:t>Potential</w:t>
      </w:r>
      <w:r>
        <w:t xml:space="preserve"> risk to trade</w:t>
      </w:r>
      <w:bookmarkEnd w:id="49"/>
      <w:bookmarkEnd w:id="50"/>
      <w:bookmarkEnd w:id="55"/>
    </w:p>
    <w:p w14:paraId="28984808" w14:textId="5F02C223" w:rsidR="002D5603" w:rsidRPr="00625A82" w:rsidRDefault="002D5603" w:rsidP="008467FF">
      <w:pPr>
        <w:pStyle w:val="APVMAText"/>
      </w:pPr>
      <w:r w:rsidRPr="00625A82">
        <w:t xml:space="preserve">Export of treated produce containing finite (measurable) residues of </w:t>
      </w:r>
      <w:r w:rsidR="00625A82" w:rsidRPr="00625A82">
        <w:t>metalaxyl</w:t>
      </w:r>
      <w:r w:rsidRPr="00625A82">
        <w:t xml:space="preserve">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2A665361" w14:textId="77777777" w:rsidR="002D5603" w:rsidRPr="00007DB4" w:rsidRDefault="00625A82" w:rsidP="008467FF">
      <w:pPr>
        <w:pStyle w:val="APVMAText"/>
      </w:pPr>
      <w:r w:rsidRPr="00625A82">
        <w:t xml:space="preserve">The proposed peach MRL of 0.6 mg/kg is higher than the Japanese MRL of 0.2 mg/kg for peach. It is greater than the EU MRL of *0.01 mg/kg for peaches and lower than the USA MRL of 1.0 mg/kg for fruit, stone, group 12 and the China MRL of 1 mg/kg for deciduous fruits. It is noted that a metalaxyl MRL for peach or any </w:t>
      </w:r>
      <w:r w:rsidRPr="00007DB4">
        <w:t>stone fruit is currently not established by Codex, but that in the available residue trials only 2 out of 9 results were above the previous Australian stone fruit MRL of 0.2 mg/kg.</w:t>
      </w:r>
    </w:p>
    <w:p w14:paraId="290DF190" w14:textId="77777777" w:rsidR="00625A82" w:rsidRPr="00007DB4" w:rsidRDefault="00625A82" w:rsidP="00625A82">
      <w:pPr>
        <w:spacing w:before="240" w:after="240" w:line="280" w:lineRule="exact"/>
      </w:pPr>
    </w:p>
    <w:p w14:paraId="0751BEE5" w14:textId="07E3B316" w:rsidR="00625A82" w:rsidRPr="002D5603" w:rsidRDefault="00625A82" w:rsidP="00625A82">
      <w:pPr>
        <w:spacing w:before="240" w:after="240" w:line="280" w:lineRule="exact"/>
        <w:rPr>
          <w:color w:val="00B050"/>
        </w:rPr>
        <w:sectPr w:rsidR="00625A82" w:rsidRPr="002D5603">
          <w:pgSz w:w="11906" w:h="16838" w:code="9"/>
          <w:pgMar w:top="2835" w:right="1134" w:bottom="1134" w:left="1134" w:header="1701" w:footer="680" w:gutter="0"/>
          <w:cols w:space="708"/>
          <w:docGrid w:linePitch="360"/>
        </w:sectPr>
      </w:pPr>
    </w:p>
    <w:p w14:paraId="66150D10" w14:textId="664325A4" w:rsidR="002E20AC" w:rsidRDefault="007B1953" w:rsidP="007B1953">
      <w:pPr>
        <w:pStyle w:val="Heading1"/>
      </w:pPr>
      <w:bookmarkStart w:id="56" w:name="_Toc187405142"/>
      <w:r>
        <w:lastRenderedPageBreak/>
        <w:t>C</w:t>
      </w:r>
      <w:r w:rsidR="006D36C8">
        <w:t>onclusion</w:t>
      </w:r>
      <w:bookmarkEnd w:id="56"/>
    </w:p>
    <w:p w14:paraId="54CA5BFB" w14:textId="727B42CF" w:rsidR="002D5603" w:rsidRPr="009A3658" w:rsidRDefault="00625A82" w:rsidP="00E66B01">
      <w:pPr>
        <w:pStyle w:val="APVMAText"/>
        <w:rPr>
          <w:lang w:val="en-US"/>
        </w:rPr>
      </w:pPr>
      <w:r w:rsidRPr="009A3658">
        <w:t xml:space="preserve">Syngenta Australia Pty Ltd </w:t>
      </w:r>
      <w:r w:rsidR="002D5603" w:rsidRPr="009A3658">
        <w:t xml:space="preserve">has applied to vary the registration of </w:t>
      </w:r>
      <w:r w:rsidRPr="009A3658">
        <w:t xml:space="preserve">Ridomil Gold 480 SL Systemic Fungicide </w:t>
      </w:r>
      <w:r w:rsidR="002D5603" w:rsidRPr="009A3658">
        <w:t xml:space="preserve">containing </w:t>
      </w:r>
      <w:r w:rsidRPr="009A3658">
        <w:t>metalaxyl-</w:t>
      </w:r>
      <w:r w:rsidR="00007DB4" w:rsidRPr="009A3658">
        <w:t>M</w:t>
      </w:r>
      <w:r w:rsidR="002D5603" w:rsidRPr="009A3658">
        <w:t xml:space="preserve"> to add a use on </w:t>
      </w:r>
      <w:r w:rsidRPr="009A3658">
        <w:t>peaches.</w:t>
      </w:r>
    </w:p>
    <w:p w14:paraId="1A9C68A4" w14:textId="249BBF0B" w:rsidR="009D452E" w:rsidRPr="009A3658" w:rsidRDefault="002D5603" w:rsidP="00E66B01">
      <w:pPr>
        <w:pStyle w:val="APVMAText"/>
      </w:pPr>
      <w:r w:rsidRPr="009A3658">
        <w:rPr>
          <w:lang w:val="en-US"/>
        </w:rPr>
        <w:t xml:space="preserve">Comment is sought on the potential for the use of </w:t>
      </w:r>
      <w:r w:rsidR="00625A82" w:rsidRPr="009A3658">
        <w:rPr>
          <w:lang w:val="en-US"/>
        </w:rPr>
        <w:t xml:space="preserve">Ridomil Gold 480 SL Systemic Fungicide </w:t>
      </w:r>
      <w:r w:rsidRPr="009A3658">
        <w:rPr>
          <w:lang w:val="en-US"/>
        </w:rPr>
        <w:t xml:space="preserve">on </w:t>
      </w:r>
      <w:r w:rsidR="00625A82" w:rsidRPr="009A3658">
        <w:rPr>
          <w:lang w:val="en-US"/>
        </w:rPr>
        <w:t>peaches</w:t>
      </w:r>
      <w:r w:rsidRPr="009A3658">
        <w:rPr>
          <w:lang w:val="en-US"/>
        </w:rPr>
        <w:t xml:space="preserve"> to prejudice Australian trade when used according to the proposed label instructions.</w:t>
      </w:r>
    </w:p>
    <w:sectPr w:rsidR="009D452E" w:rsidRPr="009A3658">
      <w:headerReference w:type="default" r:id="rId25"/>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160EB" w14:textId="77777777" w:rsidR="00DB3373" w:rsidRDefault="00DB3373">
      <w:r>
        <w:separator/>
      </w:r>
    </w:p>
    <w:p w14:paraId="709FE19F" w14:textId="77777777" w:rsidR="00DB3373" w:rsidRDefault="00DB3373"/>
    <w:p w14:paraId="409F9130" w14:textId="77777777" w:rsidR="00DB3373" w:rsidRDefault="00DB3373"/>
  </w:endnote>
  <w:endnote w:type="continuationSeparator" w:id="0">
    <w:p w14:paraId="2745B739" w14:textId="77777777" w:rsidR="00DB3373" w:rsidRDefault="00DB3373">
      <w:r>
        <w:continuationSeparator/>
      </w:r>
    </w:p>
    <w:p w14:paraId="3892CCD1" w14:textId="77777777" w:rsidR="00DB3373" w:rsidRDefault="00DB3373"/>
    <w:p w14:paraId="72C82FDC" w14:textId="77777777" w:rsidR="00DB3373" w:rsidRDefault="00DB3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789BF" w14:textId="77777777" w:rsidR="00DB3373" w:rsidRDefault="00DB3373">
      <w:r>
        <w:separator/>
      </w:r>
    </w:p>
  </w:footnote>
  <w:footnote w:type="continuationSeparator" w:id="0">
    <w:p w14:paraId="403F1239" w14:textId="77777777" w:rsidR="00DB3373" w:rsidRDefault="00DB3373">
      <w:pPr>
        <w:spacing w:line="180" w:lineRule="exact"/>
        <w:rPr>
          <w:sz w:val="16"/>
        </w:rPr>
      </w:pPr>
      <w:r>
        <w:rPr>
          <w:sz w:val="16"/>
        </w:rPr>
        <w:continuationSeparator/>
      </w:r>
    </w:p>
    <w:p w14:paraId="4EAAF344" w14:textId="77777777" w:rsidR="00DB3373" w:rsidRDefault="00DB3373"/>
    <w:p w14:paraId="0F435A63" w14:textId="77777777" w:rsidR="00DB3373" w:rsidRDefault="00DB3373"/>
  </w:footnote>
  <w:footnote w:type="continuationNotice" w:id="1">
    <w:p w14:paraId="670D011B" w14:textId="77777777" w:rsidR="00DB3373" w:rsidRDefault="00DB3373"/>
    <w:p w14:paraId="78F0633D" w14:textId="77777777" w:rsidR="00DB3373" w:rsidRDefault="00DB3373"/>
    <w:p w14:paraId="391C13B8" w14:textId="77777777" w:rsidR="00DB3373" w:rsidRDefault="00DB3373"/>
  </w:footnote>
  <w:footnote w:id="2">
    <w:p w14:paraId="3A9E0919" w14:textId="13D4E800" w:rsidR="00C3111B" w:rsidRDefault="00C3111B" w:rsidP="00C3111B">
      <w:pPr>
        <w:pStyle w:val="FootnoteText"/>
      </w:pPr>
      <w:r>
        <w:rPr>
          <w:rStyle w:val="FootnoteReference"/>
        </w:rPr>
        <w:footnoteRef/>
      </w:r>
      <w:r>
        <w:t xml:space="preserve"> APVMA Regulatory Guidelines – </w:t>
      </w:r>
      <w:r w:rsidR="00E90BA7">
        <w:t xml:space="preserve">Agricultural </w:t>
      </w:r>
      <w:r>
        <w:t xml:space="preserve">Data Guidelines: </w:t>
      </w:r>
      <w:hyperlink r:id="rId1" w:anchor="major-export-food-commodity-groups" w:history="1">
        <w:r w:rsidR="00E90BA7" w:rsidRPr="00E90BA7">
          <w:rPr>
            <w:rStyle w:val="Hyperlink"/>
          </w:rPr>
          <w:t>Overseas trade (Part 5B)</w:t>
        </w:r>
      </w:hyperlink>
      <w:r w:rsidR="00E90BA7">
        <w:t>, accessed November 2024</w:t>
      </w:r>
    </w:p>
  </w:footnote>
  <w:footnote w:id="3">
    <w:p w14:paraId="463AE8D1" w14:textId="69D4F135" w:rsidR="00B644ED" w:rsidRDefault="00B644ED" w:rsidP="00B644ED">
      <w:pPr>
        <w:pStyle w:val="FootnoteText"/>
      </w:pPr>
      <w:r>
        <w:rPr>
          <w:rStyle w:val="FootnoteReference"/>
        </w:rPr>
        <w:footnoteRef/>
      </w:r>
      <w:r>
        <w:t xml:space="preserve"> </w:t>
      </w:r>
      <w:r w:rsidR="005A7A8B">
        <w:t xml:space="preserve">Australian Horticulture Statistics Handbook 2022/23 - </w:t>
      </w:r>
      <w:hyperlink r:id="rId2" w:history="1">
        <w:r w:rsidR="005A7A8B">
          <w:rPr>
            <w:rStyle w:val="Hyperlink"/>
          </w:rPr>
          <w:t>All Fruit - Overview</w:t>
        </w:r>
      </w:hyperlink>
      <w:r w:rsidR="005A7A8B">
        <w:rPr>
          <w:rStyle w:val="Hyperlink"/>
        </w:rPr>
        <w:t>,</w:t>
      </w:r>
      <w:r w:rsidR="005A7A8B" w:rsidRPr="005A7A8B">
        <w:rPr>
          <w:rStyle w:val="Hyperlink"/>
          <w:color w:val="auto"/>
          <w:u w:val="none"/>
        </w:rPr>
        <w:t xml:space="preserve"> </w:t>
      </w:r>
      <w:r w:rsidR="005A7A8B">
        <w:rPr>
          <w:rStyle w:val="Hyperlink"/>
          <w:color w:val="auto"/>
          <w:u w:val="none"/>
        </w:rPr>
        <w:t>accessed November 2024</w:t>
      </w:r>
    </w:p>
  </w:footnote>
  <w:footnote w:id="4">
    <w:p w14:paraId="26DE5175" w14:textId="7EEEB4CF" w:rsidR="00522E2C" w:rsidRDefault="00522E2C">
      <w:pPr>
        <w:pStyle w:val="FootnoteText"/>
      </w:pPr>
      <w:r>
        <w:rPr>
          <w:rStyle w:val="FootnoteReference"/>
        </w:rPr>
        <w:footnoteRef/>
      </w:r>
      <w:r>
        <w:t xml:space="preserve"> </w:t>
      </w:r>
      <w:hyperlink r:id="rId3" w:history="1">
        <w:r w:rsidRPr="00522E2C">
          <w:rPr>
            <w:rStyle w:val="Hyperlink"/>
            <w:b/>
            <w:bCs/>
          </w:rPr>
          <w:t>B</w:t>
        </w:r>
        <w:r w:rsidRPr="00522E2C">
          <w:rPr>
            <w:rStyle w:val="Hyperlink"/>
          </w:rPr>
          <w:t xml:space="preserve">iologische </w:t>
        </w:r>
        <w:r w:rsidRPr="00522E2C">
          <w:rPr>
            <w:rStyle w:val="Hyperlink"/>
            <w:b/>
            <w:bCs/>
          </w:rPr>
          <w:t>B</w:t>
        </w:r>
        <w:r w:rsidRPr="00522E2C">
          <w:rPr>
            <w:rStyle w:val="Hyperlink"/>
          </w:rPr>
          <w:t xml:space="preserve">undesanstalt, Bundessortenamt and </w:t>
        </w:r>
        <w:r w:rsidRPr="00522E2C">
          <w:rPr>
            <w:rStyle w:val="Hyperlink"/>
            <w:b/>
            <w:bCs/>
          </w:rPr>
          <w:t>CH</w:t>
        </w:r>
        <w:r w:rsidRPr="00522E2C">
          <w:rPr>
            <w:rStyle w:val="Hyperlink"/>
          </w:rPr>
          <w:t>emical industry</w:t>
        </w:r>
      </w:hyperlink>
      <w:r w:rsidR="00842F20">
        <w:t xml:space="preserve"> </w:t>
      </w:r>
      <w:r w:rsidR="00842F20">
        <w:rPr>
          <w:u w:val="single"/>
        </w:rPr>
        <w:t xml:space="preserve">- </w:t>
      </w:r>
      <w:r w:rsidR="00842F20" w:rsidRPr="00842F20">
        <w:t>Growth stages of mono- and dicotyledonous plants</w:t>
      </w:r>
      <w:r w:rsidR="00477EAE">
        <w:t>, accessed November 2024</w:t>
      </w:r>
    </w:p>
  </w:footnote>
  <w:footnote w:id="5">
    <w:p w14:paraId="7AD3B440" w14:textId="29A14996" w:rsidR="00EB2FBA" w:rsidRPr="005C44B4" w:rsidRDefault="00EB2FBA" w:rsidP="0014021C">
      <w:pPr>
        <w:pStyle w:val="FootnoteText"/>
        <w:rPr>
          <w:i/>
          <w:iCs/>
        </w:rPr>
      </w:pPr>
      <w:r>
        <w:rPr>
          <w:rStyle w:val="FootnoteReference"/>
        </w:rPr>
        <w:footnoteRef/>
      </w:r>
      <w:r>
        <w:t xml:space="preserve"> </w:t>
      </w:r>
      <w:hyperlink r:id="rId4" w:history="1">
        <w:r w:rsidR="0065564A">
          <w:rPr>
            <w:rStyle w:val="Hyperlink"/>
          </w:rPr>
          <w:t>Agricultural and Veterinary Chemicals Code (MRL Standard for Residues of Chemical Products) Instrument 2023</w:t>
        </w:r>
      </w:hyperlink>
      <w:r w:rsidR="00477EAE">
        <w:rPr>
          <w:rStyle w:val="Hyperlink"/>
        </w:rPr>
        <w:t>,</w:t>
      </w:r>
      <w:r w:rsidR="005C44B4">
        <w:rPr>
          <w:rStyle w:val="Hyperlink"/>
        </w:rPr>
        <w:t xml:space="preserve"> </w:t>
      </w:r>
      <w:r w:rsidR="00477EAE" w:rsidRPr="005C44B4">
        <w:rPr>
          <w:rStyle w:val="Hyperlink"/>
          <w:color w:val="auto"/>
          <w:u w:val="none"/>
        </w:rPr>
        <w:t>accessed November 2024</w:t>
      </w:r>
    </w:p>
  </w:footnote>
  <w:footnote w:id="6">
    <w:p w14:paraId="26B7080B" w14:textId="098FF4FB" w:rsidR="00EB2FBA" w:rsidRDefault="00EB2FBA" w:rsidP="0014021C">
      <w:pPr>
        <w:pStyle w:val="FootnoteText"/>
      </w:pPr>
      <w:r>
        <w:rPr>
          <w:rStyle w:val="FootnoteReference"/>
        </w:rPr>
        <w:footnoteRef/>
      </w:r>
      <w:r>
        <w:t xml:space="preserve"> </w:t>
      </w:r>
      <w:r w:rsidR="0065564A">
        <w:t xml:space="preserve">European Commission, </w:t>
      </w:r>
      <w:hyperlink r:id="rId5" w:history="1">
        <w:r w:rsidR="0065564A" w:rsidRPr="00FD3FA5">
          <w:rPr>
            <w:rStyle w:val="Hyperlink"/>
            <w:i/>
          </w:rPr>
          <w:t>EU Pesticide residue(s) and maximum residue levels (mg/kg)</w:t>
        </w:r>
        <w:r w:rsidR="0065564A" w:rsidRPr="00FD3FA5">
          <w:rPr>
            <w:rStyle w:val="Hyperlink"/>
          </w:rPr>
          <w:t>,</w:t>
        </w:r>
      </w:hyperlink>
      <w:r w:rsidR="0065564A">
        <w:t xml:space="preserve"> European Commission website, accessed </w:t>
      </w:r>
      <w:bookmarkStart w:id="39" w:name="_Hlk136069343"/>
      <w:r w:rsidR="004815D8">
        <w:t>November</w:t>
      </w:r>
      <w:r w:rsidR="0065564A">
        <w:t xml:space="preserve"> 202</w:t>
      </w:r>
      <w:bookmarkEnd w:id="39"/>
      <w:r w:rsidR="0065564A">
        <w:t>4.</w:t>
      </w:r>
    </w:p>
  </w:footnote>
  <w:footnote w:id="7">
    <w:p w14:paraId="56BC4D29" w14:textId="31DA8AD9" w:rsidR="00EB2FBA" w:rsidRDefault="00EB2FBA" w:rsidP="0014021C">
      <w:pPr>
        <w:pStyle w:val="FootnoteText"/>
      </w:pPr>
      <w:r>
        <w:rPr>
          <w:rStyle w:val="FootnoteReference"/>
        </w:rPr>
        <w:footnoteRef/>
      </w:r>
      <w:r>
        <w:t xml:space="preserve"> </w:t>
      </w:r>
      <w:r w:rsidR="0065564A">
        <w:t xml:space="preserve">The Japan Food Chemical Research Foundation, </w:t>
      </w:r>
      <w:hyperlink r:id="rId6" w:history="1">
        <w:r w:rsidR="0065564A">
          <w:rPr>
            <w:rStyle w:val="Hyperlink"/>
            <w:i/>
          </w:rPr>
          <w:t>Maximum Residue Limits (MRLs) List of Agricultural Chemicals in Foods</w:t>
        </w:r>
      </w:hyperlink>
      <w:r w:rsidR="0065564A">
        <w:rPr>
          <w:rStyle w:val="Hyperlink"/>
          <w:i/>
        </w:rPr>
        <w:t>,</w:t>
      </w:r>
      <w:r w:rsidR="0065564A">
        <w:rPr>
          <w:i/>
        </w:rPr>
        <w:t xml:space="preserve"> </w:t>
      </w:r>
      <w:r w:rsidR="0065564A">
        <w:t xml:space="preserve">The Japan Food Chemical Research Foundation website, accessed </w:t>
      </w:r>
      <w:r w:rsidR="004815D8">
        <w:t>November</w:t>
      </w:r>
      <w:r w:rsidR="0065564A">
        <w:t xml:space="preserve"> 2024.</w:t>
      </w:r>
    </w:p>
  </w:footnote>
  <w:footnote w:id="8">
    <w:p w14:paraId="10E8FC75" w14:textId="32F6D263" w:rsidR="00EB2FBA" w:rsidRDefault="00EB2FBA" w:rsidP="0014021C">
      <w:pPr>
        <w:pStyle w:val="FootnoteText"/>
      </w:pPr>
      <w:r>
        <w:rPr>
          <w:rStyle w:val="FootnoteReference"/>
        </w:rPr>
        <w:footnoteRef/>
      </w:r>
      <w:r>
        <w:t xml:space="preserve"> </w:t>
      </w:r>
      <w:r w:rsidR="0065564A">
        <w:t xml:space="preserve">Food and Agriculture Organisation of the United Nations, </w:t>
      </w:r>
      <w:hyperlink r:id="rId7" w:history="1">
        <w:r w:rsidR="0065564A" w:rsidRPr="008250BA">
          <w:rPr>
            <w:rStyle w:val="Hyperlink"/>
            <w:i/>
          </w:rPr>
          <w:t>Codex Alimentarius, International Food Standards</w:t>
        </w:r>
        <w:r w:rsidR="0065564A" w:rsidRPr="00FD3FA5">
          <w:rPr>
            <w:rStyle w:val="Hyperlink"/>
          </w:rPr>
          <w:t>,</w:t>
        </w:r>
      </w:hyperlink>
      <w:r w:rsidR="0065564A">
        <w:t xml:space="preserve"> FAO website, accessed </w:t>
      </w:r>
      <w:r w:rsidR="004815D8">
        <w:t>November</w:t>
      </w:r>
      <w:r w:rsidR="0065564A" w:rsidRPr="00923C3C">
        <w:t xml:space="preserve"> 2024.</w:t>
      </w:r>
    </w:p>
  </w:footnote>
  <w:footnote w:id="9">
    <w:p w14:paraId="5529D0D2" w14:textId="2B333D53" w:rsidR="00EB2FBA" w:rsidRDefault="00EB2FBA" w:rsidP="0014021C">
      <w:pPr>
        <w:pStyle w:val="FootnoteText"/>
      </w:pPr>
      <w:r>
        <w:rPr>
          <w:rStyle w:val="FootnoteReference"/>
        </w:rPr>
        <w:footnoteRef/>
      </w:r>
      <w:r>
        <w:t xml:space="preserve"> </w:t>
      </w:r>
      <w:bookmarkStart w:id="40" w:name="_Hlk151991628"/>
      <w:r w:rsidR="0065564A" w:rsidRPr="00787A4B">
        <w:t xml:space="preserve">Electronic Code of Federal Regulations, </w:t>
      </w:r>
      <w:hyperlink r:id="rId8" w:history="1">
        <w:r w:rsidR="0065564A" w:rsidRPr="008250BA">
          <w:rPr>
            <w:rStyle w:val="Hyperlink"/>
            <w:i/>
            <w:iCs/>
          </w:rPr>
          <w:t>USA Electronic Code of Federal Regulations</w:t>
        </w:r>
      </w:hyperlink>
      <w:r w:rsidR="0065564A" w:rsidRPr="00787A4B">
        <w:t xml:space="preserve">, eCFR website, accessed </w:t>
      </w:r>
      <w:r w:rsidR="004815D8">
        <w:t>November</w:t>
      </w:r>
      <w:r w:rsidR="0065564A" w:rsidRPr="00923C3C">
        <w:t xml:space="preserve"> 2024</w:t>
      </w:r>
      <w:r w:rsidR="0065564A" w:rsidRPr="00787A4B">
        <w:t>.</w:t>
      </w:r>
      <w:bookmarkEnd w:id="40"/>
    </w:p>
  </w:footnote>
  <w:footnote w:id="10">
    <w:p w14:paraId="0C2D5B52" w14:textId="336A7AB1" w:rsidR="0065564A" w:rsidRDefault="0065564A">
      <w:pPr>
        <w:pStyle w:val="FootnoteText"/>
      </w:pPr>
      <w:r>
        <w:rPr>
          <w:rStyle w:val="FootnoteReference"/>
        </w:rPr>
        <w:footnoteRef/>
      </w:r>
      <w:r>
        <w:t xml:space="preserve"> USDA Foreign Agricultural Service, </w:t>
      </w:r>
      <w:hyperlink r:id="rId9" w:history="1">
        <w:r w:rsidRPr="0086354C">
          <w:rPr>
            <w:rStyle w:val="Hyperlink"/>
            <w:i/>
            <w:iCs/>
          </w:rPr>
          <w:t>Translation of Maximum Residue Limits for Pesticides in Foods</w:t>
        </w:r>
      </w:hyperlink>
      <w:r>
        <w:rPr>
          <w:i/>
          <w:iCs/>
        </w:rPr>
        <w:t xml:space="preserve">, </w:t>
      </w:r>
      <w:r w:rsidRPr="0086354C">
        <w:t xml:space="preserve">USDA website, accessed </w:t>
      </w:r>
      <w:r w:rsidR="004815D8">
        <w:t>November</w:t>
      </w:r>
      <w:r w:rsidRPr="0086354C">
        <w:t xml:space="preserv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43D1A" w14:textId="42002048" w:rsidR="007B1953" w:rsidRDefault="007B1953" w:rsidP="007B1953">
    <w:pPr>
      <w:pStyle w:val="APVMAOddHeader"/>
    </w:pPr>
    <w:r>
      <w:tab/>
    </w:r>
    <w:r w:rsidR="00532A2F">
      <w:t>Trade Advice Notice on the use of metalaxyl-M on peaches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5641" w14:textId="02611204" w:rsidR="007B1953" w:rsidRDefault="007B1953" w:rsidP="007B1953">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216C49">
      <w:rPr>
        <w:rStyle w:val="PageNumber"/>
        <w:noProof/>
        <w:szCs w:val="24"/>
      </w:rPr>
      <w:t>1</w:t>
    </w:r>
    <w:r>
      <w:rPr>
        <w:rStyle w:val="PageNumber"/>
        <w:b w:val="0"/>
        <w:caps/>
        <w:szCs w:val="24"/>
      </w:rPr>
      <w:fldChar w:fldCharType="end"/>
    </w:r>
    <w:r>
      <w:tab/>
      <w:t xml:space="preserve">Trade Advice Notice on </w:t>
    </w:r>
    <w:r w:rsidR="0014021C">
      <w:t>the use of metalaxyl-</w:t>
    </w:r>
    <w:r w:rsidR="00007DB4">
      <w:t>M</w:t>
    </w:r>
    <w:r w:rsidR="0014021C">
      <w:t xml:space="preserve"> on peaches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9C073" w14:textId="306F3F4E" w:rsidR="00696A51" w:rsidRDefault="00696A51" w:rsidP="007B1953">
    <w:pPr>
      <w:pStyle w:val="APVMAOddHeader"/>
    </w:pPr>
    <w:r>
      <w:tab/>
    </w:r>
    <w:r w:rsidR="003C2872">
      <w:t>Trade Advice Notice on the use of metalaxyl-</w:t>
    </w:r>
    <w:r w:rsidR="00007DB4">
      <w:t>M</w:t>
    </w:r>
    <w:r w:rsidR="003C2872">
      <w:t xml:space="preserve"> on peaches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A9BAC" w14:textId="1A2C6035" w:rsidR="00BA67F0" w:rsidRDefault="00BA67F0">
    <w:pPr>
      <w:pStyle w:val="APVMAOddHeader"/>
    </w:pPr>
    <w:r>
      <w:tab/>
    </w:r>
    <w:r w:rsidR="00007DB4">
      <w:t>Trade Advice Notice on the use of metalaxyl-M on peaches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7B1953">
      <w:rPr>
        <w:rStyle w:val="PageNumber"/>
        <w:rFonts w:cs="Times New Roman"/>
        <w:b/>
        <w:bCs w:val="0"/>
        <w:noProof/>
        <w:szCs w:val="24"/>
      </w:rPr>
      <w:t>9</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07DB4"/>
    <w:rsid w:val="000124F2"/>
    <w:rsid w:val="00021A6A"/>
    <w:rsid w:val="00032787"/>
    <w:rsid w:val="000642F7"/>
    <w:rsid w:val="00067828"/>
    <w:rsid w:val="000765C1"/>
    <w:rsid w:val="0008350E"/>
    <w:rsid w:val="00094DAC"/>
    <w:rsid w:val="00096163"/>
    <w:rsid w:val="000A7EF6"/>
    <w:rsid w:val="000C2C1B"/>
    <w:rsid w:val="000C56C2"/>
    <w:rsid w:val="000C5EB1"/>
    <w:rsid w:val="000D2CEF"/>
    <w:rsid w:val="000D49ED"/>
    <w:rsid w:val="000F2193"/>
    <w:rsid w:val="001004E6"/>
    <w:rsid w:val="0010122F"/>
    <w:rsid w:val="00116540"/>
    <w:rsid w:val="00120E00"/>
    <w:rsid w:val="00121741"/>
    <w:rsid w:val="00125B8E"/>
    <w:rsid w:val="0013498B"/>
    <w:rsid w:val="0014021C"/>
    <w:rsid w:val="00143C87"/>
    <w:rsid w:val="001534D8"/>
    <w:rsid w:val="0016652E"/>
    <w:rsid w:val="00167BB3"/>
    <w:rsid w:val="00174E15"/>
    <w:rsid w:val="00184190"/>
    <w:rsid w:val="00193533"/>
    <w:rsid w:val="001A3713"/>
    <w:rsid w:val="001B335C"/>
    <w:rsid w:val="001B7360"/>
    <w:rsid w:val="001C5F2F"/>
    <w:rsid w:val="001C6607"/>
    <w:rsid w:val="001D3257"/>
    <w:rsid w:val="001E0243"/>
    <w:rsid w:val="001F0620"/>
    <w:rsid w:val="00216C49"/>
    <w:rsid w:val="0024289A"/>
    <w:rsid w:val="0026493F"/>
    <w:rsid w:val="00273344"/>
    <w:rsid w:val="0028028B"/>
    <w:rsid w:val="00280720"/>
    <w:rsid w:val="00282A32"/>
    <w:rsid w:val="002A1A34"/>
    <w:rsid w:val="002A25F1"/>
    <w:rsid w:val="002A69DD"/>
    <w:rsid w:val="002B0752"/>
    <w:rsid w:val="002B4618"/>
    <w:rsid w:val="002B5703"/>
    <w:rsid w:val="002D5603"/>
    <w:rsid w:val="002D7779"/>
    <w:rsid w:val="002E004D"/>
    <w:rsid w:val="002E20AC"/>
    <w:rsid w:val="002E49F4"/>
    <w:rsid w:val="002F4591"/>
    <w:rsid w:val="00301EA7"/>
    <w:rsid w:val="0030255E"/>
    <w:rsid w:val="0031487D"/>
    <w:rsid w:val="003207F2"/>
    <w:rsid w:val="003224B7"/>
    <w:rsid w:val="00323317"/>
    <w:rsid w:val="00347883"/>
    <w:rsid w:val="003506C5"/>
    <w:rsid w:val="00364192"/>
    <w:rsid w:val="00381544"/>
    <w:rsid w:val="00382B7C"/>
    <w:rsid w:val="00383003"/>
    <w:rsid w:val="00394BFC"/>
    <w:rsid w:val="0039549E"/>
    <w:rsid w:val="003A01E9"/>
    <w:rsid w:val="003A1BD7"/>
    <w:rsid w:val="003A2363"/>
    <w:rsid w:val="003A558F"/>
    <w:rsid w:val="003B0A74"/>
    <w:rsid w:val="003C0891"/>
    <w:rsid w:val="003C2872"/>
    <w:rsid w:val="003F15DD"/>
    <w:rsid w:val="003F42F8"/>
    <w:rsid w:val="003F71D7"/>
    <w:rsid w:val="003F7CB7"/>
    <w:rsid w:val="004070E1"/>
    <w:rsid w:val="00407597"/>
    <w:rsid w:val="0041228F"/>
    <w:rsid w:val="00444045"/>
    <w:rsid w:val="00456F2C"/>
    <w:rsid w:val="004616C8"/>
    <w:rsid w:val="00461D26"/>
    <w:rsid w:val="00466D82"/>
    <w:rsid w:val="00470304"/>
    <w:rsid w:val="00477EAE"/>
    <w:rsid w:val="004815D8"/>
    <w:rsid w:val="004B667C"/>
    <w:rsid w:val="004C3CAE"/>
    <w:rsid w:val="004D2C4F"/>
    <w:rsid w:val="004D48AF"/>
    <w:rsid w:val="004E1991"/>
    <w:rsid w:val="004E4CD7"/>
    <w:rsid w:val="004F66B0"/>
    <w:rsid w:val="00500A98"/>
    <w:rsid w:val="005033A8"/>
    <w:rsid w:val="005064D5"/>
    <w:rsid w:val="005148C0"/>
    <w:rsid w:val="00520963"/>
    <w:rsid w:val="00522E27"/>
    <w:rsid w:val="00522E2C"/>
    <w:rsid w:val="0052561C"/>
    <w:rsid w:val="005313DE"/>
    <w:rsid w:val="00532A2F"/>
    <w:rsid w:val="00542759"/>
    <w:rsid w:val="00545A0A"/>
    <w:rsid w:val="005527B9"/>
    <w:rsid w:val="00555089"/>
    <w:rsid w:val="00556804"/>
    <w:rsid w:val="00557CE6"/>
    <w:rsid w:val="00560E83"/>
    <w:rsid w:val="00563297"/>
    <w:rsid w:val="005645E9"/>
    <w:rsid w:val="0056594B"/>
    <w:rsid w:val="00566590"/>
    <w:rsid w:val="00580529"/>
    <w:rsid w:val="00596F1D"/>
    <w:rsid w:val="005A6754"/>
    <w:rsid w:val="005A7A8B"/>
    <w:rsid w:val="005C44B4"/>
    <w:rsid w:val="005D00D1"/>
    <w:rsid w:val="005D1A47"/>
    <w:rsid w:val="005F4701"/>
    <w:rsid w:val="00606E79"/>
    <w:rsid w:val="006110AE"/>
    <w:rsid w:val="00620B7F"/>
    <w:rsid w:val="0062466B"/>
    <w:rsid w:val="00625A82"/>
    <w:rsid w:val="00637AB9"/>
    <w:rsid w:val="00641B1B"/>
    <w:rsid w:val="00643052"/>
    <w:rsid w:val="0065564A"/>
    <w:rsid w:val="00657A28"/>
    <w:rsid w:val="0066107B"/>
    <w:rsid w:val="0067749E"/>
    <w:rsid w:val="006817A6"/>
    <w:rsid w:val="00692FC6"/>
    <w:rsid w:val="00696A51"/>
    <w:rsid w:val="006C08BC"/>
    <w:rsid w:val="006D36C8"/>
    <w:rsid w:val="006D6D34"/>
    <w:rsid w:val="006E33F7"/>
    <w:rsid w:val="00700C27"/>
    <w:rsid w:val="00702B7D"/>
    <w:rsid w:val="00704C88"/>
    <w:rsid w:val="00711141"/>
    <w:rsid w:val="007212F5"/>
    <w:rsid w:val="007275CF"/>
    <w:rsid w:val="00731659"/>
    <w:rsid w:val="007368E2"/>
    <w:rsid w:val="00753ED8"/>
    <w:rsid w:val="00770B96"/>
    <w:rsid w:val="00772D8F"/>
    <w:rsid w:val="00786676"/>
    <w:rsid w:val="00790A8E"/>
    <w:rsid w:val="0079772A"/>
    <w:rsid w:val="007B1953"/>
    <w:rsid w:val="007B2C31"/>
    <w:rsid w:val="007D092F"/>
    <w:rsid w:val="007F0146"/>
    <w:rsid w:val="007F6C64"/>
    <w:rsid w:val="00814579"/>
    <w:rsid w:val="00823455"/>
    <w:rsid w:val="00832B4C"/>
    <w:rsid w:val="00832D38"/>
    <w:rsid w:val="008362F6"/>
    <w:rsid w:val="00836556"/>
    <w:rsid w:val="008366A3"/>
    <w:rsid w:val="00841E0F"/>
    <w:rsid w:val="00842F20"/>
    <w:rsid w:val="008467FF"/>
    <w:rsid w:val="00847050"/>
    <w:rsid w:val="00860B66"/>
    <w:rsid w:val="00862E63"/>
    <w:rsid w:val="008836D1"/>
    <w:rsid w:val="00892292"/>
    <w:rsid w:val="008A035F"/>
    <w:rsid w:val="008A071E"/>
    <w:rsid w:val="008B2E83"/>
    <w:rsid w:val="008C5C0D"/>
    <w:rsid w:val="008C6B9D"/>
    <w:rsid w:val="008C72E0"/>
    <w:rsid w:val="008D01CF"/>
    <w:rsid w:val="008D1A7E"/>
    <w:rsid w:val="008F14C4"/>
    <w:rsid w:val="008F422E"/>
    <w:rsid w:val="009054A8"/>
    <w:rsid w:val="00907619"/>
    <w:rsid w:val="0091294F"/>
    <w:rsid w:val="0091342A"/>
    <w:rsid w:val="00937D34"/>
    <w:rsid w:val="00940899"/>
    <w:rsid w:val="009445A6"/>
    <w:rsid w:val="00946FA6"/>
    <w:rsid w:val="0095647E"/>
    <w:rsid w:val="00957A91"/>
    <w:rsid w:val="00966603"/>
    <w:rsid w:val="00967737"/>
    <w:rsid w:val="00972247"/>
    <w:rsid w:val="00991C0E"/>
    <w:rsid w:val="009970A0"/>
    <w:rsid w:val="009A3658"/>
    <w:rsid w:val="009A4448"/>
    <w:rsid w:val="009A7614"/>
    <w:rsid w:val="009B6ACE"/>
    <w:rsid w:val="009D0E59"/>
    <w:rsid w:val="009D452E"/>
    <w:rsid w:val="009F16FF"/>
    <w:rsid w:val="00A03801"/>
    <w:rsid w:val="00A11221"/>
    <w:rsid w:val="00A1629F"/>
    <w:rsid w:val="00A23729"/>
    <w:rsid w:val="00A2448D"/>
    <w:rsid w:val="00A25290"/>
    <w:rsid w:val="00A26C6B"/>
    <w:rsid w:val="00A3333F"/>
    <w:rsid w:val="00A33806"/>
    <w:rsid w:val="00A5136D"/>
    <w:rsid w:val="00A60905"/>
    <w:rsid w:val="00A6283D"/>
    <w:rsid w:val="00A77CE7"/>
    <w:rsid w:val="00A81500"/>
    <w:rsid w:val="00A82202"/>
    <w:rsid w:val="00A84E25"/>
    <w:rsid w:val="00A87101"/>
    <w:rsid w:val="00AB659C"/>
    <w:rsid w:val="00AC7D31"/>
    <w:rsid w:val="00AD57F2"/>
    <w:rsid w:val="00AF1ED4"/>
    <w:rsid w:val="00AF232A"/>
    <w:rsid w:val="00AF3312"/>
    <w:rsid w:val="00B0251A"/>
    <w:rsid w:val="00B061D3"/>
    <w:rsid w:val="00B13E87"/>
    <w:rsid w:val="00B15647"/>
    <w:rsid w:val="00B22F9F"/>
    <w:rsid w:val="00B27675"/>
    <w:rsid w:val="00B32E0B"/>
    <w:rsid w:val="00B50074"/>
    <w:rsid w:val="00B644ED"/>
    <w:rsid w:val="00B86783"/>
    <w:rsid w:val="00BA67F0"/>
    <w:rsid w:val="00BC5423"/>
    <w:rsid w:val="00BC5A5C"/>
    <w:rsid w:val="00BD021C"/>
    <w:rsid w:val="00BD0287"/>
    <w:rsid w:val="00BD2289"/>
    <w:rsid w:val="00BD55DB"/>
    <w:rsid w:val="00BD62F9"/>
    <w:rsid w:val="00BD70E8"/>
    <w:rsid w:val="00BD7C8B"/>
    <w:rsid w:val="00BF0C7F"/>
    <w:rsid w:val="00BF343D"/>
    <w:rsid w:val="00C01FCE"/>
    <w:rsid w:val="00C138A7"/>
    <w:rsid w:val="00C3111B"/>
    <w:rsid w:val="00C40758"/>
    <w:rsid w:val="00C53C96"/>
    <w:rsid w:val="00C570DC"/>
    <w:rsid w:val="00C73D24"/>
    <w:rsid w:val="00C800A8"/>
    <w:rsid w:val="00C81AFA"/>
    <w:rsid w:val="00C91C1A"/>
    <w:rsid w:val="00C95323"/>
    <w:rsid w:val="00C9656F"/>
    <w:rsid w:val="00CA17DC"/>
    <w:rsid w:val="00CB774E"/>
    <w:rsid w:val="00CD6650"/>
    <w:rsid w:val="00CE3E56"/>
    <w:rsid w:val="00CE456A"/>
    <w:rsid w:val="00CE6C51"/>
    <w:rsid w:val="00D10F59"/>
    <w:rsid w:val="00D22CCB"/>
    <w:rsid w:val="00D312F6"/>
    <w:rsid w:val="00D3452A"/>
    <w:rsid w:val="00D3515E"/>
    <w:rsid w:val="00D4143D"/>
    <w:rsid w:val="00D505AD"/>
    <w:rsid w:val="00D52AED"/>
    <w:rsid w:val="00D53A96"/>
    <w:rsid w:val="00D67750"/>
    <w:rsid w:val="00D67788"/>
    <w:rsid w:val="00D70A54"/>
    <w:rsid w:val="00D874AA"/>
    <w:rsid w:val="00D9318E"/>
    <w:rsid w:val="00D942C8"/>
    <w:rsid w:val="00D9615B"/>
    <w:rsid w:val="00DA11C8"/>
    <w:rsid w:val="00DB3373"/>
    <w:rsid w:val="00DB3BF5"/>
    <w:rsid w:val="00DC5936"/>
    <w:rsid w:val="00DD1BAF"/>
    <w:rsid w:val="00DF65EB"/>
    <w:rsid w:val="00E17B34"/>
    <w:rsid w:val="00E203CD"/>
    <w:rsid w:val="00E318E3"/>
    <w:rsid w:val="00E35DE7"/>
    <w:rsid w:val="00E407FC"/>
    <w:rsid w:val="00E41FED"/>
    <w:rsid w:val="00E63AC3"/>
    <w:rsid w:val="00E66B01"/>
    <w:rsid w:val="00E70840"/>
    <w:rsid w:val="00E830F0"/>
    <w:rsid w:val="00E84BA9"/>
    <w:rsid w:val="00E8730F"/>
    <w:rsid w:val="00E9019E"/>
    <w:rsid w:val="00E90BA7"/>
    <w:rsid w:val="00E97570"/>
    <w:rsid w:val="00EA1757"/>
    <w:rsid w:val="00EB2FBA"/>
    <w:rsid w:val="00ED3FAE"/>
    <w:rsid w:val="00EE0D34"/>
    <w:rsid w:val="00EE297E"/>
    <w:rsid w:val="00EE5B09"/>
    <w:rsid w:val="00EE6B92"/>
    <w:rsid w:val="00F07F2A"/>
    <w:rsid w:val="00F10D70"/>
    <w:rsid w:val="00F16F94"/>
    <w:rsid w:val="00F262BE"/>
    <w:rsid w:val="00F30BA1"/>
    <w:rsid w:val="00F30BDA"/>
    <w:rsid w:val="00F34959"/>
    <w:rsid w:val="00F34CCB"/>
    <w:rsid w:val="00F453FE"/>
    <w:rsid w:val="00F51AA7"/>
    <w:rsid w:val="00F56C76"/>
    <w:rsid w:val="00F6733A"/>
    <w:rsid w:val="00F74FA6"/>
    <w:rsid w:val="00F81727"/>
    <w:rsid w:val="00F84AE3"/>
    <w:rsid w:val="00F969AD"/>
    <w:rsid w:val="00F976A6"/>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D312F6"/>
    <w:pPr>
      <w:tabs>
        <w:tab w:val="clear" w:pos="9072"/>
        <w:tab w:val="left" w:pos="567"/>
      </w:tabs>
      <w:ind w:left="567" w:hanging="567"/>
    </w:pPr>
    <w:rPr>
      <w:b w:val="0"/>
    </w:r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sid w:val="008467FF"/>
    <w:rPr>
      <w:bdr w:val="none" w:sz="0" w:space="0" w:color="auto"/>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customStyle="1" w:styleId="FootnoteTextChar">
    <w:name w:val="Footnote Text Char"/>
    <w:aliases w:val="APVMA_Footnote Char,DAR001 Char,Tabellenanmerkung Char"/>
    <w:basedOn w:val="DefaultParagraphFont"/>
    <w:link w:val="FootnoteText"/>
    <w:rsid w:val="0014021C"/>
    <w:rPr>
      <w:rFonts w:ascii="Arial" w:hAnsi="Arial" w:cs="Arial"/>
      <w:spacing w:val="6"/>
      <w:kern w:val="20"/>
      <w:sz w:val="16"/>
      <w:u w:color="000000"/>
      <w:lang w:eastAsia="en-US"/>
    </w:rPr>
  </w:style>
  <w:style w:type="character" w:styleId="UnresolvedMention">
    <w:name w:val="Unresolved Mention"/>
    <w:basedOn w:val="DefaultParagraphFont"/>
    <w:uiPriority w:val="99"/>
    <w:semiHidden/>
    <w:unhideWhenUsed/>
    <w:rsid w:val="006D6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728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hyperlink" Target="http://www.apvma.gov.au" TargetMode="External"/><Relationship Id="rId10" Type="http://schemas.openxmlformats.org/officeDocument/2006/relationships/image" Target="media/image2.png"/><Relationship Id="rId19" Type="http://schemas.openxmlformats.org/officeDocument/2006/relationships/hyperlink" Target="https://apvma.gov.au/node/7285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cfr.gov/current/title-40/chapter-I/subchapter-E/part-180/subpart-C/section-180.408" TargetMode="External"/><Relationship Id="rId3" Type="http://schemas.openxmlformats.org/officeDocument/2006/relationships/hyperlink" Target="https://www.openagrar.de/servlets/MCRFileNodeServlet/openagrar_derivate_00010428/BBCH-Skala_en.pdf" TargetMode="External"/><Relationship Id="rId7" Type="http://schemas.openxmlformats.org/officeDocument/2006/relationships/hyperlink" Target="https://www.fao.org/fao-who-codexalimentarius/codex-texts/dbs/pestres/pesticide-detail/en/?p_id=138" TargetMode="External"/><Relationship Id="rId2" Type="http://schemas.openxmlformats.org/officeDocument/2006/relationships/hyperlink" Target="https://www.horticulture.com.au/contentassets/a36fdfa2427d4ad284c426663b06f15c/hort-stats-fruit-22-23.pdf.pdf" TargetMode="External"/><Relationship Id="rId1" Type="http://schemas.openxmlformats.org/officeDocument/2006/relationships/hyperlink" Target="https://www.apvma.gov.au/registrations-and-permits/data-requirements/agricultural-data-guidelines/overseas-trade-part-5b" TargetMode="External"/><Relationship Id="rId6" Type="http://schemas.openxmlformats.org/officeDocument/2006/relationships/hyperlink" Target="https://db.ffcr.or.jp/front/pesticide_detail?id=75100" TargetMode="External"/><Relationship Id="rId5" Type="http://schemas.openxmlformats.org/officeDocument/2006/relationships/hyperlink" Target="https://ec.europa.eu/food/plant/pesticides/eu-pesticides-database/start/screen/mrls/details?lg_code=EN&amp;pest_res_id_list=152&amp;product_id_list=" TargetMode="External"/><Relationship Id="rId4" Type="http://schemas.openxmlformats.org/officeDocument/2006/relationships/hyperlink" Target="https://www.legislation.gov.au/F2023L01350/latest/text" TargetMode="External"/><Relationship Id="rId9" Type="http://schemas.openxmlformats.org/officeDocument/2006/relationships/hyperlink" Target="https://apps.fas.usda.gov/newgainapi/api/Report/DownloadReportByFileName?fileName=Translation%20of%20Maximum%20Residue%20Limits%20for%20Pesticides%20in%20Foods_Beijing_China%20-%20People%27s%20Republic%20of_08-22-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A3413431</value>
    </field>
    <field name="Objective-Title">
      <value order="0">Metalaxyl-m_peaches_64812_142739_TAN</value>
    </field>
    <field name="Objective-Description">
      <value order="0"/>
    </field>
    <field name="Objective-CreationStamp">
      <value order="0">2024-11-28T02:38:24Z</value>
    </field>
    <field name="Objective-IsApproved">
      <value order="0">false</value>
    </field>
    <field name="Objective-IsPublished">
      <value order="0">false</value>
    </field>
    <field name="Objective-DatePublished">
      <value order="0"/>
    </field>
    <field name="Objective-ModificationStamp">
      <value order="0">2024-12-06T03:22:10Z</value>
    </field>
    <field name="Objective-Owner">
      <value order="0">Eric Cruz</value>
    </field>
    <field name="Objective-Path">
      <value order="0">APVMA:SCIENTIFIC ASSESSMENT:Scientific Assessment - Residues and Trade:Scientific Assessment - Residues and Trade - Evaluations:Scientific Assessment - Residues and Trade - Evaluations - K-R:SA - R&amp;T - Evaluations - Metalaxyl-m:3.Residues - Metalaxyl M - Avocados - Carrots - Grapes - Peaches - Tree nuts except pecans - 64812 - 142739</value>
    </field>
    <field name="Objective-Parent">
      <value order="0">3.Residues - Metalaxyl M - Avocados - Carrots - Grapes - Peaches - Tree nuts except pecans - 64812 - 142739</value>
    </field>
    <field name="Objective-State">
      <value order="0">Being Edited</value>
    </field>
    <field name="Objective-VersionId">
      <value order="0">vA5122442</value>
    </field>
    <field name="Objective-Version">
      <value order="0">0.10</value>
    </field>
    <field name="Objective-VersionNumber">
      <value order="0">10</value>
    </field>
    <field name="Objective-VersionComment">
      <value order="0"/>
    </field>
    <field name="Objective-FileNumber">
      <value order="0">2024\0928</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2</TotalTime>
  <Pages>13</Pages>
  <Words>2662</Words>
  <Characters>14912</Characters>
  <Application>Microsoft Office Word</Application>
  <DocSecurity>0</DocSecurity>
  <Lines>310</Lines>
  <Paragraphs>237</Paragraphs>
  <ScaleCrop>false</ScaleCrop>
  <HeadingPairs>
    <vt:vector size="2" baseType="variant">
      <vt:variant>
        <vt:lpstr>Title</vt:lpstr>
      </vt:variant>
      <vt:variant>
        <vt:i4>1</vt:i4>
      </vt:variant>
    </vt:vector>
  </HeadingPairs>
  <TitlesOfParts>
    <vt:vector size="1" baseType="lpstr">
      <vt:lpstr>Trade Advice Notice</vt:lpstr>
    </vt:vector>
  </TitlesOfParts>
  <Manager/>
  <Company>Australian Pesticides and Veterinary Medicines Authority</Company>
  <LinksUpToDate>false</LinksUpToDate>
  <CharactersWithSpaces>17337</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metalaxyl-M in the product Ridomil Gold 480 SL Systemic Fungicide for use on peaches</dc:title>
  <dc:subject/>
  <dc:creator>APVMA</dc:creator>
  <cp:keywords/>
  <dc:description/>
  <cp:lastModifiedBy>WARDLE-KOTHARI, Jocelyn</cp:lastModifiedBy>
  <cp:revision>4</cp:revision>
  <cp:lastPrinted>2019-04-25T12:55:00Z</cp:lastPrinted>
  <dcterms:created xsi:type="dcterms:W3CDTF">2025-01-10T01:39:00Z</dcterms:created>
  <dcterms:modified xsi:type="dcterms:W3CDTF">2025-01-10T01:40:00Z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A3413431</vt:lpwstr>
  </property>
  <property fmtid="{D5CDD505-2E9C-101B-9397-08002B2CF9AE}" pid="4" name="Objective-Title">
    <vt:lpwstr>Metalaxyl-m_peaches_64812_142739_TAN</vt:lpwstr>
  </property>
  <property fmtid="{D5CDD505-2E9C-101B-9397-08002B2CF9AE}" pid="5" name="Objective-Comment">
    <vt:lpwstr/>
  </property>
  <property fmtid="{D5CDD505-2E9C-101B-9397-08002B2CF9AE}" pid="6" name="Objective-CreationStamp">
    <vt:filetime>2024-11-28T02:38:24Z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2024-12-06T03:25:45Z</vt:filetime>
  </property>
  <property fmtid="{D5CDD505-2E9C-101B-9397-08002B2CF9AE}" pid="11" name="Objective-Owner">
    <vt:lpwstr>Eric Cruz</vt:lpwstr>
  </property>
  <property fmtid="{D5CDD505-2E9C-101B-9397-08002B2CF9AE}" pid="12" name="Objective-Path">
    <vt:lpwstr>APVMA:SCIENTIFIC ASSESSMENT:Scientific Assessment - Residues and Trade:Scientific Assessment - Residues and Trade - Evaluations:Scientific Assessment - Residues and Trade - Evaluations - K-R:SA - R&amp;T - Evaluations - Metalaxyl-m:3.Residues - Metalaxyl M - Avocados - Carrots - Grapes - Peaches - Tree nuts except pecans - 64812 - 142739:</vt:lpwstr>
  </property>
  <property fmtid="{D5CDD505-2E9C-101B-9397-08002B2CF9AE}" pid="13" name="Objective-Parent">
    <vt:lpwstr>3.Residues - Metalaxyl M - Avocados - Carrots - Grapes - Peaches - Tree nuts except pecans - 64812 - 142739</vt:lpwstr>
  </property>
  <property fmtid="{D5CDD505-2E9C-101B-9397-08002B2CF9AE}" pid="14" name="Objective-State">
    <vt:lpwstr>Being Drafted</vt:lpwstr>
  </property>
  <property fmtid="{D5CDD505-2E9C-101B-9397-08002B2CF9AE}" pid="15" name="Objective-Version">
    <vt:lpwstr>0.10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vA5122442</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