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AF71C" w14:textId="77777777" w:rsidR="002F4591" w:rsidRDefault="002F4591" w:rsidP="002C1082">
      <w:pPr>
        <w:pStyle w:val="CoverTitle"/>
        <w:spacing w:before="1440"/>
        <w:jc w:val="center"/>
      </w:pPr>
      <w:bookmarkStart w:id="0" w:name="_Toc168724484"/>
      <w:r w:rsidRPr="005D1A47">
        <w:rPr>
          <w:noProof/>
        </w:rPr>
        <w:drawing>
          <wp:inline distT="0" distB="0" distL="0" distR="0" wp14:anchorId="404176CA" wp14:editId="72944B79">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0E8815CE" w:rsidR="00193533" w:rsidRPr="00193533" w:rsidRDefault="00544DC2" w:rsidP="002F4591">
      <w:pPr>
        <w:pStyle w:val="CoverTitle"/>
        <w:spacing w:before="2640"/>
        <w:jc w:val="center"/>
      </w:pPr>
      <w:r>
        <w:t>Renewing the APVMA’s engagement model</w:t>
      </w:r>
    </w:p>
    <w:p w14:paraId="0F125B7E" w14:textId="60D21403" w:rsidR="003C0891" w:rsidRDefault="00131738" w:rsidP="00193533">
      <w:pPr>
        <w:pStyle w:val="CoverSubtitle"/>
        <w:jc w:val="center"/>
      </w:pPr>
      <w:r>
        <w:t>Consultation</w:t>
      </w:r>
      <w:r w:rsidR="00E65D50">
        <w:t xml:space="preserve"> paper</w:t>
      </w:r>
    </w:p>
    <w:p w14:paraId="4E4C9BC9" w14:textId="01CFE2BE" w:rsidR="00E65D50" w:rsidRPr="00E41FED" w:rsidRDefault="00A16B1C" w:rsidP="008B550C">
      <w:pPr>
        <w:pStyle w:val="Coverdate"/>
        <w:sectPr w:rsidR="00E65D50" w:rsidRPr="00E41FED" w:rsidSect="008C5C0D">
          <w:pgSz w:w="11906" w:h="16838" w:code="9"/>
          <w:pgMar w:top="2127" w:right="1134" w:bottom="1134" w:left="1134" w:header="1701" w:footer="450" w:gutter="0"/>
          <w:pgNumType w:fmt="lowerRoman"/>
          <w:cols w:space="708"/>
          <w:docGrid w:linePitch="360"/>
        </w:sectPr>
      </w:pPr>
      <w:r>
        <w:t xml:space="preserve">December </w:t>
      </w:r>
      <w:r w:rsidR="00E65D50">
        <w:t>2024</w:t>
      </w:r>
    </w:p>
    <w:p w14:paraId="6C014289" w14:textId="48A620E5" w:rsidR="00862E63" w:rsidRPr="005C0ACC" w:rsidRDefault="00862E63" w:rsidP="008B550C">
      <w:pPr>
        <w:rPr>
          <w:lang w:eastAsia="en-AU"/>
        </w:rPr>
      </w:pPr>
      <w:r w:rsidRPr="005C0ACC">
        <w:rPr>
          <w:lang w:eastAsia="en-AU"/>
        </w:rPr>
        <w:lastRenderedPageBreak/>
        <w:t xml:space="preserve">© Australian Pesticides and Veterinary Medicines </w:t>
      </w:r>
      <w:r w:rsidRPr="00F3263B">
        <w:rPr>
          <w:color w:val="auto"/>
          <w:lang w:eastAsia="en-AU"/>
        </w:rPr>
        <w:t xml:space="preserve">Authority </w:t>
      </w:r>
      <w:r w:rsidR="00F3263B" w:rsidRPr="00F3263B">
        <w:rPr>
          <w:rFonts w:cs="Arial"/>
          <w:color w:val="auto"/>
          <w:szCs w:val="16"/>
          <w:lang w:eastAsia="en-AU"/>
        </w:rPr>
        <w:t>2024</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proofErr w:type="gramStart"/>
      <w:r w:rsidRPr="005C0ACC">
        <w:rPr>
          <w:lang w:eastAsia="en-AU"/>
        </w:rPr>
        <w:t>With the exception of</w:t>
      </w:r>
      <w:proofErr w:type="gramEnd"/>
      <w:r w:rsidRPr="005C0ACC">
        <w:rPr>
          <w:lang w:eastAsia="en-AU"/>
        </w:rPr>
        <w:t xml:space="preserve"> the Coat of Arms and other elements specifically identified, this publication is licensed under a Creative Commons Attribution </w:t>
      </w:r>
      <w:r>
        <w:rPr>
          <w:lang w:eastAsia="en-AU"/>
        </w:rPr>
        <w:t>4</w:t>
      </w:r>
      <w:r w:rsidRPr="005C0ACC">
        <w:rPr>
          <w:lang w:eastAsia="en-AU"/>
        </w:rPr>
        <w:t xml:space="preserve">.0 Licence. This is a standard form agreement that allows you to copy, distribute, transmit and adapt this publication </w:t>
      </w:r>
      <w:proofErr w:type="gramStart"/>
      <w:r w:rsidRPr="005C0ACC">
        <w:rPr>
          <w:lang w:eastAsia="en-AU"/>
        </w:rPr>
        <w:t>provided that</w:t>
      </w:r>
      <w:proofErr w:type="gramEnd"/>
      <w:r w:rsidRPr="005C0ACC">
        <w:rPr>
          <w:lang w:eastAsia="en-AU"/>
        </w:rPr>
        <w:t xml:space="preserve">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77777777" w:rsidR="008366A3" w:rsidRPr="005C0ACC" w:rsidRDefault="008366A3" w:rsidP="008B550C">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4"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r w:rsidRPr="005C0ACC">
        <w:rPr>
          <w:rFonts w:cs="Arial"/>
          <w:szCs w:val="16"/>
          <w:lang w:eastAsia="en-AU"/>
        </w:rPr>
        <w:t xml:space="preserve"> </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77777777"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r w:rsidRPr="005C0ACC">
        <w:rPr>
          <w:rFonts w:cs="Arial"/>
          <w:i/>
          <w:iCs/>
          <w:szCs w:val="16"/>
          <w:lang w:eastAsia="en-AU"/>
        </w:rPr>
        <w:t xml:space="preserve"> </w:t>
      </w:r>
    </w:p>
    <w:p w14:paraId="27832078" w14:textId="77777777" w:rsidR="008366A3" w:rsidRPr="005C0ACC" w:rsidRDefault="008366A3" w:rsidP="008B550C">
      <w:pPr>
        <w:rPr>
          <w:rFonts w:cs="Arial"/>
          <w:szCs w:val="16"/>
          <w:lang w:eastAsia="en-AU"/>
        </w:rPr>
      </w:pPr>
      <w:r w:rsidRPr="005C0ACC">
        <w:rPr>
          <w:rFonts w:cs="Arial"/>
          <w:szCs w:val="16"/>
          <w:lang w:eastAsia="en-AU"/>
        </w:rPr>
        <w:t>In referencing this document the Australian Pesticides and Veterinary Medicines Authority should be cited as the author, publisher and copyright owner.</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The material in or linking from this report may contain the views or recommendations of third parties. Third party material does not necessarily reflect the views of the APVMA, or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12D00D70" w:rsidR="00862E63" w:rsidRPr="005C0ACC" w:rsidRDefault="00D23D6A" w:rsidP="008B550C">
      <w:pPr>
        <w:rPr>
          <w:rFonts w:cs="Arial"/>
          <w:szCs w:val="16"/>
          <w:lang w:eastAsia="en-AU"/>
        </w:rPr>
      </w:pPr>
      <w:r>
        <w:rPr>
          <w:rFonts w:cs="Arial"/>
          <w:szCs w:val="16"/>
          <w:lang w:eastAsia="en-AU"/>
        </w:rPr>
        <w:t xml:space="preserve">Director, </w:t>
      </w:r>
      <w:r w:rsidR="007C46D8">
        <w:rPr>
          <w:rFonts w:cs="Arial"/>
          <w:szCs w:val="16"/>
          <w:lang w:eastAsia="en-AU"/>
        </w:rPr>
        <w:t xml:space="preserve">Engagement and </w:t>
      </w:r>
      <w:r>
        <w:rPr>
          <w:rFonts w:cs="Arial"/>
          <w:szCs w:val="16"/>
          <w:lang w:eastAsia="en-AU"/>
        </w:rPr>
        <w:t>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7C46D8" w:rsidRPr="007C46D8">
        <w:rPr>
          <w:rFonts w:cs="Arial"/>
          <w:szCs w:val="16"/>
          <w:lang w:val="en-GB" w:eastAsia="en-AU"/>
        </w:rPr>
        <w:t>GPO Box 574</w:t>
      </w:r>
      <w:r w:rsidR="007C46D8">
        <w:rPr>
          <w:rFonts w:cs="Arial"/>
          <w:szCs w:val="16"/>
          <w:lang w:val="en-GB" w:eastAsia="en-AU"/>
        </w:rPr>
        <w:br/>
      </w:r>
      <w:r w:rsidR="007C46D8" w:rsidRPr="007C46D8">
        <w:rPr>
          <w:rFonts w:cs="Arial"/>
          <w:szCs w:val="16"/>
          <w:lang w:val="en-GB" w:eastAsia="en-AU"/>
        </w:rPr>
        <w:t>Canberra ACT 2601</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77777777" w:rsidR="00862E63" w:rsidRPr="005C0ACC" w:rsidRDefault="00862E63" w:rsidP="008B550C">
      <w:pPr>
        <w:rPr>
          <w:rFonts w:cs="Arial"/>
          <w:color w:val="0000FF"/>
          <w:szCs w:val="16"/>
          <w:u w:val="single"/>
          <w:lang w:eastAsia="en-AU"/>
        </w:rPr>
      </w:pPr>
      <w:r w:rsidRPr="005C0ACC">
        <w:rPr>
          <w:rFonts w:cs="Arial"/>
          <w:szCs w:val="16"/>
          <w:lang w:eastAsia="en-AU"/>
        </w:rPr>
        <w:t xml:space="preserve">Email: </w:t>
      </w:r>
      <w:hyperlink r:id="rId15"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77777777" w:rsidR="002E20AC" w:rsidRPr="008B550C" w:rsidRDefault="00862E63" w:rsidP="008B550C">
      <w:pPr>
        <w:rPr>
          <w:szCs w:val="16"/>
        </w:rPr>
        <w:sectPr w:rsidR="002E20AC" w:rsidRPr="008B550C" w:rsidSect="008C5C0D">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6" w:history="1">
        <w:r w:rsidRPr="00D23D6A">
          <w:rPr>
            <w:rStyle w:val="Hyperlink"/>
            <w:szCs w:val="16"/>
            <w:lang w:eastAsia="en-AU"/>
          </w:rPr>
          <w:t>APVMA website</w:t>
        </w:r>
      </w:hyperlink>
      <w:r w:rsidRPr="005C0ACC">
        <w:rPr>
          <w:szCs w:val="16"/>
          <w:lang w:eastAsia="en-AU"/>
        </w:rPr>
        <w:t>.</w:t>
      </w:r>
      <w:bookmarkEnd w:id="0"/>
    </w:p>
    <w:p w14:paraId="0E9E7E2A" w14:textId="77777777" w:rsidR="00B05454" w:rsidRPr="002A3239" w:rsidRDefault="00B05454" w:rsidP="00B05454">
      <w:pPr>
        <w:pStyle w:val="TOCH1"/>
        <w:rPr>
          <w:rFonts w:ascii="Arial" w:hAnsi="Arial"/>
          <w:sz w:val="18"/>
        </w:rPr>
      </w:pPr>
      <w:r w:rsidRPr="00FB0015">
        <w:lastRenderedPageBreak/>
        <w:t>Contents</w:t>
      </w:r>
    </w:p>
    <w:p w14:paraId="67B0DBC6" w14:textId="4FA18742" w:rsidR="00311F69" w:rsidRDefault="00B05454">
      <w:pPr>
        <w:pStyle w:val="TOC1"/>
        <w:rPr>
          <w:rFonts w:asciiTheme="minorHAnsi" w:eastAsiaTheme="minorEastAsia" w:hAnsiTheme="minorHAnsi" w:cstheme="minorBidi"/>
          <w:bCs w:val="0"/>
          <w:color w:val="auto"/>
          <w:kern w:val="2"/>
          <w:sz w:val="24"/>
          <w:szCs w:val="24"/>
          <w:lang w:eastAsia="en-AU"/>
          <w14:ligatures w14:val="standardContextual"/>
        </w:rPr>
      </w:pPr>
      <w:r>
        <w:rPr>
          <w:bCs w:val="0"/>
          <w:color w:val="53284F"/>
        </w:rPr>
        <w:fldChar w:fldCharType="begin"/>
      </w:r>
      <w:r>
        <w:rPr>
          <w:bCs w:val="0"/>
        </w:rPr>
        <w:instrText xml:space="preserve"> TOC \o "1-3" \h \z \u </w:instrText>
      </w:r>
      <w:r>
        <w:rPr>
          <w:bCs w:val="0"/>
          <w:color w:val="53284F"/>
        </w:rPr>
        <w:fldChar w:fldCharType="separate"/>
      </w:r>
      <w:hyperlink w:anchor="_Toc184742444" w:history="1">
        <w:r w:rsidR="00311F69" w:rsidRPr="00BF11E5">
          <w:rPr>
            <w:rStyle w:val="Hyperlink"/>
          </w:rPr>
          <w:t>Introduction</w:t>
        </w:r>
        <w:r w:rsidR="00311F69">
          <w:rPr>
            <w:webHidden/>
          </w:rPr>
          <w:tab/>
        </w:r>
        <w:r w:rsidR="00311F69">
          <w:rPr>
            <w:webHidden/>
          </w:rPr>
          <w:fldChar w:fldCharType="begin"/>
        </w:r>
        <w:r w:rsidR="00311F69">
          <w:rPr>
            <w:webHidden/>
          </w:rPr>
          <w:instrText xml:space="preserve"> PAGEREF _Toc184742444 \h </w:instrText>
        </w:r>
        <w:r w:rsidR="00311F69">
          <w:rPr>
            <w:webHidden/>
          </w:rPr>
        </w:r>
        <w:r w:rsidR="00311F69">
          <w:rPr>
            <w:webHidden/>
          </w:rPr>
          <w:fldChar w:fldCharType="separate"/>
        </w:r>
        <w:r w:rsidR="00311F69">
          <w:rPr>
            <w:webHidden/>
          </w:rPr>
          <w:t>1</w:t>
        </w:r>
        <w:r w:rsidR="00311F69">
          <w:rPr>
            <w:webHidden/>
          </w:rPr>
          <w:fldChar w:fldCharType="end"/>
        </w:r>
      </w:hyperlink>
    </w:p>
    <w:p w14:paraId="06EC1B71" w14:textId="44A27A52" w:rsidR="00311F69" w:rsidRDefault="00311F69">
      <w:pPr>
        <w:pStyle w:val="TOC2"/>
        <w:rPr>
          <w:rFonts w:asciiTheme="minorHAnsi" w:eastAsiaTheme="minorEastAsia" w:hAnsiTheme="minorHAnsi" w:cstheme="minorBidi"/>
          <w:b w:val="0"/>
          <w:color w:val="auto"/>
          <w:kern w:val="2"/>
          <w:sz w:val="24"/>
          <w:lang w:eastAsia="en-AU"/>
          <w14:ligatures w14:val="standardContextual"/>
        </w:rPr>
      </w:pPr>
      <w:hyperlink w:anchor="_Toc184742445" w:history="1">
        <w:r w:rsidRPr="00BF11E5">
          <w:rPr>
            <w:rStyle w:val="Hyperlink"/>
          </w:rPr>
          <w:t>Timeframes</w:t>
        </w:r>
        <w:r>
          <w:rPr>
            <w:webHidden/>
          </w:rPr>
          <w:tab/>
        </w:r>
        <w:r>
          <w:rPr>
            <w:webHidden/>
          </w:rPr>
          <w:fldChar w:fldCharType="begin"/>
        </w:r>
        <w:r>
          <w:rPr>
            <w:webHidden/>
          </w:rPr>
          <w:instrText xml:space="preserve"> PAGEREF _Toc184742445 \h </w:instrText>
        </w:r>
        <w:r>
          <w:rPr>
            <w:webHidden/>
          </w:rPr>
        </w:r>
        <w:r>
          <w:rPr>
            <w:webHidden/>
          </w:rPr>
          <w:fldChar w:fldCharType="separate"/>
        </w:r>
        <w:r>
          <w:rPr>
            <w:webHidden/>
          </w:rPr>
          <w:t>2</w:t>
        </w:r>
        <w:r>
          <w:rPr>
            <w:webHidden/>
          </w:rPr>
          <w:fldChar w:fldCharType="end"/>
        </w:r>
      </w:hyperlink>
    </w:p>
    <w:p w14:paraId="2AE56FBB" w14:textId="6BBAA260" w:rsidR="00311F69" w:rsidRDefault="00311F69">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84742446" w:history="1">
        <w:r w:rsidRPr="00BF11E5">
          <w:rPr>
            <w:rStyle w:val="Hyperlink"/>
          </w:rPr>
          <w:t>Background</w:t>
        </w:r>
        <w:r>
          <w:rPr>
            <w:webHidden/>
          </w:rPr>
          <w:tab/>
        </w:r>
        <w:r>
          <w:rPr>
            <w:webHidden/>
          </w:rPr>
          <w:fldChar w:fldCharType="begin"/>
        </w:r>
        <w:r>
          <w:rPr>
            <w:webHidden/>
          </w:rPr>
          <w:instrText xml:space="preserve"> PAGEREF _Toc184742446 \h </w:instrText>
        </w:r>
        <w:r>
          <w:rPr>
            <w:webHidden/>
          </w:rPr>
        </w:r>
        <w:r>
          <w:rPr>
            <w:webHidden/>
          </w:rPr>
          <w:fldChar w:fldCharType="separate"/>
        </w:r>
        <w:r>
          <w:rPr>
            <w:webHidden/>
          </w:rPr>
          <w:t>3</w:t>
        </w:r>
        <w:r>
          <w:rPr>
            <w:webHidden/>
          </w:rPr>
          <w:fldChar w:fldCharType="end"/>
        </w:r>
      </w:hyperlink>
    </w:p>
    <w:p w14:paraId="3EFC1CD2" w14:textId="473F39CF" w:rsidR="00311F69" w:rsidRDefault="00311F69">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84742447" w:history="1">
        <w:r w:rsidRPr="00BF11E5">
          <w:rPr>
            <w:rStyle w:val="Hyperlink"/>
          </w:rPr>
          <w:t>Structure and governance</w:t>
        </w:r>
        <w:r>
          <w:rPr>
            <w:webHidden/>
          </w:rPr>
          <w:tab/>
        </w:r>
        <w:r>
          <w:rPr>
            <w:webHidden/>
          </w:rPr>
          <w:fldChar w:fldCharType="begin"/>
        </w:r>
        <w:r>
          <w:rPr>
            <w:webHidden/>
          </w:rPr>
          <w:instrText xml:space="preserve"> PAGEREF _Toc184742447 \h </w:instrText>
        </w:r>
        <w:r>
          <w:rPr>
            <w:webHidden/>
          </w:rPr>
        </w:r>
        <w:r>
          <w:rPr>
            <w:webHidden/>
          </w:rPr>
          <w:fldChar w:fldCharType="separate"/>
        </w:r>
        <w:r>
          <w:rPr>
            <w:webHidden/>
          </w:rPr>
          <w:t>4</w:t>
        </w:r>
        <w:r>
          <w:rPr>
            <w:webHidden/>
          </w:rPr>
          <w:fldChar w:fldCharType="end"/>
        </w:r>
      </w:hyperlink>
    </w:p>
    <w:p w14:paraId="68EA6D7E" w14:textId="67959BA3" w:rsidR="00311F69" w:rsidRDefault="00311F69">
      <w:pPr>
        <w:pStyle w:val="TOC2"/>
        <w:rPr>
          <w:rFonts w:asciiTheme="minorHAnsi" w:eastAsiaTheme="minorEastAsia" w:hAnsiTheme="minorHAnsi" w:cstheme="minorBidi"/>
          <w:b w:val="0"/>
          <w:color w:val="auto"/>
          <w:kern w:val="2"/>
          <w:sz w:val="24"/>
          <w:lang w:eastAsia="en-AU"/>
          <w14:ligatures w14:val="standardContextual"/>
        </w:rPr>
      </w:pPr>
      <w:hyperlink w:anchor="_Toc184742448" w:history="1">
        <w:r w:rsidRPr="00BF11E5">
          <w:rPr>
            <w:rStyle w:val="Hyperlink"/>
          </w:rPr>
          <w:t>Summary of proposed structure</w:t>
        </w:r>
        <w:r>
          <w:rPr>
            <w:webHidden/>
          </w:rPr>
          <w:tab/>
        </w:r>
        <w:r>
          <w:rPr>
            <w:webHidden/>
          </w:rPr>
          <w:fldChar w:fldCharType="begin"/>
        </w:r>
        <w:r>
          <w:rPr>
            <w:webHidden/>
          </w:rPr>
          <w:instrText xml:space="preserve"> PAGEREF _Toc184742448 \h </w:instrText>
        </w:r>
        <w:r>
          <w:rPr>
            <w:webHidden/>
          </w:rPr>
        </w:r>
        <w:r>
          <w:rPr>
            <w:webHidden/>
          </w:rPr>
          <w:fldChar w:fldCharType="separate"/>
        </w:r>
        <w:r>
          <w:rPr>
            <w:webHidden/>
          </w:rPr>
          <w:t>5</w:t>
        </w:r>
        <w:r>
          <w:rPr>
            <w:webHidden/>
          </w:rPr>
          <w:fldChar w:fldCharType="end"/>
        </w:r>
      </w:hyperlink>
    </w:p>
    <w:p w14:paraId="04776660" w14:textId="62F22399" w:rsidR="00311F69" w:rsidRDefault="00311F69">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84742449" w:history="1">
        <w:r w:rsidRPr="00BF11E5">
          <w:rPr>
            <w:rStyle w:val="Hyperlink"/>
          </w:rPr>
          <w:t>Engagement groups</w:t>
        </w:r>
        <w:r>
          <w:rPr>
            <w:webHidden/>
          </w:rPr>
          <w:tab/>
        </w:r>
        <w:r>
          <w:rPr>
            <w:webHidden/>
          </w:rPr>
          <w:fldChar w:fldCharType="begin"/>
        </w:r>
        <w:r>
          <w:rPr>
            <w:webHidden/>
          </w:rPr>
          <w:instrText xml:space="preserve"> PAGEREF _Toc184742449 \h </w:instrText>
        </w:r>
        <w:r>
          <w:rPr>
            <w:webHidden/>
          </w:rPr>
        </w:r>
        <w:r>
          <w:rPr>
            <w:webHidden/>
          </w:rPr>
          <w:fldChar w:fldCharType="separate"/>
        </w:r>
        <w:r>
          <w:rPr>
            <w:webHidden/>
          </w:rPr>
          <w:t>6</w:t>
        </w:r>
        <w:r>
          <w:rPr>
            <w:webHidden/>
          </w:rPr>
          <w:fldChar w:fldCharType="end"/>
        </w:r>
      </w:hyperlink>
    </w:p>
    <w:p w14:paraId="739F1E0E" w14:textId="4E1B0E22" w:rsidR="00311F69" w:rsidRDefault="00311F69">
      <w:pPr>
        <w:pStyle w:val="TOC2"/>
        <w:rPr>
          <w:rFonts w:asciiTheme="minorHAnsi" w:eastAsiaTheme="minorEastAsia" w:hAnsiTheme="minorHAnsi" w:cstheme="minorBidi"/>
          <w:b w:val="0"/>
          <w:color w:val="auto"/>
          <w:kern w:val="2"/>
          <w:sz w:val="24"/>
          <w:lang w:eastAsia="en-AU"/>
          <w14:ligatures w14:val="standardContextual"/>
        </w:rPr>
      </w:pPr>
      <w:hyperlink w:anchor="_Toc184742450" w:history="1">
        <w:r w:rsidRPr="00BF11E5">
          <w:rPr>
            <w:rStyle w:val="Hyperlink"/>
          </w:rPr>
          <w:t>Not for comment</w:t>
        </w:r>
        <w:r>
          <w:rPr>
            <w:webHidden/>
          </w:rPr>
          <w:tab/>
        </w:r>
        <w:r>
          <w:rPr>
            <w:webHidden/>
          </w:rPr>
          <w:fldChar w:fldCharType="begin"/>
        </w:r>
        <w:r>
          <w:rPr>
            <w:webHidden/>
          </w:rPr>
          <w:instrText xml:space="preserve"> PAGEREF _Toc184742450 \h </w:instrText>
        </w:r>
        <w:r>
          <w:rPr>
            <w:webHidden/>
          </w:rPr>
        </w:r>
        <w:r>
          <w:rPr>
            <w:webHidden/>
          </w:rPr>
          <w:fldChar w:fldCharType="separate"/>
        </w:r>
        <w:r>
          <w:rPr>
            <w:webHidden/>
          </w:rPr>
          <w:t>6</w:t>
        </w:r>
        <w:r>
          <w:rPr>
            <w:webHidden/>
          </w:rPr>
          <w:fldChar w:fldCharType="end"/>
        </w:r>
      </w:hyperlink>
    </w:p>
    <w:p w14:paraId="3A50ED3B" w14:textId="0BCA869C" w:rsidR="00311F69" w:rsidRDefault="00311F69">
      <w:pPr>
        <w:pStyle w:val="TOC2"/>
        <w:rPr>
          <w:rFonts w:asciiTheme="minorHAnsi" w:eastAsiaTheme="minorEastAsia" w:hAnsiTheme="minorHAnsi" w:cstheme="minorBidi"/>
          <w:b w:val="0"/>
          <w:color w:val="auto"/>
          <w:kern w:val="2"/>
          <w:sz w:val="24"/>
          <w:lang w:eastAsia="en-AU"/>
          <w14:ligatures w14:val="standardContextual"/>
        </w:rPr>
      </w:pPr>
      <w:hyperlink w:anchor="_Toc184742451" w:history="1">
        <w:r w:rsidRPr="00BF11E5">
          <w:rPr>
            <w:rStyle w:val="Hyperlink"/>
          </w:rPr>
          <w:t>For comment</w:t>
        </w:r>
        <w:r>
          <w:rPr>
            <w:webHidden/>
          </w:rPr>
          <w:tab/>
        </w:r>
        <w:r>
          <w:rPr>
            <w:webHidden/>
          </w:rPr>
          <w:fldChar w:fldCharType="begin"/>
        </w:r>
        <w:r>
          <w:rPr>
            <w:webHidden/>
          </w:rPr>
          <w:instrText xml:space="preserve"> PAGEREF _Toc184742451 \h </w:instrText>
        </w:r>
        <w:r>
          <w:rPr>
            <w:webHidden/>
          </w:rPr>
        </w:r>
        <w:r>
          <w:rPr>
            <w:webHidden/>
          </w:rPr>
          <w:fldChar w:fldCharType="separate"/>
        </w:r>
        <w:r>
          <w:rPr>
            <w:webHidden/>
          </w:rPr>
          <w:t>7</w:t>
        </w:r>
        <w:r>
          <w:rPr>
            <w:webHidden/>
          </w:rPr>
          <w:fldChar w:fldCharType="end"/>
        </w:r>
      </w:hyperlink>
    </w:p>
    <w:p w14:paraId="4DA9CADF" w14:textId="5AB1E46B" w:rsidR="00311F69" w:rsidRDefault="00311F69">
      <w:pPr>
        <w:pStyle w:val="TOC3"/>
        <w:rPr>
          <w:rFonts w:asciiTheme="minorHAnsi" w:eastAsiaTheme="minorEastAsia" w:hAnsiTheme="minorHAnsi" w:cstheme="minorBidi"/>
          <w:color w:val="auto"/>
          <w:kern w:val="2"/>
          <w:sz w:val="24"/>
          <w:lang w:eastAsia="en-AU"/>
          <w14:ligatures w14:val="standardContextual"/>
        </w:rPr>
      </w:pPr>
      <w:hyperlink w:anchor="_Toc184742452" w:history="1">
        <w:r w:rsidRPr="00BF11E5">
          <w:rPr>
            <w:rStyle w:val="Hyperlink"/>
          </w:rPr>
          <w:t>APVMA Advisory Group</w:t>
        </w:r>
        <w:r>
          <w:rPr>
            <w:webHidden/>
          </w:rPr>
          <w:tab/>
        </w:r>
        <w:r>
          <w:rPr>
            <w:webHidden/>
          </w:rPr>
          <w:fldChar w:fldCharType="begin"/>
        </w:r>
        <w:r>
          <w:rPr>
            <w:webHidden/>
          </w:rPr>
          <w:instrText xml:space="preserve"> PAGEREF _Toc184742452 \h </w:instrText>
        </w:r>
        <w:r>
          <w:rPr>
            <w:webHidden/>
          </w:rPr>
        </w:r>
        <w:r>
          <w:rPr>
            <w:webHidden/>
          </w:rPr>
          <w:fldChar w:fldCharType="separate"/>
        </w:r>
        <w:r>
          <w:rPr>
            <w:webHidden/>
          </w:rPr>
          <w:t>8</w:t>
        </w:r>
        <w:r>
          <w:rPr>
            <w:webHidden/>
          </w:rPr>
          <w:fldChar w:fldCharType="end"/>
        </w:r>
      </w:hyperlink>
    </w:p>
    <w:p w14:paraId="05D8B012" w14:textId="38368AD7" w:rsidR="00311F69" w:rsidRDefault="00311F69">
      <w:pPr>
        <w:pStyle w:val="TOC3"/>
        <w:rPr>
          <w:rFonts w:asciiTheme="minorHAnsi" w:eastAsiaTheme="minorEastAsia" w:hAnsiTheme="minorHAnsi" w:cstheme="minorBidi"/>
          <w:color w:val="auto"/>
          <w:kern w:val="2"/>
          <w:sz w:val="24"/>
          <w:lang w:eastAsia="en-AU"/>
          <w14:ligatures w14:val="standardContextual"/>
        </w:rPr>
      </w:pPr>
      <w:hyperlink w:anchor="_Toc184742453" w:history="1">
        <w:r w:rsidRPr="00BF11E5">
          <w:rPr>
            <w:rStyle w:val="Hyperlink"/>
            <w:rFonts w:eastAsiaTheme="minorHAnsi"/>
          </w:rPr>
          <w:t>Registrants’ Working Groups</w:t>
        </w:r>
        <w:r>
          <w:rPr>
            <w:webHidden/>
          </w:rPr>
          <w:tab/>
        </w:r>
        <w:r>
          <w:rPr>
            <w:webHidden/>
          </w:rPr>
          <w:fldChar w:fldCharType="begin"/>
        </w:r>
        <w:r>
          <w:rPr>
            <w:webHidden/>
          </w:rPr>
          <w:instrText xml:space="preserve"> PAGEREF _Toc184742453 \h </w:instrText>
        </w:r>
        <w:r>
          <w:rPr>
            <w:webHidden/>
          </w:rPr>
        </w:r>
        <w:r>
          <w:rPr>
            <w:webHidden/>
          </w:rPr>
          <w:fldChar w:fldCharType="separate"/>
        </w:r>
        <w:r>
          <w:rPr>
            <w:webHidden/>
          </w:rPr>
          <w:t>8</w:t>
        </w:r>
        <w:r>
          <w:rPr>
            <w:webHidden/>
          </w:rPr>
          <w:fldChar w:fldCharType="end"/>
        </w:r>
      </w:hyperlink>
    </w:p>
    <w:p w14:paraId="64E75AF5" w14:textId="31E1A197" w:rsidR="00311F69" w:rsidRDefault="00311F69">
      <w:pPr>
        <w:pStyle w:val="TOC3"/>
        <w:rPr>
          <w:rFonts w:asciiTheme="minorHAnsi" w:eastAsiaTheme="minorEastAsia" w:hAnsiTheme="minorHAnsi" w:cstheme="minorBidi"/>
          <w:color w:val="auto"/>
          <w:kern w:val="2"/>
          <w:sz w:val="24"/>
          <w:lang w:eastAsia="en-AU"/>
          <w14:ligatures w14:val="standardContextual"/>
        </w:rPr>
      </w:pPr>
      <w:hyperlink w:anchor="_Toc184742454" w:history="1">
        <w:r w:rsidRPr="00BF11E5">
          <w:rPr>
            <w:rStyle w:val="Hyperlink"/>
          </w:rPr>
          <w:t>Registrants’ information update</w:t>
        </w:r>
        <w:r>
          <w:rPr>
            <w:webHidden/>
          </w:rPr>
          <w:tab/>
        </w:r>
        <w:r>
          <w:rPr>
            <w:webHidden/>
          </w:rPr>
          <w:fldChar w:fldCharType="begin"/>
        </w:r>
        <w:r>
          <w:rPr>
            <w:webHidden/>
          </w:rPr>
          <w:instrText xml:space="preserve"> PAGEREF _Toc184742454 \h </w:instrText>
        </w:r>
        <w:r>
          <w:rPr>
            <w:webHidden/>
          </w:rPr>
        </w:r>
        <w:r>
          <w:rPr>
            <w:webHidden/>
          </w:rPr>
          <w:fldChar w:fldCharType="separate"/>
        </w:r>
        <w:r>
          <w:rPr>
            <w:webHidden/>
          </w:rPr>
          <w:t>8</w:t>
        </w:r>
        <w:r>
          <w:rPr>
            <w:webHidden/>
          </w:rPr>
          <w:fldChar w:fldCharType="end"/>
        </w:r>
      </w:hyperlink>
    </w:p>
    <w:p w14:paraId="1A996098" w14:textId="66B7B51A" w:rsidR="00311F69" w:rsidRDefault="00311F69">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84742455" w:history="1">
        <w:r w:rsidRPr="00BF11E5">
          <w:rPr>
            <w:rStyle w:val="Hyperlink"/>
          </w:rPr>
          <w:t>New membership selection criteria</w:t>
        </w:r>
        <w:r>
          <w:rPr>
            <w:webHidden/>
          </w:rPr>
          <w:tab/>
        </w:r>
        <w:r>
          <w:rPr>
            <w:webHidden/>
          </w:rPr>
          <w:fldChar w:fldCharType="begin"/>
        </w:r>
        <w:r>
          <w:rPr>
            <w:webHidden/>
          </w:rPr>
          <w:instrText xml:space="preserve"> PAGEREF _Toc184742455 \h </w:instrText>
        </w:r>
        <w:r>
          <w:rPr>
            <w:webHidden/>
          </w:rPr>
        </w:r>
        <w:r>
          <w:rPr>
            <w:webHidden/>
          </w:rPr>
          <w:fldChar w:fldCharType="separate"/>
        </w:r>
        <w:r>
          <w:rPr>
            <w:webHidden/>
          </w:rPr>
          <w:t>9</w:t>
        </w:r>
        <w:r>
          <w:rPr>
            <w:webHidden/>
          </w:rPr>
          <w:fldChar w:fldCharType="end"/>
        </w:r>
      </w:hyperlink>
    </w:p>
    <w:p w14:paraId="091B56CD" w14:textId="084C5F80" w:rsidR="00311F69" w:rsidRDefault="00311F69">
      <w:pPr>
        <w:pStyle w:val="TOC2"/>
        <w:rPr>
          <w:rFonts w:asciiTheme="minorHAnsi" w:eastAsiaTheme="minorEastAsia" w:hAnsiTheme="minorHAnsi" w:cstheme="minorBidi"/>
          <w:b w:val="0"/>
          <w:color w:val="auto"/>
          <w:kern w:val="2"/>
          <w:sz w:val="24"/>
          <w:lang w:eastAsia="en-AU"/>
          <w14:ligatures w14:val="standardContextual"/>
        </w:rPr>
      </w:pPr>
      <w:hyperlink w:anchor="_Toc184742456" w:history="1">
        <w:r w:rsidRPr="00BF11E5">
          <w:rPr>
            <w:rStyle w:val="Hyperlink"/>
          </w:rPr>
          <w:t>Expressions of interest and membership criteria</w:t>
        </w:r>
        <w:r>
          <w:rPr>
            <w:webHidden/>
          </w:rPr>
          <w:tab/>
        </w:r>
        <w:r>
          <w:rPr>
            <w:webHidden/>
          </w:rPr>
          <w:fldChar w:fldCharType="begin"/>
        </w:r>
        <w:r>
          <w:rPr>
            <w:webHidden/>
          </w:rPr>
          <w:instrText xml:space="preserve"> PAGEREF _Toc184742456 \h </w:instrText>
        </w:r>
        <w:r>
          <w:rPr>
            <w:webHidden/>
          </w:rPr>
        </w:r>
        <w:r>
          <w:rPr>
            <w:webHidden/>
          </w:rPr>
          <w:fldChar w:fldCharType="separate"/>
        </w:r>
        <w:r>
          <w:rPr>
            <w:webHidden/>
          </w:rPr>
          <w:t>9</w:t>
        </w:r>
        <w:r>
          <w:rPr>
            <w:webHidden/>
          </w:rPr>
          <w:fldChar w:fldCharType="end"/>
        </w:r>
      </w:hyperlink>
    </w:p>
    <w:p w14:paraId="78DDB70F" w14:textId="0ED4BFC1" w:rsidR="00311F69" w:rsidRDefault="00311F69">
      <w:pPr>
        <w:pStyle w:val="TOC2"/>
        <w:rPr>
          <w:rFonts w:asciiTheme="minorHAnsi" w:eastAsiaTheme="minorEastAsia" w:hAnsiTheme="minorHAnsi" w:cstheme="minorBidi"/>
          <w:b w:val="0"/>
          <w:color w:val="auto"/>
          <w:kern w:val="2"/>
          <w:sz w:val="24"/>
          <w:lang w:eastAsia="en-AU"/>
          <w14:ligatures w14:val="standardContextual"/>
        </w:rPr>
      </w:pPr>
      <w:hyperlink w:anchor="_Toc184742457" w:history="1">
        <w:r w:rsidRPr="00BF11E5">
          <w:rPr>
            <w:rStyle w:val="Hyperlink"/>
          </w:rPr>
          <w:t>Application process</w:t>
        </w:r>
        <w:r>
          <w:rPr>
            <w:webHidden/>
          </w:rPr>
          <w:tab/>
        </w:r>
        <w:r>
          <w:rPr>
            <w:webHidden/>
          </w:rPr>
          <w:fldChar w:fldCharType="begin"/>
        </w:r>
        <w:r>
          <w:rPr>
            <w:webHidden/>
          </w:rPr>
          <w:instrText xml:space="preserve"> PAGEREF _Toc184742457 \h </w:instrText>
        </w:r>
        <w:r>
          <w:rPr>
            <w:webHidden/>
          </w:rPr>
        </w:r>
        <w:r>
          <w:rPr>
            <w:webHidden/>
          </w:rPr>
          <w:fldChar w:fldCharType="separate"/>
        </w:r>
        <w:r>
          <w:rPr>
            <w:webHidden/>
          </w:rPr>
          <w:t>9</w:t>
        </w:r>
        <w:r>
          <w:rPr>
            <w:webHidden/>
          </w:rPr>
          <w:fldChar w:fldCharType="end"/>
        </w:r>
      </w:hyperlink>
    </w:p>
    <w:p w14:paraId="642BE59F" w14:textId="6CC4AA51" w:rsidR="002A3239" w:rsidRDefault="00B05454" w:rsidP="00300EF8">
      <w:pPr>
        <w:pStyle w:val="TOCH1"/>
        <w:spacing w:before="500"/>
        <w:rPr>
          <w:noProof/>
        </w:rPr>
        <w:sectPr w:rsidR="002A3239">
          <w:headerReference w:type="even" r:id="rId17"/>
          <w:headerReference w:type="default" r:id="rId18"/>
          <w:footerReference w:type="default" r:id="rId19"/>
          <w:pgSz w:w="11906" w:h="16838" w:code="9"/>
          <w:pgMar w:top="2835" w:right="1134" w:bottom="1134" w:left="1134" w:header="1701" w:footer="680" w:gutter="0"/>
          <w:pgNumType w:fmt="lowerRoman"/>
          <w:cols w:space="708"/>
          <w:docGrid w:linePitch="360"/>
        </w:sectPr>
      </w:pPr>
      <w:r>
        <w:rPr>
          <w:rFonts w:ascii="Trebuchet MS" w:hAnsi="Trebuchet MS"/>
          <w:b/>
          <w:caps/>
          <w:noProof/>
          <w:color w:val="00747A" w:themeColor="background2"/>
          <w:szCs w:val="30"/>
        </w:rPr>
        <w:fldChar w:fldCharType="end"/>
      </w:r>
    </w:p>
    <w:p w14:paraId="03150232" w14:textId="4FE0BBB4" w:rsidR="002E20AC" w:rsidRDefault="00FC1D93" w:rsidP="00442DC8">
      <w:pPr>
        <w:pStyle w:val="Heading1"/>
      </w:pPr>
      <w:bookmarkStart w:id="1" w:name="_Toc184742444"/>
      <w:bookmarkStart w:id="2" w:name="_Hlk184742290"/>
      <w:r w:rsidRPr="00442DC8">
        <w:lastRenderedPageBreak/>
        <w:t>Introduction</w:t>
      </w:r>
      <w:bookmarkEnd w:id="1"/>
    </w:p>
    <w:bookmarkEnd w:id="2"/>
    <w:p w14:paraId="2F2EB602" w14:textId="28EA279A" w:rsidR="00544DC2" w:rsidRDefault="00544DC2" w:rsidP="00442DC8">
      <w:pPr>
        <w:pStyle w:val="APVMAnormal"/>
      </w:pPr>
      <w:r>
        <w:t xml:space="preserve">The </w:t>
      </w:r>
      <w:r w:rsidR="007A3101" w:rsidRPr="007A3101">
        <w:t xml:space="preserve">Australian Pesticides and Veterinary Medicines Authority </w:t>
      </w:r>
      <w:r w:rsidR="007A3101">
        <w:t>(</w:t>
      </w:r>
      <w:r>
        <w:t>APVMA</w:t>
      </w:r>
      <w:r w:rsidR="007A3101">
        <w:t>)</w:t>
      </w:r>
      <w:r>
        <w:t xml:space="preserve"> hosts formal discussions, forums and working groups across the agvet chemical industry.</w:t>
      </w:r>
    </w:p>
    <w:p w14:paraId="45C5A6B2" w14:textId="54D8A979" w:rsidR="00544DC2" w:rsidRDefault="00131738" w:rsidP="00442DC8">
      <w:pPr>
        <w:pStyle w:val="APVMAnormal"/>
      </w:pPr>
      <w:r>
        <w:t>Our stakeholders can be categorised as:</w:t>
      </w:r>
    </w:p>
    <w:p w14:paraId="3B2B25C7" w14:textId="7746D6B3" w:rsidR="00131738" w:rsidRDefault="00131738" w:rsidP="007C46D8">
      <w:pPr>
        <w:pStyle w:val="Bullet1"/>
      </w:pPr>
      <w:r>
        <w:t>Regulated entities – those who pay fees to the APVMA for registrations, permits, licences etc. This includes those who may be developing new agvet chemicals or products.</w:t>
      </w:r>
    </w:p>
    <w:p w14:paraId="6FB20EAF" w14:textId="528F9C0C" w:rsidR="00131738" w:rsidRDefault="00131738" w:rsidP="007C46D8">
      <w:pPr>
        <w:pStyle w:val="Bullet1"/>
      </w:pPr>
      <w:r>
        <w:t>Users/consumers</w:t>
      </w:r>
      <w:r w:rsidR="007A1CB6">
        <w:t>/community</w:t>
      </w:r>
      <w:r>
        <w:t xml:space="preserve"> – those who use the chemicals we regulate or have an interest in the impacts of agvet chemicals.</w:t>
      </w:r>
    </w:p>
    <w:p w14:paraId="506D06A1" w14:textId="4802A180" w:rsidR="00131738" w:rsidRDefault="00131738" w:rsidP="007C46D8">
      <w:pPr>
        <w:pStyle w:val="Bullet1"/>
      </w:pPr>
      <w:r>
        <w:t>Government – federal government and state and territory governments that have responsibility for or an interest in agvet chemical policy or our co-regulators.</w:t>
      </w:r>
    </w:p>
    <w:p w14:paraId="0A2B0B95" w14:textId="16F177B0" w:rsidR="00544DC2" w:rsidRDefault="00544DC2" w:rsidP="00442DC8">
      <w:pPr>
        <w:pStyle w:val="APVMAnormal"/>
      </w:pPr>
      <w:r>
        <w:t xml:space="preserve">The APVMA has reviewed its engagement practices based on recommendations in independent reviews of the APVMA, the findings of its 2024 stakeholder and public survey, and a review of engagement practices used by the APVMA and comparable organisations. This review </w:t>
      </w:r>
      <w:r w:rsidR="00030322">
        <w:t>reported</w:t>
      </w:r>
      <w:r>
        <w:t xml:space="preserve"> that many stakeholders f</w:t>
      </w:r>
      <w:r w:rsidR="00030322">
        <w:t>oun</w:t>
      </w:r>
      <w:r>
        <w:t xml:space="preserve">d APVMA’s engagement </w:t>
      </w:r>
      <w:r w:rsidR="00030322">
        <w:t xml:space="preserve">approach </w:t>
      </w:r>
      <w:r>
        <w:t xml:space="preserve">to be </w:t>
      </w:r>
      <w:r w:rsidRPr="00544DC2">
        <w:t xml:space="preserve">at times inconsistent, fragmented, uncoordinated, and one-way in </w:t>
      </w:r>
      <w:r w:rsidR="004B7B42">
        <w:t>its</w:t>
      </w:r>
      <w:r w:rsidRPr="00544DC2">
        <w:t xml:space="preserve"> communication.</w:t>
      </w:r>
    </w:p>
    <w:p w14:paraId="35EECD85" w14:textId="724B790E" w:rsidR="00544DC2" w:rsidRDefault="00544DC2" w:rsidP="00442DC8">
      <w:pPr>
        <w:pStyle w:val="APVMAnormal"/>
      </w:pPr>
      <w:r>
        <w:t>The review also identified gaps in the stakeholder groups the APVMA engages with</w:t>
      </w:r>
      <w:r w:rsidR="00442DC8">
        <w:t>,</w:t>
      </w:r>
      <w:r>
        <w:t xml:space="preserve"> and mechanisms used to engage.</w:t>
      </w:r>
    </w:p>
    <w:p w14:paraId="729FBEE0" w14:textId="4446C892" w:rsidR="00544DC2" w:rsidRDefault="00544DC2" w:rsidP="00442DC8">
      <w:pPr>
        <w:pStyle w:val="APVMAnormal"/>
      </w:pPr>
      <w:r>
        <w:t>The APVMA now seeks your feedback on the following alternative as we aim to deliver a more collaborative, transparent and dynamic experience for our stakeholders as they engage with us. Our new model should also deliver a more streamlined consultation and engagement process, enabling broader participation from various sectors and interest groups.</w:t>
      </w:r>
    </w:p>
    <w:p w14:paraId="10AE73B4" w14:textId="39FDFC9D" w:rsidR="00CF1566" w:rsidRDefault="00E8604C" w:rsidP="007C46D8">
      <w:pPr>
        <w:pStyle w:val="APVMAnormal"/>
      </w:pPr>
      <w:r>
        <w:t>The</w:t>
      </w:r>
      <w:r w:rsidR="00CF1566" w:rsidRPr="00CF1566">
        <w:t xml:space="preserve"> new model is intended to deliver a material shift in both:</w:t>
      </w:r>
    </w:p>
    <w:p w14:paraId="0C2FE6A3" w14:textId="6A895D7B" w:rsidR="00CF1566" w:rsidRDefault="00CF1566" w:rsidP="00CF1566">
      <w:pPr>
        <w:pStyle w:val="Bullet1"/>
      </w:pPr>
      <w:r w:rsidRPr="00CF1566">
        <w:t xml:space="preserve">The level of transparency </w:t>
      </w:r>
      <w:r>
        <w:t>regulated industry</w:t>
      </w:r>
      <w:r w:rsidRPr="00CF1566">
        <w:t xml:space="preserve">, consumers, and other stakeholders </w:t>
      </w:r>
      <w:r>
        <w:t>can access</w:t>
      </w:r>
      <w:r w:rsidRPr="00CF1566">
        <w:t xml:space="preserve"> regarding </w:t>
      </w:r>
      <w:r>
        <w:t>the APVMA</w:t>
      </w:r>
      <w:r w:rsidRPr="00CF1566">
        <w:t>’s understanding of current and emerging challenges</w:t>
      </w:r>
      <w:r w:rsidR="00442DC8">
        <w:t>.</w:t>
      </w:r>
    </w:p>
    <w:p w14:paraId="43930023" w14:textId="0F996E7A" w:rsidR="00544DC2" w:rsidRDefault="00CF1566" w:rsidP="00CF1566">
      <w:pPr>
        <w:pStyle w:val="Bullet1"/>
      </w:pPr>
      <w:r w:rsidRPr="00CF1566">
        <w:t>A more two-way, collaborative experience for stakeholders, in both defining problems and identifying solutions.</w:t>
      </w:r>
    </w:p>
    <w:p w14:paraId="184E90D7" w14:textId="5FD0D951" w:rsidR="002B79AF" w:rsidRDefault="00CF1566" w:rsidP="00442DC8">
      <w:pPr>
        <w:pStyle w:val="APVMAnormal"/>
      </w:pPr>
      <w:r w:rsidRPr="00CF1566">
        <w:t>To help</w:t>
      </w:r>
      <w:r>
        <w:t xml:space="preserve"> the APVMA</w:t>
      </w:r>
      <w:r w:rsidRPr="00CF1566">
        <w:t xml:space="preserve"> settle its new model, we are inviting stakeholder submissions on </w:t>
      </w:r>
      <w:r w:rsidR="007A1CB6">
        <w:t>an</w:t>
      </w:r>
      <w:r w:rsidRPr="00CF1566">
        <w:t xml:space="preserve"> alternative approach. The following sections of this document set out the main features of </w:t>
      </w:r>
      <w:r w:rsidR="007A1CB6">
        <w:t>the proposed new model</w:t>
      </w:r>
      <w:r w:rsidRPr="00CF1566">
        <w:t>.</w:t>
      </w:r>
    </w:p>
    <w:p w14:paraId="29344C3F" w14:textId="714011D3" w:rsidR="00442DC8" w:rsidRDefault="002B79AF" w:rsidP="007A3101">
      <w:pPr>
        <w:pStyle w:val="APVMAnormal"/>
      </w:pPr>
      <w:r w:rsidRPr="002B79AF">
        <w:t>This proposal is part of A</w:t>
      </w:r>
      <w:r w:rsidR="003D41F7">
        <w:t>PVMA</w:t>
      </w:r>
      <w:r w:rsidRPr="002B79AF">
        <w:t xml:space="preserve">’s commitment to be more accessible, proactive, and inclusive in our stakeholder engagement. We look forward to working with you to develop a more effective model of engagement as we work together in the long-term interest of </w:t>
      </w:r>
      <w:r w:rsidR="003D41F7">
        <w:t>the agvet chemical industry and the Australian community</w:t>
      </w:r>
      <w:r w:rsidRPr="002B79AF">
        <w:t>.</w:t>
      </w:r>
      <w:r w:rsidR="00442DC8">
        <w:br w:type="page"/>
      </w:r>
    </w:p>
    <w:p w14:paraId="6BB11C02" w14:textId="0F95DCFA" w:rsidR="00442DC8" w:rsidRDefault="00442DC8" w:rsidP="00442DC8">
      <w:pPr>
        <w:pStyle w:val="Heading2"/>
      </w:pPr>
      <w:bookmarkStart w:id="3" w:name="_Toc184742445"/>
      <w:r>
        <w:lastRenderedPageBreak/>
        <w:t>Timeframes</w:t>
      </w:r>
      <w:bookmarkEnd w:id="3"/>
    </w:p>
    <w:p w14:paraId="0CE6B224" w14:textId="5D096395" w:rsidR="00616F76" w:rsidRPr="00616F76" w:rsidRDefault="00616F76" w:rsidP="00616F76">
      <w:pPr>
        <w:pStyle w:val="Caption"/>
      </w:pPr>
      <w:r>
        <w:t xml:space="preserve">Table 1: </w:t>
      </w:r>
      <w:r w:rsidRPr="00616F76">
        <w:t>Timeframe deliverables</w:t>
      </w:r>
    </w:p>
    <w:tbl>
      <w:tblPr>
        <w:tblStyle w:val="GridTable1Light-Accent5"/>
        <w:tblW w:w="5000" w:type="pct"/>
        <w:tblLook w:val="04A0" w:firstRow="1" w:lastRow="0" w:firstColumn="1" w:lastColumn="0" w:noHBand="0" w:noVBand="1"/>
      </w:tblPr>
      <w:tblGrid>
        <w:gridCol w:w="2831"/>
        <w:gridCol w:w="6797"/>
      </w:tblGrid>
      <w:tr w:rsidR="003D41F7" w14:paraId="7A7A31E3" w14:textId="77777777" w:rsidTr="00616F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0" w:type="pct"/>
            <w:shd w:val="clear" w:color="auto" w:fill="5C2946"/>
          </w:tcPr>
          <w:p w14:paraId="69E14B62" w14:textId="016195C4" w:rsidR="003D41F7" w:rsidRPr="0076125B" w:rsidRDefault="003D41F7" w:rsidP="00616F76">
            <w:pPr>
              <w:pStyle w:val="TableHead"/>
              <w:rPr>
                <w:b w:val="0"/>
                <w:bCs/>
              </w:rPr>
            </w:pPr>
            <w:r w:rsidRPr="0076125B">
              <w:rPr>
                <w:b w:val="0"/>
                <w:bCs/>
              </w:rPr>
              <w:t>Date</w:t>
            </w:r>
          </w:p>
        </w:tc>
        <w:tc>
          <w:tcPr>
            <w:tcW w:w="3530" w:type="pct"/>
            <w:shd w:val="clear" w:color="auto" w:fill="5C2946"/>
          </w:tcPr>
          <w:p w14:paraId="0315E837" w14:textId="5D9074B2" w:rsidR="003D41F7" w:rsidRPr="0076125B" w:rsidRDefault="003D41F7" w:rsidP="00616F76">
            <w:pPr>
              <w:pStyle w:val="TableHead"/>
              <w:cnfStyle w:val="100000000000" w:firstRow="1" w:lastRow="0" w:firstColumn="0" w:lastColumn="0" w:oddVBand="0" w:evenVBand="0" w:oddHBand="0" w:evenHBand="0" w:firstRowFirstColumn="0" w:firstRowLastColumn="0" w:lastRowFirstColumn="0" w:lastRowLastColumn="0"/>
              <w:rPr>
                <w:b w:val="0"/>
                <w:bCs/>
              </w:rPr>
            </w:pPr>
            <w:r w:rsidRPr="0076125B">
              <w:rPr>
                <w:b w:val="0"/>
                <w:bCs/>
              </w:rPr>
              <w:t>Key milestones</w:t>
            </w:r>
          </w:p>
        </w:tc>
      </w:tr>
      <w:tr w:rsidR="003D41F7" w14:paraId="453996B4" w14:textId="77777777" w:rsidTr="00616F76">
        <w:tc>
          <w:tcPr>
            <w:cnfStyle w:val="001000000000" w:firstRow="0" w:lastRow="0" w:firstColumn="1" w:lastColumn="0" w:oddVBand="0" w:evenVBand="0" w:oddHBand="0" w:evenHBand="0" w:firstRowFirstColumn="0" w:firstRowLastColumn="0" w:lastRowFirstColumn="0" w:lastRowLastColumn="0"/>
            <w:tcW w:w="1470" w:type="pct"/>
          </w:tcPr>
          <w:p w14:paraId="3CD8BC3E" w14:textId="6EE51577" w:rsidR="003D41F7" w:rsidRDefault="00030322" w:rsidP="00616F76">
            <w:pPr>
              <w:pStyle w:val="TableText"/>
            </w:pPr>
            <w:r>
              <w:t>1</w:t>
            </w:r>
            <w:r w:rsidR="007666CB">
              <w:t>2</w:t>
            </w:r>
            <w:r w:rsidR="00E8604C">
              <w:t xml:space="preserve"> </w:t>
            </w:r>
            <w:r>
              <w:t>Dec</w:t>
            </w:r>
            <w:r w:rsidR="00616F76">
              <w:t>ember</w:t>
            </w:r>
            <w:r w:rsidR="00E8604C">
              <w:t xml:space="preserve"> 2024</w:t>
            </w:r>
            <w:r w:rsidR="00616F76">
              <w:t xml:space="preserve"> to </w:t>
            </w:r>
            <w:r w:rsidR="00616F76">
              <w:br/>
            </w:r>
            <w:r>
              <w:t xml:space="preserve">7 </w:t>
            </w:r>
            <w:r w:rsidR="00616F76">
              <w:t>February</w:t>
            </w:r>
            <w:r w:rsidR="00E8604C">
              <w:t xml:space="preserve"> 2025</w:t>
            </w:r>
          </w:p>
        </w:tc>
        <w:tc>
          <w:tcPr>
            <w:tcW w:w="3530" w:type="pct"/>
          </w:tcPr>
          <w:p w14:paraId="61BA5AC8" w14:textId="62027707" w:rsidR="003D41F7" w:rsidRDefault="003D41F7" w:rsidP="00616F76">
            <w:pPr>
              <w:pStyle w:val="TableText"/>
              <w:cnfStyle w:val="000000000000" w:firstRow="0" w:lastRow="0" w:firstColumn="0" w:lastColumn="0" w:oddVBand="0" w:evenVBand="0" w:oddHBand="0" w:evenHBand="0" w:firstRowFirstColumn="0" w:firstRowLastColumn="0" w:lastRowFirstColumn="0" w:lastRowLastColumn="0"/>
            </w:pPr>
            <w:r w:rsidRPr="003D41F7">
              <w:t>Stakeholder feedback sought and received</w:t>
            </w:r>
          </w:p>
        </w:tc>
      </w:tr>
      <w:tr w:rsidR="003D41F7" w14:paraId="08C58E2F" w14:textId="77777777" w:rsidTr="00616F76">
        <w:tc>
          <w:tcPr>
            <w:cnfStyle w:val="001000000000" w:firstRow="0" w:lastRow="0" w:firstColumn="1" w:lastColumn="0" w:oddVBand="0" w:evenVBand="0" w:oddHBand="0" w:evenHBand="0" w:firstRowFirstColumn="0" w:firstRowLastColumn="0" w:lastRowFirstColumn="0" w:lastRowLastColumn="0"/>
            <w:tcW w:w="1470" w:type="pct"/>
          </w:tcPr>
          <w:p w14:paraId="4AA5020C" w14:textId="6A9A718D" w:rsidR="003D41F7" w:rsidRDefault="007C46D8" w:rsidP="00616F76">
            <w:pPr>
              <w:pStyle w:val="TableText"/>
            </w:pPr>
            <w:r>
              <w:t>2</w:t>
            </w:r>
            <w:r w:rsidR="00E8604C">
              <w:t xml:space="preserve">4 </w:t>
            </w:r>
            <w:r w:rsidR="00616F76">
              <w:t>February</w:t>
            </w:r>
            <w:r w:rsidR="00E8604C">
              <w:t xml:space="preserve"> 2024</w:t>
            </w:r>
          </w:p>
        </w:tc>
        <w:tc>
          <w:tcPr>
            <w:tcW w:w="3530" w:type="pct"/>
          </w:tcPr>
          <w:p w14:paraId="374C64D8" w14:textId="7E4CDCC7" w:rsidR="003D41F7" w:rsidRDefault="003D41F7" w:rsidP="00616F76">
            <w:pPr>
              <w:pStyle w:val="TableText"/>
              <w:cnfStyle w:val="000000000000" w:firstRow="0" w:lastRow="0" w:firstColumn="0" w:lastColumn="0" w:oddVBand="0" w:evenVBand="0" w:oddHBand="0" w:evenHBand="0" w:firstRowFirstColumn="0" w:firstRowLastColumn="0" w:lastRowFirstColumn="0" w:lastRowLastColumn="0"/>
            </w:pPr>
            <w:r w:rsidRPr="003D41F7">
              <w:t xml:space="preserve">Approach finalised, and selection process to establish new committees </w:t>
            </w:r>
            <w:r w:rsidR="00E8604C">
              <w:t>opens</w:t>
            </w:r>
          </w:p>
        </w:tc>
      </w:tr>
      <w:tr w:rsidR="003D41F7" w14:paraId="03378637" w14:textId="77777777" w:rsidTr="00616F76">
        <w:tc>
          <w:tcPr>
            <w:cnfStyle w:val="001000000000" w:firstRow="0" w:lastRow="0" w:firstColumn="1" w:lastColumn="0" w:oddVBand="0" w:evenVBand="0" w:oddHBand="0" w:evenHBand="0" w:firstRowFirstColumn="0" w:firstRowLastColumn="0" w:lastRowFirstColumn="0" w:lastRowLastColumn="0"/>
            <w:tcW w:w="1470" w:type="pct"/>
          </w:tcPr>
          <w:p w14:paraId="1DEC6124" w14:textId="0F88F83B" w:rsidR="003D41F7" w:rsidRDefault="00E8604C" w:rsidP="00616F76">
            <w:pPr>
              <w:pStyle w:val="TableText"/>
            </w:pPr>
            <w:r>
              <w:t>Week commencing 24 Mar</w:t>
            </w:r>
            <w:r w:rsidR="00616F76">
              <w:t>ch</w:t>
            </w:r>
            <w:r>
              <w:t xml:space="preserve"> 2025</w:t>
            </w:r>
          </w:p>
        </w:tc>
        <w:tc>
          <w:tcPr>
            <w:tcW w:w="3530" w:type="pct"/>
          </w:tcPr>
          <w:p w14:paraId="1057612C" w14:textId="11E04DF0" w:rsidR="003D41F7" w:rsidRDefault="003D41F7" w:rsidP="00616F76">
            <w:pPr>
              <w:pStyle w:val="TableText"/>
              <w:cnfStyle w:val="000000000000" w:firstRow="0" w:lastRow="0" w:firstColumn="0" w:lastColumn="0" w:oddVBand="0" w:evenVBand="0" w:oddHBand="0" w:evenHBand="0" w:firstRowFirstColumn="0" w:firstRowLastColumn="0" w:lastRowFirstColumn="0" w:lastRowLastColumn="0"/>
            </w:pPr>
            <w:r w:rsidRPr="003D41F7">
              <w:t xml:space="preserve">New structure commences </w:t>
            </w:r>
            <w:r w:rsidR="00F3263B" w:rsidRPr="003D41F7">
              <w:t>operation,</w:t>
            </w:r>
            <w:r w:rsidR="00E8604C">
              <w:t xml:space="preserve"> and first meetings held</w:t>
            </w:r>
          </w:p>
        </w:tc>
      </w:tr>
      <w:tr w:rsidR="003D41F7" w14:paraId="218E6BCF" w14:textId="77777777" w:rsidTr="00616F76">
        <w:tc>
          <w:tcPr>
            <w:cnfStyle w:val="001000000000" w:firstRow="0" w:lastRow="0" w:firstColumn="1" w:lastColumn="0" w:oddVBand="0" w:evenVBand="0" w:oddHBand="0" w:evenHBand="0" w:firstRowFirstColumn="0" w:firstRowLastColumn="0" w:lastRowFirstColumn="0" w:lastRowLastColumn="0"/>
            <w:tcW w:w="1470" w:type="pct"/>
          </w:tcPr>
          <w:p w14:paraId="7B41A634" w14:textId="4B0412A7" w:rsidR="003D41F7" w:rsidRDefault="00E8604C" w:rsidP="00616F76">
            <w:pPr>
              <w:pStyle w:val="TableText"/>
            </w:pPr>
            <w:r>
              <w:t>Second half of 2025</w:t>
            </w:r>
          </w:p>
        </w:tc>
        <w:tc>
          <w:tcPr>
            <w:tcW w:w="3530" w:type="pct"/>
          </w:tcPr>
          <w:p w14:paraId="2092247C" w14:textId="0384252A" w:rsidR="003D41F7" w:rsidRPr="003D41F7" w:rsidRDefault="003D41F7" w:rsidP="00616F76">
            <w:pPr>
              <w:pStyle w:val="TableText"/>
              <w:cnfStyle w:val="000000000000" w:firstRow="0" w:lastRow="0" w:firstColumn="0" w:lastColumn="0" w:oddVBand="0" w:evenVBand="0" w:oddHBand="0" w:evenHBand="0" w:firstRowFirstColumn="0" w:firstRowLastColumn="0" w:lastRowFirstColumn="0" w:lastRowLastColumn="0"/>
            </w:pPr>
            <w:r w:rsidRPr="002656AD">
              <w:t>Review of structure and additional changes implemented if required</w:t>
            </w:r>
          </w:p>
        </w:tc>
      </w:tr>
    </w:tbl>
    <w:p w14:paraId="23873DDB" w14:textId="77777777" w:rsidR="00616F76" w:rsidRDefault="00616F76" w:rsidP="00CF1566">
      <w:pPr>
        <w:pStyle w:val="NormalText"/>
        <w:sectPr w:rsidR="00616F76" w:rsidSect="00311F69">
          <w:headerReference w:type="even" r:id="rId20"/>
          <w:headerReference w:type="default" r:id="rId21"/>
          <w:pgSz w:w="11906" w:h="16838" w:code="9"/>
          <w:pgMar w:top="2835" w:right="1134" w:bottom="1134" w:left="1134" w:header="1701" w:footer="680" w:gutter="0"/>
          <w:pgNumType w:start="1"/>
          <w:cols w:space="708"/>
          <w:docGrid w:linePitch="360"/>
        </w:sectPr>
      </w:pPr>
    </w:p>
    <w:p w14:paraId="327BD8A9" w14:textId="3991E002" w:rsidR="00544DC2" w:rsidRDefault="00544DC2" w:rsidP="00544DC2">
      <w:pPr>
        <w:pStyle w:val="Heading1"/>
      </w:pPr>
      <w:bookmarkStart w:id="4" w:name="_Toc184742446"/>
      <w:r>
        <w:lastRenderedPageBreak/>
        <w:t>Background</w:t>
      </w:r>
      <w:bookmarkEnd w:id="4"/>
    </w:p>
    <w:p w14:paraId="3E46266E" w14:textId="165CB528" w:rsidR="003D41F7" w:rsidRPr="00EC1E33" w:rsidRDefault="003D41F7" w:rsidP="00494730">
      <w:pPr>
        <w:pStyle w:val="APVMAnormal"/>
        <w:rPr>
          <w:sz w:val="19"/>
          <w:szCs w:val="19"/>
        </w:rPr>
      </w:pPr>
      <w:r w:rsidRPr="00EC1E33">
        <w:rPr>
          <w:sz w:val="19"/>
          <w:szCs w:val="19"/>
        </w:rPr>
        <w:t>The APVMA has been subject to a period of significant change, resulting in changes in leadership and subsequently different approaches to stakeholder engagement.</w:t>
      </w:r>
    </w:p>
    <w:p w14:paraId="744E232E" w14:textId="3DFC9A88" w:rsidR="00531048" w:rsidRPr="00EC1E33" w:rsidRDefault="00494730" w:rsidP="00494730">
      <w:pPr>
        <w:pStyle w:val="APVMAnormal"/>
        <w:rPr>
          <w:sz w:val="19"/>
          <w:szCs w:val="19"/>
          <w:lang w:val="en-GB"/>
        </w:rPr>
      </w:pPr>
      <w:r w:rsidRPr="00EC1E33">
        <w:rPr>
          <w:sz w:val="19"/>
          <w:szCs w:val="19"/>
          <w:lang w:val="en-GB"/>
        </w:rPr>
        <w:t xml:space="preserve">Item 1.3 of the </w:t>
      </w:r>
      <w:r w:rsidR="00EC1E33" w:rsidRPr="00EC1E33">
        <w:rPr>
          <w:sz w:val="19"/>
          <w:szCs w:val="19"/>
          <w:lang w:val="en-GB"/>
        </w:rPr>
        <w:t>Australian G</w:t>
      </w:r>
      <w:r w:rsidRPr="00EC1E33">
        <w:rPr>
          <w:sz w:val="19"/>
          <w:szCs w:val="19"/>
          <w:lang w:val="en-GB"/>
        </w:rPr>
        <w:t xml:space="preserve">overnment’s </w:t>
      </w:r>
      <w:hyperlink r:id="rId22" w:history="1">
        <w:r w:rsidRPr="00EC1E33">
          <w:rPr>
            <w:rStyle w:val="Hyperlink"/>
            <w:sz w:val="19"/>
            <w:szCs w:val="19"/>
            <w:lang w:val="en-GB"/>
          </w:rPr>
          <w:t>detailed response</w:t>
        </w:r>
      </w:hyperlink>
      <w:r w:rsidRPr="00EC1E33">
        <w:rPr>
          <w:sz w:val="19"/>
          <w:szCs w:val="19"/>
          <w:lang w:val="en-GB"/>
        </w:rPr>
        <w:t xml:space="preserve"> to the </w:t>
      </w:r>
      <w:r w:rsidR="00EC1E33" w:rsidRPr="00EC1E33">
        <w:rPr>
          <w:sz w:val="19"/>
          <w:szCs w:val="19"/>
          <w:lang w:val="en-GB"/>
        </w:rPr>
        <w:t>R</w:t>
      </w:r>
      <w:r w:rsidRPr="00EC1E33">
        <w:rPr>
          <w:sz w:val="19"/>
          <w:szCs w:val="19"/>
          <w:lang w:val="en-GB"/>
        </w:rPr>
        <w:t xml:space="preserve">apid Evaluation of the APVMA’s structure and governance and other reviews outlines the government’s expectations for the APVMA in how we engage with stakeholders, including this review on our engagement model </w:t>
      </w:r>
      <w:r w:rsidRPr="00EC1E33">
        <w:rPr>
          <w:sz w:val="19"/>
          <w:szCs w:val="19"/>
        </w:rPr>
        <w:t>to ensure transparency and equity in the interactions across stakeholders</w:t>
      </w:r>
      <w:r w:rsidRPr="00EC1E33">
        <w:rPr>
          <w:sz w:val="19"/>
          <w:szCs w:val="19"/>
          <w:lang w:val="en-GB"/>
        </w:rPr>
        <w:t>.</w:t>
      </w:r>
    </w:p>
    <w:p w14:paraId="0DD30AB3" w14:textId="3B451CAE" w:rsidR="00531048" w:rsidRPr="00EC1E33" w:rsidRDefault="00531048" w:rsidP="00494730">
      <w:pPr>
        <w:pStyle w:val="APVMAnormal"/>
        <w:rPr>
          <w:sz w:val="19"/>
          <w:szCs w:val="19"/>
        </w:rPr>
      </w:pPr>
      <w:r w:rsidRPr="00EC1E33">
        <w:rPr>
          <w:sz w:val="19"/>
          <w:szCs w:val="19"/>
        </w:rPr>
        <w:t>The APVMA has traditionally focused its engagements on directly impacted stakeholders from across the agvet chemical sector, resulting in limited engagement from research, environmental, animal welfare, human health and Indigenous groups.</w:t>
      </w:r>
    </w:p>
    <w:p w14:paraId="1E009289" w14:textId="29BC4B14" w:rsidR="00531048" w:rsidRPr="00EC1E33" w:rsidRDefault="00D77909" w:rsidP="00494730">
      <w:pPr>
        <w:pStyle w:val="APVMAnormal"/>
        <w:rPr>
          <w:sz w:val="19"/>
          <w:szCs w:val="19"/>
        </w:rPr>
      </w:pPr>
      <w:r w:rsidRPr="00EC1E33">
        <w:rPr>
          <w:sz w:val="19"/>
          <w:szCs w:val="19"/>
        </w:rPr>
        <w:t>As part of our role as Australia’s agvet chemical regulator we have established forums and working groups to both inform and hear from industry about:</w:t>
      </w:r>
    </w:p>
    <w:p w14:paraId="071944F4" w14:textId="3C486013" w:rsidR="00D77909" w:rsidRPr="00EC1E33" w:rsidRDefault="00D77909" w:rsidP="00494730">
      <w:pPr>
        <w:pStyle w:val="Bullet1"/>
        <w:rPr>
          <w:szCs w:val="19"/>
        </w:rPr>
      </w:pPr>
      <w:r w:rsidRPr="00EC1E33">
        <w:rPr>
          <w:szCs w:val="19"/>
        </w:rPr>
        <w:t>the National Registration Scheme for Agricultural and Veterinary Chemicals</w:t>
      </w:r>
    </w:p>
    <w:p w14:paraId="2830125F" w14:textId="2BF25FFF" w:rsidR="00D77909" w:rsidRPr="00EC1E33" w:rsidRDefault="00D77909" w:rsidP="00494730">
      <w:pPr>
        <w:pStyle w:val="Bullet1"/>
        <w:rPr>
          <w:szCs w:val="19"/>
        </w:rPr>
      </w:pPr>
      <w:r w:rsidRPr="00EC1E33">
        <w:rPr>
          <w:szCs w:val="19"/>
        </w:rPr>
        <w:t>changes that impact our stakeholders</w:t>
      </w:r>
    </w:p>
    <w:p w14:paraId="63420394" w14:textId="42EE228E" w:rsidR="00D77909" w:rsidRPr="00EC1E33" w:rsidRDefault="00D77909" w:rsidP="00494730">
      <w:pPr>
        <w:pStyle w:val="Bullet1"/>
        <w:rPr>
          <w:szCs w:val="19"/>
        </w:rPr>
      </w:pPr>
      <w:r w:rsidRPr="00EC1E33">
        <w:rPr>
          <w:szCs w:val="19"/>
        </w:rPr>
        <w:t>mechanisms to achieve the objectives of the APVMA’s governing legislation efficiently and effectively</w:t>
      </w:r>
    </w:p>
    <w:p w14:paraId="4D89B8C6" w14:textId="091E0170" w:rsidR="00D77909" w:rsidRPr="00EC1E33" w:rsidRDefault="00D77909" w:rsidP="00494730">
      <w:pPr>
        <w:pStyle w:val="Bullet1"/>
        <w:rPr>
          <w:szCs w:val="19"/>
        </w:rPr>
      </w:pPr>
      <w:r w:rsidRPr="00EC1E33">
        <w:rPr>
          <w:szCs w:val="19"/>
        </w:rPr>
        <w:t>sharing information and problem solving.</w:t>
      </w:r>
    </w:p>
    <w:p w14:paraId="65D2D707" w14:textId="5829F01C" w:rsidR="00D77909" w:rsidRPr="00EC1E33" w:rsidRDefault="00D77909" w:rsidP="00494730">
      <w:pPr>
        <w:pStyle w:val="APVMAnormal"/>
        <w:rPr>
          <w:sz w:val="19"/>
          <w:szCs w:val="19"/>
        </w:rPr>
      </w:pPr>
      <w:r w:rsidRPr="00EC1E33">
        <w:rPr>
          <w:sz w:val="19"/>
          <w:szCs w:val="19"/>
        </w:rPr>
        <w:t>Stakeholders cannot be involved in regulatory decisions.</w:t>
      </w:r>
    </w:p>
    <w:p w14:paraId="44B06D0A" w14:textId="77777777" w:rsidR="00616F76" w:rsidRDefault="00741FDF" w:rsidP="00494730">
      <w:pPr>
        <w:pStyle w:val="APVMAnormal"/>
        <w:rPr>
          <w:sz w:val="19"/>
          <w:szCs w:val="19"/>
        </w:rPr>
        <w:sectPr w:rsidR="00616F76">
          <w:pgSz w:w="11906" w:h="16838" w:code="9"/>
          <w:pgMar w:top="2835" w:right="1134" w:bottom="1134" w:left="1134" w:header="1701" w:footer="680" w:gutter="0"/>
          <w:cols w:space="708"/>
          <w:docGrid w:linePitch="360"/>
        </w:sectPr>
      </w:pPr>
      <w:r w:rsidRPr="00EC1E33">
        <w:rPr>
          <w:sz w:val="19"/>
          <w:szCs w:val="19"/>
        </w:rPr>
        <w:t xml:space="preserve">The APVMA is committed to </w:t>
      </w:r>
      <w:r w:rsidR="00030322">
        <w:rPr>
          <w:sz w:val="19"/>
          <w:szCs w:val="19"/>
        </w:rPr>
        <w:t>a redesign</w:t>
      </w:r>
      <w:r w:rsidRPr="00EC1E33">
        <w:rPr>
          <w:sz w:val="19"/>
          <w:szCs w:val="19"/>
        </w:rPr>
        <w:t xml:space="preserve"> of our engagement model to enable increased participation, collaboration, and co-operation. In turn, we hope this will improve our decision-making and, ultimately, the outcomes delivered for the agvet chemical industry and the Australian community. We are determined to ensure that stakeholders can engage with the APVMA in a way that is transparent (so stakeholders can understand what is happening across APVMA) and efficient (so their time is used effectively).</w:t>
      </w:r>
    </w:p>
    <w:p w14:paraId="64906B36" w14:textId="08C984E1" w:rsidR="00544DC2" w:rsidRDefault="00544DC2" w:rsidP="00544DC2">
      <w:pPr>
        <w:pStyle w:val="Heading1"/>
      </w:pPr>
      <w:bookmarkStart w:id="5" w:name="_Toc184742447"/>
      <w:bookmarkStart w:id="6" w:name="_Hlk184742311"/>
      <w:r>
        <w:lastRenderedPageBreak/>
        <w:t>Structure and governance</w:t>
      </w:r>
      <w:bookmarkEnd w:id="5"/>
    </w:p>
    <w:bookmarkEnd w:id="6"/>
    <w:p w14:paraId="05E86505" w14:textId="649AEF28" w:rsidR="00544DC2" w:rsidRDefault="00741FDF" w:rsidP="007C46D8">
      <w:pPr>
        <w:pStyle w:val="APVMAnormal"/>
      </w:pPr>
      <w:r>
        <w:t>In considering a new model for formal engagement, APVMA aims to:</w:t>
      </w:r>
    </w:p>
    <w:p w14:paraId="6FABBB34" w14:textId="3F53EF1A" w:rsidR="00741FDF" w:rsidRDefault="00EC1E33" w:rsidP="00741FDF">
      <w:pPr>
        <w:pStyle w:val="Bullet1"/>
      </w:pPr>
      <w:r>
        <w:t>i</w:t>
      </w:r>
      <w:r w:rsidR="00741FDF">
        <w:t xml:space="preserve">mprove transparency, consistency, and collaboration across our </w:t>
      </w:r>
      <w:r w:rsidR="007A1CB6">
        <w:t>advisory and working groups</w:t>
      </w:r>
      <w:r>
        <w:t xml:space="preserve"> </w:t>
      </w:r>
    </w:p>
    <w:p w14:paraId="78B805D3" w14:textId="12088374" w:rsidR="00741FDF" w:rsidRDefault="00EC1E33" w:rsidP="00741FDF">
      <w:pPr>
        <w:pStyle w:val="Bullet1"/>
      </w:pPr>
      <w:r>
        <w:t>w</w:t>
      </w:r>
      <w:r w:rsidR="00741FDF">
        <w:t xml:space="preserve">ork flexibly on </w:t>
      </w:r>
      <w:r w:rsidR="00741FDF" w:rsidRPr="00741FDF">
        <w:t>problem-solving and considering future issues as well as delivering to immediate functional concerns.</w:t>
      </w:r>
    </w:p>
    <w:p w14:paraId="0D9CBE78" w14:textId="19F2B540" w:rsidR="00741FDF" w:rsidRDefault="00741FDF" w:rsidP="007C46D8">
      <w:pPr>
        <w:pStyle w:val="APVMAnormal"/>
      </w:pPr>
      <w:r>
        <w:t xml:space="preserve">The APVMA has developed </w:t>
      </w:r>
      <w:r w:rsidR="00E8604C">
        <w:t>a new engagement model</w:t>
      </w:r>
      <w:r>
        <w:t xml:space="preserve"> for stakeholder feedback</w:t>
      </w:r>
      <w:r w:rsidR="00F86984">
        <w:t xml:space="preserve"> which proposes operating across 3 levels:</w:t>
      </w:r>
    </w:p>
    <w:p w14:paraId="5E209134" w14:textId="0173C933" w:rsidR="00F86984" w:rsidRDefault="00F86984" w:rsidP="00616F76">
      <w:pPr>
        <w:pStyle w:val="ListNumbered"/>
      </w:pPr>
      <w:r>
        <w:t>Strategic</w:t>
      </w:r>
    </w:p>
    <w:p w14:paraId="26D27C8C" w14:textId="086F9ED0" w:rsidR="00F86984" w:rsidRDefault="00F86984" w:rsidP="00616F76">
      <w:pPr>
        <w:pStyle w:val="ListNumbered"/>
      </w:pPr>
      <w:r>
        <w:t>Operational</w:t>
      </w:r>
    </w:p>
    <w:p w14:paraId="082F4080" w14:textId="7099ADB7" w:rsidR="00F86984" w:rsidRDefault="00F86984" w:rsidP="00616F76">
      <w:pPr>
        <w:pStyle w:val="ListNumbered"/>
      </w:pPr>
      <w:r>
        <w:t>Informational</w:t>
      </w:r>
    </w:p>
    <w:p w14:paraId="58FDE244" w14:textId="76F8F681" w:rsidR="00741FDF" w:rsidRDefault="00E8604C" w:rsidP="007C46D8">
      <w:pPr>
        <w:pStyle w:val="APVMAnormal"/>
      </w:pPr>
      <w:r>
        <w:t>T</w:t>
      </w:r>
      <w:r w:rsidR="00741FDF">
        <w:t>he APVMA</w:t>
      </w:r>
      <w:r w:rsidR="00442DC8">
        <w:t xml:space="preserve"> also</w:t>
      </w:r>
      <w:r w:rsidR="00741FDF">
        <w:t xml:space="preserve"> proposes refreshing the Terms of Reference and the member selection process</w:t>
      </w:r>
      <w:r w:rsidR="00442DC8">
        <w:t xml:space="preserve"> to align with our objectives for the groups</w:t>
      </w:r>
      <w:r w:rsidR="00906E31">
        <w:t>.</w:t>
      </w:r>
      <w:r w:rsidR="00F3263B">
        <w:t xml:space="preserve"> The terms of reference will include the requirement for all members to engage in a constructive and professional manner, and a mechanism for dismissal if members do not meet these requirements.</w:t>
      </w:r>
    </w:p>
    <w:p w14:paraId="0B15CAA8" w14:textId="31E3386F" w:rsidR="00F95D65" w:rsidRDefault="00E8604C" w:rsidP="007C46D8">
      <w:pPr>
        <w:pStyle w:val="APVMAnormal"/>
      </w:pPr>
      <w:r>
        <w:t xml:space="preserve">We will also provide a clear scope for the establishment of </w:t>
      </w:r>
      <w:r w:rsidR="007A1CB6">
        <w:t>sub</w:t>
      </w:r>
      <w:r w:rsidR="00442DC8">
        <w:t>-</w:t>
      </w:r>
      <w:r>
        <w:t>groups</w:t>
      </w:r>
      <w:r w:rsidR="007A1CB6">
        <w:t xml:space="preserve"> under each proposed level where needed</w:t>
      </w:r>
      <w:r>
        <w:t xml:space="preserve"> to bring together industry and private sector expertise on </w:t>
      </w:r>
      <w:proofErr w:type="gramStart"/>
      <w:r>
        <w:t>particular issues</w:t>
      </w:r>
      <w:proofErr w:type="gramEnd"/>
      <w:r>
        <w:t>.</w:t>
      </w:r>
      <w:r w:rsidR="00F95D65">
        <w:br w:type="page"/>
      </w:r>
    </w:p>
    <w:p w14:paraId="01B8C7B3" w14:textId="357BD906" w:rsidR="00E8604C" w:rsidRDefault="00F86984" w:rsidP="00F95D65">
      <w:pPr>
        <w:pStyle w:val="Heading2"/>
      </w:pPr>
      <w:bookmarkStart w:id="7" w:name="_Toc184742448"/>
      <w:r>
        <w:lastRenderedPageBreak/>
        <w:t>Summary of proposed structure</w:t>
      </w:r>
      <w:bookmarkEnd w:id="7"/>
    </w:p>
    <w:p w14:paraId="047DD426" w14:textId="029040AF" w:rsidR="00F95D65" w:rsidRDefault="007F39C0" w:rsidP="00F86984">
      <w:pPr>
        <w:pStyle w:val="NormalText"/>
        <w:spacing w:line="240" w:lineRule="auto"/>
        <w:sectPr w:rsidR="00F95D65">
          <w:pgSz w:w="11906" w:h="16838" w:code="9"/>
          <w:pgMar w:top="2835" w:right="1134" w:bottom="1134" w:left="1134" w:header="1701" w:footer="680" w:gutter="0"/>
          <w:cols w:space="708"/>
          <w:docGrid w:linePitch="360"/>
        </w:sectPr>
      </w:pPr>
      <w:r>
        <w:rPr>
          <w:noProof/>
        </w:rPr>
        <mc:AlternateContent>
          <mc:Choice Requires="wps">
            <w:drawing>
              <wp:anchor distT="0" distB="0" distL="114300" distR="114300" simplePos="0" relativeHeight="251659264" behindDoc="0" locked="0" layoutInCell="1" allowOverlap="1" wp14:anchorId="730E36F0" wp14:editId="3F0A5B4B">
                <wp:simplePos x="0" y="0"/>
                <wp:positionH relativeFrom="column">
                  <wp:posOffset>2889802</wp:posOffset>
                </wp:positionH>
                <wp:positionV relativeFrom="paragraph">
                  <wp:posOffset>2799163</wp:posOffset>
                </wp:positionV>
                <wp:extent cx="811033" cy="143123"/>
                <wp:effectExtent l="19050" t="0" r="27305" b="28575"/>
                <wp:wrapNone/>
                <wp:docPr id="1767745910" name="Connector: Elbow 2"/>
                <wp:cNvGraphicFramePr/>
                <a:graphic xmlns:a="http://schemas.openxmlformats.org/drawingml/2006/main">
                  <a:graphicData uri="http://schemas.microsoft.com/office/word/2010/wordprocessingShape">
                    <wps:wsp>
                      <wps:cNvCnPr/>
                      <wps:spPr>
                        <a:xfrm>
                          <a:off x="0" y="0"/>
                          <a:ext cx="811033" cy="143123"/>
                        </a:xfrm>
                        <a:prstGeom prst="bentConnector3">
                          <a:avLst>
                            <a:gd name="adj1" fmla="val -989"/>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7273C30"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 o:spid="_x0000_s1026" type="#_x0000_t34" style="position:absolute;margin-left:227.55pt;margin-top:220.4pt;width:63.85pt;height:11.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" adj="-214" strokecolor="#353735 [3213]" strokeweight="1pt"/>
            </w:pict>
          </mc:Fallback>
        </mc:AlternateContent>
      </w:r>
      <w:r w:rsidR="00F86984">
        <w:rPr>
          <w:noProof/>
        </w:rPr>
        <w:drawing>
          <wp:inline distT="0" distB="0" distL="0" distR="0" wp14:anchorId="39D30010" wp14:editId="3A3A60FF">
            <wp:extent cx="6341110" cy="3670949"/>
            <wp:effectExtent l="19050" t="0" r="2540" b="5715"/>
            <wp:docPr id="47951689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19574EF7" w14:textId="032D3698" w:rsidR="00086209" w:rsidRDefault="00D87455" w:rsidP="00300EF8">
      <w:pPr>
        <w:pStyle w:val="Heading1"/>
      </w:pPr>
      <w:bookmarkStart w:id="8" w:name="_Toc184742449"/>
      <w:r>
        <w:lastRenderedPageBreak/>
        <w:t>Engagement groups</w:t>
      </w:r>
      <w:bookmarkEnd w:id="8"/>
    </w:p>
    <w:p w14:paraId="5F01B105" w14:textId="1B13B6F5" w:rsidR="00FC1D93" w:rsidRDefault="00FC1D93" w:rsidP="00300EF8">
      <w:pPr>
        <w:pStyle w:val="Heading2"/>
      </w:pPr>
      <w:bookmarkStart w:id="9" w:name="_Toc184742450"/>
      <w:r>
        <w:t>Not for comment</w:t>
      </w:r>
      <w:bookmarkEnd w:id="9"/>
    </w:p>
    <w:p w14:paraId="49BDFE41" w14:textId="02D6CD38" w:rsidR="0075582B" w:rsidRPr="007C46D8" w:rsidRDefault="0075582B" w:rsidP="007C46D8">
      <w:pPr>
        <w:pStyle w:val="APVMAnormal"/>
      </w:pPr>
      <w:r w:rsidRPr="007C46D8">
        <w:t>The</w:t>
      </w:r>
      <w:r w:rsidR="007F39C0">
        <w:t xml:space="preserve"> National Registration Scheme</w:t>
      </w:r>
      <w:r w:rsidRPr="007C46D8">
        <w:t xml:space="preserve"> </w:t>
      </w:r>
      <w:r w:rsidR="007F39C0">
        <w:t>(</w:t>
      </w:r>
      <w:r w:rsidR="007C46D8" w:rsidRPr="007C46D8">
        <w:t>NRS</w:t>
      </w:r>
      <w:r w:rsidR="007F39C0">
        <w:t>)</w:t>
      </w:r>
      <w:r w:rsidR="007C46D8" w:rsidRPr="007C46D8">
        <w:t xml:space="preserve"> Advisory Group is</w:t>
      </w:r>
      <w:r w:rsidRPr="007C46D8">
        <w:t xml:space="preserve"> not open for comment but ha</w:t>
      </w:r>
      <w:r w:rsidR="007C46D8" w:rsidRPr="007C46D8">
        <w:t>s</w:t>
      </w:r>
      <w:r w:rsidRPr="007C46D8">
        <w:t xml:space="preserve"> been included to provide a holistic view of the stakeholder engagement model</w:t>
      </w:r>
      <w:r w:rsidR="007C46D8" w:rsidRPr="007C46D8">
        <w:t>.</w:t>
      </w:r>
    </w:p>
    <w:p w14:paraId="41EEE0DF" w14:textId="378CBC71" w:rsidR="00D87455" w:rsidRPr="007C46D8" w:rsidRDefault="00D87455" w:rsidP="007C46D8">
      <w:pPr>
        <w:pStyle w:val="APVMAnormal"/>
      </w:pPr>
      <w:r w:rsidRPr="007C46D8">
        <w:t>Previously known as the Registration Liaison Forum, the NRS Advisory Group includes all state and territory governments. It looks at the outcomes of APVMA’s regulatory scene and those of state and territory regulations, and how all parties together achieve the requirements under the NRS.</w:t>
      </w:r>
    </w:p>
    <w:p w14:paraId="0DEFEA53" w14:textId="171A8B26" w:rsidR="00FC1D93" w:rsidRDefault="00D87455" w:rsidP="00F95D65">
      <w:pPr>
        <w:pStyle w:val="APVMAnormal"/>
        <w:rPr>
          <w:rFonts w:ascii="Franklin Gothic Medium" w:hAnsi="Franklin Gothic Medium" w:cs="Arial"/>
          <w:color w:val="5C2946"/>
          <w:sz w:val="24"/>
          <w:szCs w:val="26"/>
          <w:u w:color="000000"/>
        </w:rPr>
      </w:pPr>
      <w:r w:rsidRPr="007C46D8">
        <w:t>This forum also focuses on the touchpoints between regulation and control of use and provides an opportunity for state and territory governments to provide feedback on how the APVMA can improve labels and provides an opportunity to ensure the labels the APVMA is proposing are enforceable in each state.</w:t>
      </w:r>
      <w:r w:rsidR="00FC1D93">
        <w:br w:type="page"/>
      </w:r>
    </w:p>
    <w:p w14:paraId="5D924B96" w14:textId="6912B67E" w:rsidR="0075582B" w:rsidRPr="00FC1D93" w:rsidRDefault="00FC1D93" w:rsidP="00300EF8">
      <w:pPr>
        <w:pStyle w:val="Heading2"/>
      </w:pPr>
      <w:bookmarkStart w:id="10" w:name="_Toc184742451"/>
      <w:r>
        <w:lastRenderedPageBreak/>
        <w:t>For comment</w:t>
      </w:r>
      <w:bookmarkEnd w:id="10"/>
    </w:p>
    <w:p w14:paraId="7FF192A8" w14:textId="4894D60A" w:rsidR="00072542" w:rsidRPr="00072542" w:rsidRDefault="0076125B" w:rsidP="00F95D65">
      <w:pPr>
        <w:pStyle w:val="Caption"/>
      </w:pPr>
      <w:r>
        <w:t xml:space="preserve">Table 2: </w:t>
      </w:r>
      <w:r w:rsidR="00072542" w:rsidRPr="00072542">
        <w:t>Summary</w:t>
      </w:r>
    </w:p>
    <w:tbl>
      <w:tblPr>
        <w:tblStyle w:val="TableGrid"/>
        <w:tblW w:w="9918" w:type="dxa"/>
        <w:tblLayout w:type="fixed"/>
        <w:tblLook w:val="04A0" w:firstRow="1" w:lastRow="0" w:firstColumn="1" w:lastColumn="0" w:noHBand="0" w:noVBand="1"/>
      </w:tblPr>
      <w:tblGrid>
        <w:gridCol w:w="1355"/>
        <w:gridCol w:w="2140"/>
        <w:gridCol w:w="2141"/>
        <w:gridCol w:w="2141"/>
        <w:gridCol w:w="2141"/>
      </w:tblGrid>
      <w:tr w:rsidR="00300EF8" w14:paraId="4EE5C289" w14:textId="7C802FC9" w:rsidTr="00F95D65">
        <w:tc>
          <w:tcPr>
            <w:tcW w:w="1355" w:type="dxa"/>
            <w:shd w:val="clear" w:color="auto" w:fill="5C2946"/>
          </w:tcPr>
          <w:p w14:paraId="6ACDB1BA" w14:textId="77777777" w:rsidR="00300EF8" w:rsidRDefault="00300EF8" w:rsidP="00F95D65">
            <w:pPr>
              <w:pStyle w:val="TableHead"/>
            </w:pPr>
          </w:p>
        </w:tc>
        <w:tc>
          <w:tcPr>
            <w:tcW w:w="2140" w:type="dxa"/>
            <w:shd w:val="clear" w:color="auto" w:fill="5C2946"/>
          </w:tcPr>
          <w:p w14:paraId="1B72B40D" w14:textId="2259FBE1" w:rsidR="00300EF8" w:rsidRPr="00F95D65" w:rsidRDefault="00300EF8" w:rsidP="00F95D65">
            <w:pPr>
              <w:pStyle w:val="TableHead"/>
              <w:rPr>
                <w:bCs w:val="0"/>
              </w:rPr>
            </w:pPr>
            <w:r w:rsidRPr="00F95D65">
              <w:rPr>
                <w:bCs w:val="0"/>
              </w:rPr>
              <w:t>APVMA Advisory Group</w:t>
            </w:r>
          </w:p>
        </w:tc>
        <w:tc>
          <w:tcPr>
            <w:tcW w:w="2141" w:type="dxa"/>
            <w:shd w:val="clear" w:color="auto" w:fill="5C2946"/>
          </w:tcPr>
          <w:p w14:paraId="70281A0A" w14:textId="75EE917B" w:rsidR="00300EF8" w:rsidRPr="00F95D65" w:rsidRDefault="00300EF8" w:rsidP="00F95D65">
            <w:pPr>
              <w:pStyle w:val="TableHead"/>
              <w:rPr>
                <w:bCs w:val="0"/>
              </w:rPr>
            </w:pPr>
            <w:r w:rsidRPr="00F95D65">
              <w:rPr>
                <w:bCs w:val="0"/>
              </w:rPr>
              <w:t xml:space="preserve">Ag chemical Registrants </w:t>
            </w:r>
            <w:r w:rsidR="001A5922" w:rsidRPr="00F95D65">
              <w:rPr>
                <w:bCs w:val="0"/>
              </w:rPr>
              <w:t>Working Group</w:t>
            </w:r>
          </w:p>
        </w:tc>
        <w:tc>
          <w:tcPr>
            <w:tcW w:w="2141" w:type="dxa"/>
            <w:shd w:val="clear" w:color="auto" w:fill="5C2946"/>
          </w:tcPr>
          <w:p w14:paraId="4D7BDA02" w14:textId="2201856A" w:rsidR="00300EF8" w:rsidRPr="00F95D65" w:rsidRDefault="00300EF8" w:rsidP="00F95D65">
            <w:pPr>
              <w:pStyle w:val="TableHead"/>
              <w:rPr>
                <w:bCs w:val="0"/>
              </w:rPr>
            </w:pPr>
            <w:r w:rsidRPr="00F95D65">
              <w:rPr>
                <w:bCs w:val="0"/>
              </w:rPr>
              <w:t xml:space="preserve">Vet chemicals Registrants </w:t>
            </w:r>
            <w:r w:rsidR="001A5922" w:rsidRPr="00F95D65">
              <w:rPr>
                <w:bCs w:val="0"/>
              </w:rPr>
              <w:t>Working Group</w:t>
            </w:r>
          </w:p>
        </w:tc>
        <w:tc>
          <w:tcPr>
            <w:tcW w:w="2141" w:type="dxa"/>
            <w:shd w:val="clear" w:color="auto" w:fill="5C2946"/>
          </w:tcPr>
          <w:p w14:paraId="5CB62110" w14:textId="49ED324C" w:rsidR="00300EF8" w:rsidRPr="00F95D65" w:rsidRDefault="00300EF8" w:rsidP="00F95D65">
            <w:pPr>
              <w:pStyle w:val="TableHead"/>
              <w:rPr>
                <w:bCs w:val="0"/>
              </w:rPr>
            </w:pPr>
            <w:r w:rsidRPr="00F95D65">
              <w:rPr>
                <w:bCs w:val="0"/>
              </w:rPr>
              <w:t>Registrants’ information updates</w:t>
            </w:r>
          </w:p>
        </w:tc>
      </w:tr>
      <w:tr w:rsidR="00300EF8" w14:paraId="63580091" w14:textId="521F4425" w:rsidTr="006E24D7">
        <w:tc>
          <w:tcPr>
            <w:tcW w:w="1355" w:type="dxa"/>
          </w:tcPr>
          <w:p w14:paraId="5F64EE30" w14:textId="77777777" w:rsidR="00300EF8" w:rsidRPr="00072542" w:rsidRDefault="00300EF8" w:rsidP="00300EF8">
            <w:pPr>
              <w:pStyle w:val="TableText"/>
              <w:rPr>
                <w:b/>
                <w:bCs/>
              </w:rPr>
            </w:pPr>
            <w:r w:rsidRPr="00072542">
              <w:rPr>
                <w:b/>
                <w:bCs/>
              </w:rPr>
              <w:t>Scope</w:t>
            </w:r>
          </w:p>
        </w:tc>
        <w:tc>
          <w:tcPr>
            <w:tcW w:w="2140" w:type="dxa"/>
          </w:tcPr>
          <w:p w14:paraId="25C723A3" w14:textId="7EE395BB" w:rsidR="00300EF8" w:rsidRDefault="00300EF8" w:rsidP="00300EF8">
            <w:pPr>
              <w:pStyle w:val="TableText"/>
            </w:pPr>
            <w:r>
              <w:t xml:space="preserve">Strategic </w:t>
            </w:r>
            <w:r w:rsidR="001A5922">
              <w:t xml:space="preserve">advisory </w:t>
            </w:r>
            <w:r w:rsidR="00F448A3">
              <w:t>group</w:t>
            </w:r>
          </w:p>
        </w:tc>
        <w:tc>
          <w:tcPr>
            <w:tcW w:w="2141" w:type="dxa"/>
          </w:tcPr>
          <w:p w14:paraId="3E12A145" w14:textId="20D71CE8" w:rsidR="00300EF8" w:rsidRDefault="00300EF8" w:rsidP="00300EF8">
            <w:pPr>
              <w:pStyle w:val="TableText"/>
            </w:pPr>
            <w:r>
              <w:t xml:space="preserve">Operational </w:t>
            </w:r>
            <w:r w:rsidR="00F448A3">
              <w:t>w</w:t>
            </w:r>
            <w:r w:rsidR="001A5922">
              <w:t xml:space="preserve">orking </w:t>
            </w:r>
            <w:r w:rsidR="00F448A3">
              <w:t>g</w:t>
            </w:r>
            <w:r w:rsidR="001A5922">
              <w:t>roup</w:t>
            </w:r>
            <w:r w:rsidR="00F448A3">
              <w:t xml:space="preserve"> for agricultural chemicals</w:t>
            </w:r>
            <w:r>
              <w:t xml:space="preserve"> </w:t>
            </w:r>
          </w:p>
        </w:tc>
        <w:tc>
          <w:tcPr>
            <w:tcW w:w="2141" w:type="dxa"/>
          </w:tcPr>
          <w:p w14:paraId="6BC1BB3E" w14:textId="7318FE0D" w:rsidR="00300EF8" w:rsidRDefault="00300EF8" w:rsidP="00300EF8">
            <w:pPr>
              <w:pStyle w:val="TableText"/>
            </w:pPr>
            <w:r>
              <w:t xml:space="preserve">Operational </w:t>
            </w:r>
            <w:r w:rsidR="00F448A3">
              <w:t>w</w:t>
            </w:r>
            <w:r w:rsidR="001A5922">
              <w:t xml:space="preserve">orking </w:t>
            </w:r>
            <w:r w:rsidR="00F448A3">
              <w:t>g</w:t>
            </w:r>
            <w:r w:rsidR="001A5922">
              <w:t>roup</w:t>
            </w:r>
            <w:r w:rsidR="00F448A3">
              <w:t xml:space="preserve"> for veterinary chemicals</w:t>
            </w:r>
          </w:p>
        </w:tc>
        <w:tc>
          <w:tcPr>
            <w:tcW w:w="2141" w:type="dxa"/>
          </w:tcPr>
          <w:p w14:paraId="14861769" w14:textId="26C90E85" w:rsidR="00300EF8" w:rsidRDefault="00300EF8" w:rsidP="00300EF8">
            <w:pPr>
              <w:pStyle w:val="TableText"/>
            </w:pPr>
            <w:r>
              <w:t>Informational forum</w:t>
            </w:r>
            <w:r w:rsidR="00F448A3">
              <w:t xml:space="preserve"> for registrants</w:t>
            </w:r>
          </w:p>
        </w:tc>
      </w:tr>
      <w:tr w:rsidR="00300EF8" w14:paraId="36E87400" w14:textId="773CD40F" w:rsidTr="006E24D7">
        <w:tc>
          <w:tcPr>
            <w:tcW w:w="1355" w:type="dxa"/>
          </w:tcPr>
          <w:p w14:paraId="421AA53A" w14:textId="77777777" w:rsidR="00300EF8" w:rsidRPr="00072542" w:rsidRDefault="00300EF8" w:rsidP="00300EF8">
            <w:pPr>
              <w:pStyle w:val="TableText"/>
              <w:rPr>
                <w:b/>
                <w:bCs/>
              </w:rPr>
            </w:pPr>
            <w:r w:rsidRPr="00072542">
              <w:rPr>
                <w:b/>
                <w:bCs/>
              </w:rPr>
              <w:t>Focus</w:t>
            </w:r>
          </w:p>
        </w:tc>
        <w:tc>
          <w:tcPr>
            <w:tcW w:w="2140" w:type="dxa"/>
          </w:tcPr>
          <w:p w14:paraId="4ACE16D6" w14:textId="0E995059" w:rsidR="00300EF8" w:rsidRDefault="0013792C" w:rsidP="00300EF8">
            <w:pPr>
              <w:pStyle w:val="TableText"/>
            </w:pPr>
            <w:r>
              <w:t>APVMA’s</w:t>
            </w:r>
            <w:r w:rsidR="00300EF8">
              <w:t xml:space="preserve"> </w:t>
            </w:r>
            <w:r>
              <w:t xml:space="preserve">legislative responsibilities: registration, monitoring and chemical reviews, compliance and enforcement. Current and future agvet chemical risks and opportunities. </w:t>
            </w:r>
          </w:p>
        </w:tc>
        <w:tc>
          <w:tcPr>
            <w:tcW w:w="2141" w:type="dxa"/>
          </w:tcPr>
          <w:p w14:paraId="134177CB" w14:textId="0A3EC954" w:rsidR="00300EF8" w:rsidRDefault="0013792C" w:rsidP="00300EF8">
            <w:pPr>
              <w:pStyle w:val="TableText"/>
            </w:pPr>
            <w:r>
              <w:t>APVMA’s systems and processes in relation to the registration of c</w:t>
            </w:r>
            <w:r w:rsidR="00300EF8">
              <w:t xml:space="preserve">hemicals used to manage land and pests, including herbicides, pesticides, and rodenticides, and pool and spa chemicals. </w:t>
            </w:r>
          </w:p>
        </w:tc>
        <w:tc>
          <w:tcPr>
            <w:tcW w:w="2141" w:type="dxa"/>
          </w:tcPr>
          <w:p w14:paraId="519D526E" w14:textId="129584AE" w:rsidR="00300EF8" w:rsidRDefault="0013792C" w:rsidP="00300EF8">
            <w:pPr>
              <w:pStyle w:val="TableText"/>
            </w:pPr>
            <w:r>
              <w:t>APVMA’s systems and processes in relation to the registration of v</w:t>
            </w:r>
            <w:r w:rsidR="00300EF8">
              <w:t>et medicines</w:t>
            </w:r>
            <w:r>
              <w:t>,</w:t>
            </w:r>
            <w:r w:rsidR="00300EF8">
              <w:t xml:space="preserve"> </w:t>
            </w:r>
            <w:r>
              <w:t>a</w:t>
            </w:r>
            <w:r w:rsidR="00300EF8">
              <w:t>nimal agriculture and companion animals.</w:t>
            </w:r>
          </w:p>
        </w:tc>
        <w:tc>
          <w:tcPr>
            <w:tcW w:w="2141" w:type="dxa"/>
          </w:tcPr>
          <w:p w14:paraId="73A03723" w14:textId="49C2497E" w:rsidR="00300EF8" w:rsidRDefault="00300EF8" w:rsidP="00300EF8">
            <w:pPr>
              <w:pStyle w:val="TableText"/>
            </w:pPr>
            <w:r>
              <w:t xml:space="preserve">Provide </w:t>
            </w:r>
            <w:r w:rsidR="0013792C">
              <w:t xml:space="preserve">regular and </w:t>
            </w:r>
            <w:r w:rsidR="00F448A3">
              <w:t xml:space="preserve">topic </w:t>
            </w:r>
            <w:r w:rsidR="0013792C">
              <w:t xml:space="preserve">focused </w:t>
            </w:r>
            <w:r>
              <w:t xml:space="preserve">updates on APVMA </w:t>
            </w:r>
            <w:r w:rsidR="0013792C">
              <w:t xml:space="preserve">registration processes and </w:t>
            </w:r>
            <w:r>
              <w:t>activities</w:t>
            </w:r>
            <w:r w:rsidR="0013792C">
              <w:t>.</w:t>
            </w:r>
          </w:p>
        </w:tc>
      </w:tr>
      <w:tr w:rsidR="00300EF8" w14:paraId="59D1EB14" w14:textId="647024EF" w:rsidTr="006E24D7">
        <w:tc>
          <w:tcPr>
            <w:tcW w:w="1355" w:type="dxa"/>
          </w:tcPr>
          <w:p w14:paraId="0EB6F1A1" w14:textId="77777777" w:rsidR="00300EF8" w:rsidRPr="00072542" w:rsidRDefault="00300EF8" w:rsidP="00300EF8">
            <w:pPr>
              <w:pStyle w:val="TableText"/>
              <w:rPr>
                <w:b/>
                <w:bCs/>
              </w:rPr>
            </w:pPr>
            <w:r w:rsidRPr="00072542">
              <w:rPr>
                <w:b/>
                <w:bCs/>
              </w:rPr>
              <w:t>Frequency</w:t>
            </w:r>
          </w:p>
        </w:tc>
        <w:tc>
          <w:tcPr>
            <w:tcW w:w="2140" w:type="dxa"/>
          </w:tcPr>
          <w:p w14:paraId="719A6857" w14:textId="1FCF9E3D" w:rsidR="00300EF8" w:rsidRDefault="00300EF8" w:rsidP="00300EF8">
            <w:pPr>
              <w:pStyle w:val="TableText"/>
            </w:pPr>
            <w:r>
              <w:t>2 times per year</w:t>
            </w:r>
            <w:r w:rsidR="0013792C">
              <w:t xml:space="preserve"> (additional meetings can be convened to address issues) </w:t>
            </w:r>
          </w:p>
        </w:tc>
        <w:tc>
          <w:tcPr>
            <w:tcW w:w="2141" w:type="dxa"/>
          </w:tcPr>
          <w:p w14:paraId="1B6067DC" w14:textId="3B0C8907" w:rsidR="00300EF8" w:rsidRDefault="00F448A3" w:rsidP="00300EF8">
            <w:pPr>
              <w:pStyle w:val="TableText"/>
            </w:pPr>
            <w:r>
              <w:t>2 times per year (additional meetings can be convened to address issues)</w:t>
            </w:r>
          </w:p>
        </w:tc>
        <w:tc>
          <w:tcPr>
            <w:tcW w:w="2141" w:type="dxa"/>
          </w:tcPr>
          <w:p w14:paraId="5C7D2981" w14:textId="6AF19414" w:rsidR="00300EF8" w:rsidRDefault="00F448A3" w:rsidP="00300EF8">
            <w:pPr>
              <w:pStyle w:val="TableText"/>
            </w:pPr>
            <w:r>
              <w:t>2 times per year (additional meetings can be convened to address issues)</w:t>
            </w:r>
          </w:p>
        </w:tc>
        <w:tc>
          <w:tcPr>
            <w:tcW w:w="2141" w:type="dxa"/>
          </w:tcPr>
          <w:p w14:paraId="3D45E254" w14:textId="12EFAD82" w:rsidR="00300EF8" w:rsidRDefault="00083FCC" w:rsidP="00300EF8">
            <w:pPr>
              <w:pStyle w:val="TableText"/>
            </w:pPr>
            <w:r>
              <w:t>As required</w:t>
            </w:r>
          </w:p>
        </w:tc>
      </w:tr>
      <w:tr w:rsidR="00300EF8" w14:paraId="57B9BD2A" w14:textId="3D0893DF" w:rsidTr="006E24D7">
        <w:tc>
          <w:tcPr>
            <w:tcW w:w="1355" w:type="dxa"/>
          </w:tcPr>
          <w:p w14:paraId="65343F4C" w14:textId="77777777" w:rsidR="00300EF8" w:rsidRPr="00072542" w:rsidRDefault="00300EF8" w:rsidP="00300EF8">
            <w:pPr>
              <w:pStyle w:val="TableText"/>
              <w:rPr>
                <w:b/>
                <w:bCs/>
              </w:rPr>
            </w:pPr>
            <w:r w:rsidRPr="00072542">
              <w:rPr>
                <w:b/>
                <w:bCs/>
              </w:rPr>
              <w:t>Chair</w:t>
            </w:r>
          </w:p>
        </w:tc>
        <w:tc>
          <w:tcPr>
            <w:tcW w:w="2140" w:type="dxa"/>
          </w:tcPr>
          <w:p w14:paraId="19AD275E" w14:textId="24D814B9" w:rsidR="00300EF8" w:rsidRDefault="00300EF8" w:rsidP="00300EF8">
            <w:pPr>
              <w:pStyle w:val="TableText"/>
            </w:pPr>
            <w:r>
              <w:t>APVMA CEO</w:t>
            </w:r>
          </w:p>
        </w:tc>
        <w:tc>
          <w:tcPr>
            <w:tcW w:w="2141" w:type="dxa"/>
          </w:tcPr>
          <w:p w14:paraId="206D2911" w14:textId="6B1D57AA" w:rsidR="00300EF8" w:rsidRDefault="00300EF8" w:rsidP="00300EF8">
            <w:pPr>
              <w:pStyle w:val="TableText"/>
            </w:pPr>
            <w:r>
              <w:t>APVMA CEO</w:t>
            </w:r>
          </w:p>
        </w:tc>
        <w:tc>
          <w:tcPr>
            <w:tcW w:w="2141" w:type="dxa"/>
          </w:tcPr>
          <w:p w14:paraId="16CD3E94" w14:textId="77777777" w:rsidR="00300EF8" w:rsidRDefault="00300EF8" w:rsidP="00300EF8">
            <w:pPr>
              <w:pStyle w:val="TableText"/>
            </w:pPr>
            <w:r>
              <w:t>APVMA CEO</w:t>
            </w:r>
          </w:p>
        </w:tc>
        <w:tc>
          <w:tcPr>
            <w:tcW w:w="2141" w:type="dxa"/>
          </w:tcPr>
          <w:p w14:paraId="0D1DA64F" w14:textId="2B76397C" w:rsidR="00300EF8" w:rsidRDefault="00300EF8" w:rsidP="00300EF8">
            <w:pPr>
              <w:pStyle w:val="TableText"/>
            </w:pPr>
            <w:r>
              <w:t>APVMA subject matter experts</w:t>
            </w:r>
          </w:p>
        </w:tc>
      </w:tr>
      <w:tr w:rsidR="00300EF8" w14:paraId="0CC36F81" w14:textId="4581E570" w:rsidTr="006E24D7">
        <w:tc>
          <w:tcPr>
            <w:tcW w:w="1355" w:type="dxa"/>
          </w:tcPr>
          <w:p w14:paraId="0B9AD106" w14:textId="6D6B9A37" w:rsidR="00300EF8" w:rsidRPr="00072542" w:rsidRDefault="00300EF8" w:rsidP="00300EF8">
            <w:pPr>
              <w:pStyle w:val="TableText"/>
              <w:rPr>
                <w:b/>
                <w:bCs/>
              </w:rPr>
            </w:pPr>
            <w:r w:rsidRPr="00072542">
              <w:rPr>
                <w:b/>
                <w:bCs/>
              </w:rPr>
              <w:t>Membership</w:t>
            </w:r>
            <w:r w:rsidR="00435FDC">
              <w:rPr>
                <w:b/>
                <w:bCs/>
              </w:rPr>
              <w:t>*</w:t>
            </w:r>
            <w:r w:rsidRPr="00072542">
              <w:rPr>
                <w:b/>
                <w:bCs/>
              </w:rPr>
              <w:t xml:space="preserve"> </w:t>
            </w:r>
          </w:p>
        </w:tc>
        <w:tc>
          <w:tcPr>
            <w:tcW w:w="2140" w:type="dxa"/>
          </w:tcPr>
          <w:p w14:paraId="04D0972C" w14:textId="03653148" w:rsidR="00300EF8" w:rsidRDefault="00300EF8" w:rsidP="00300EF8">
            <w:pPr>
              <w:pStyle w:val="TableText"/>
            </w:pPr>
            <w:r>
              <w:t xml:space="preserve">Open to representatives of </w:t>
            </w:r>
            <w:r w:rsidR="00902601">
              <w:t xml:space="preserve">registrants and </w:t>
            </w:r>
            <w:r>
              <w:t xml:space="preserve">users of agvet chemicals and </w:t>
            </w:r>
            <w:r w:rsidR="007F39C0">
              <w:t>non-government organisations</w:t>
            </w:r>
            <w:r w:rsidR="00902601">
              <w:t xml:space="preserve"> with an interest in the</w:t>
            </w:r>
            <w:r>
              <w:t xml:space="preserve"> statutory criteria</w:t>
            </w:r>
            <w:r w:rsidR="00902601">
              <w:t xml:space="preserve"> outcomes</w:t>
            </w:r>
            <w:r>
              <w:t xml:space="preserve">. </w:t>
            </w:r>
          </w:p>
        </w:tc>
        <w:tc>
          <w:tcPr>
            <w:tcW w:w="2141" w:type="dxa"/>
          </w:tcPr>
          <w:p w14:paraId="4D5181B6" w14:textId="3A737D40" w:rsidR="00300EF8" w:rsidRDefault="00300EF8" w:rsidP="00300EF8">
            <w:pPr>
              <w:pStyle w:val="TableText"/>
            </w:pPr>
            <w:r>
              <w:t xml:space="preserve">Open to nominated </w:t>
            </w:r>
            <w:r w:rsidR="00902601">
              <w:t>industry</w:t>
            </w:r>
            <w:r w:rsidR="00F448A3">
              <w:t xml:space="preserve"> organisation</w:t>
            </w:r>
            <w:r w:rsidR="00902601">
              <w:t xml:space="preserve"> registrants and </w:t>
            </w:r>
            <w:r>
              <w:t>industry association</w:t>
            </w:r>
            <w:r w:rsidR="00902601">
              <w:t>s</w:t>
            </w:r>
            <w:r>
              <w:t xml:space="preserve"> of agricultural chemical</w:t>
            </w:r>
            <w:r w:rsidR="00902601">
              <w:t xml:space="preserve"> registrants.</w:t>
            </w:r>
          </w:p>
        </w:tc>
        <w:tc>
          <w:tcPr>
            <w:tcW w:w="2141" w:type="dxa"/>
          </w:tcPr>
          <w:p w14:paraId="4AE9F53D" w14:textId="367F38B1" w:rsidR="00300EF8" w:rsidRDefault="00902601" w:rsidP="00300EF8">
            <w:pPr>
              <w:pStyle w:val="TableText"/>
            </w:pPr>
            <w:r>
              <w:t>Open to nominated industry</w:t>
            </w:r>
            <w:r w:rsidR="00F448A3">
              <w:t xml:space="preserve"> organisation</w:t>
            </w:r>
            <w:r>
              <w:t xml:space="preserve"> registrants and industry associations of veterinary chemicals registrants. </w:t>
            </w:r>
          </w:p>
        </w:tc>
        <w:tc>
          <w:tcPr>
            <w:tcW w:w="2141" w:type="dxa"/>
          </w:tcPr>
          <w:p w14:paraId="234BD122" w14:textId="17AE8FE5" w:rsidR="00300EF8" w:rsidRDefault="00300EF8" w:rsidP="00300EF8">
            <w:pPr>
              <w:pStyle w:val="TableText"/>
            </w:pPr>
            <w:r>
              <w:t>Nil – open to all</w:t>
            </w:r>
          </w:p>
        </w:tc>
      </w:tr>
      <w:tr w:rsidR="00300EF8" w14:paraId="2834678D" w14:textId="2EA2B7DB" w:rsidTr="006E24D7">
        <w:trPr>
          <w:trHeight w:val="1178"/>
        </w:trPr>
        <w:tc>
          <w:tcPr>
            <w:tcW w:w="1355" w:type="dxa"/>
          </w:tcPr>
          <w:p w14:paraId="40994F80" w14:textId="77777777" w:rsidR="00300EF8" w:rsidRPr="00072542" w:rsidRDefault="00300EF8" w:rsidP="00300EF8">
            <w:pPr>
              <w:pStyle w:val="TableText"/>
              <w:rPr>
                <w:b/>
                <w:bCs/>
              </w:rPr>
            </w:pPr>
            <w:r w:rsidRPr="00072542">
              <w:rPr>
                <w:b/>
                <w:bCs/>
              </w:rPr>
              <w:t>Observers</w:t>
            </w:r>
          </w:p>
        </w:tc>
        <w:tc>
          <w:tcPr>
            <w:tcW w:w="2140" w:type="dxa"/>
          </w:tcPr>
          <w:p w14:paraId="5C69174B" w14:textId="77777777" w:rsidR="00300EF8" w:rsidRDefault="00300EF8" w:rsidP="00300EF8">
            <w:pPr>
              <w:pStyle w:val="TableText"/>
            </w:pPr>
            <w:r>
              <w:t>DAFF</w:t>
            </w:r>
          </w:p>
          <w:p w14:paraId="006DD24E" w14:textId="77777777" w:rsidR="00F448A3" w:rsidRDefault="00F448A3" w:rsidP="00F448A3">
            <w:pPr>
              <w:pStyle w:val="TableText"/>
            </w:pPr>
            <w:r>
              <w:t>DCCEEW</w:t>
            </w:r>
          </w:p>
          <w:p w14:paraId="3F28272B" w14:textId="2F9A33CF" w:rsidR="00300EF8" w:rsidRDefault="00F448A3" w:rsidP="00300EF8">
            <w:pPr>
              <w:pStyle w:val="TableText"/>
            </w:pPr>
            <w:r>
              <w:t>Department of Health</w:t>
            </w:r>
            <w:r w:rsidR="006E24D7">
              <w:t xml:space="preserve"> and Aged Care</w:t>
            </w:r>
          </w:p>
        </w:tc>
        <w:tc>
          <w:tcPr>
            <w:tcW w:w="2141" w:type="dxa"/>
          </w:tcPr>
          <w:p w14:paraId="548BBEB6" w14:textId="654B9428" w:rsidR="00300EF8" w:rsidRDefault="00300EF8" w:rsidP="00300EF8">
            <w:pPr>
              <w:pStyle w:val="TableText"/>
            </w:pPr>
            <w:r>
              <w:t>DAFF</w:t>
            </w:r>
          </w:p>
          <w:p w14:paraId="10202476" w14:textId="77777777" w:rsidR="00300EF8" w:rsidRDefault="00300EF8" w:rsidP="00300EF8">
            <w:pPr>
              <w:pStyle w:val="TableText"/>
            </w:pPr>
            <w:r>
              <w:t>DCCEEW</w:t>
            </w:r>
          </w:p>
          <w:p w14:paraId="3C237C43" w14:textId="77777777" w:rsidR="00300EF8" w:rsidRDefault="00300EF8" w:rsidP="00300EF8">
            <w:pPr>
              <w:pStyle w:val="TableText"/>
            </w:pPr>
            <w:r>
              <w:t>Food Standards Australia and New Zealand</w:t>
            </w:r>
          </w:p>
          <w:p w14:paraId="3862F56D" w14:textId="77777777" w:rsidR="00300EF8" w:rsidRDefault="00300EF8" w:rsidP="00300EF8">
            <w:pPr>
              <w:pStyle w:val="TableText"/>
            </w:pPr>
            <w:r>
              <w:t>Office of the Gene Technology Regulator</w:t>
            </w:r>
          </w:p>
        </w:tc>
        <w:tc>
          <w:tcPr>
            <w:tcW w:w="2141" w:type="dxa"/>
          </w:tcPr>
          <w:p w14:paraId="476E1D54" w14:textId="77777777" w:rsidR="00300EF8" w:rsidRDefault="00300EF8" w:rsidP="00300EF8">
            <w:pPr>
              <w:pStyle w:val="TableText"/>
            </w:pPr>
            <w:r>
              <w:t>DAFF</w:t>
            </w:r>
          </w:p>
          <w:p w14:paraId="66680B56" w14:textId="77777777" w:rsidR="00300EF8" w:rsidRDefault="00300EF8" w:rsidP="00300EF8">
            <w:pPr>
              <w:pStyle w:val="TableText"/>
            </w:pPr>
            <w:r>
              <w:t>Therapeutic Goods Administration</w:t>
            </w:r>
          </w:p>
          <w:p w14:paraId="4087CAB1" w14:textId="1029AA85" w:rsidR="00300EF8" w:rsidRDefault="0013792C" w:rsidP="00300EF8">
            <w:pPr>
              <w:pStyle w:val="TableText"/>
            </w:pPr>
            <w:r>
              <w:t>Office of the Gene Technology Regulator</w:t>
            </w:r>
          </w:p>
        </w:tc>
        <w:tc>
          <w:tcPr>
            <w:tcW w:w="2141" w:type="dxa"/>
          </w:tcPr>
          <w:p w14:paraId="3374105F" w14:textId="4023D731" w:rsidR="00300EF8" w:rsidRDefault="00300EF8" w:rsidP="00300EF8">
            <w:pPr>
              <w:pStyle w:val="TableText"/>
            </w:pPr>
            <w:r>
              <w:t>n/a</w:t>
            </w:r>
          </w:p>
        </w:tc>
      </w:tr>
    </w:tbl>
    <w:p w14:paraId="6B87D251" w14:textId="48499782" w:rsidR="007C46D8" w:rsidRDefault="00435FDC" w:rsidP="00F95D65">
      <w:pPr>
        <w:pStyle w:val="SourceTableNote"/>
        <w:rPr>
          <w:rFonts w:ascii="Franklin Gothic Medium" w:hAnsi="Franklin Gothic Medium"/>
          <w:color w:val="5C2946"/>
          <w:sz w:val="24"/>
          <w:szCs w:val="26"/>
        </w:rPr>
      </w:pPr>
      <w:r w:rsidRPr="007C46D8">
        <w:t>*Current members of the APVMA Consultative and Agvet Users Forums will be invited to join the relevant group and nominate a representative.</w:t>
      </w:r>
      <w:r w:rsidR="007C46D8">
        <w:br w:type="page"/>
      </w:r>
    </w:p>
    <w:p w14:paraId="22BA7C1A" w14:textId="5E0E7413" w:rsidR="00086209" w:rsidRDefault="00086209" w:rsidP="00300EF8">
      <w:pPr>
        <w:pStyle w:val="Heading3"/>
      </w:pPr>
      <w:bookmarkStart w:id="11" w:name="_Toc184742452"/>
      <w:r>
        <w:lastRenderedPageBreak/>
        <w:t>APVMA Advisory Group</w:t>
      </w:r>
      <w:bookmarkEnd w:id="11"/>
    </w:p>
    <w:p w14:paraId="7828DA4C" w14:textId="6DE2CD2C" w:rsidR="00D87455" w:rsidRPr="007C46D8" w:rsidRDefault="00D87455" w:rsidP="007C46D8">
      <w:pPr>
        <w:pStyle w:val="APVMAnormal"/>
      </w:pPr>
      <w:r w:rsidRPr="007C46D8">
        <w:t xml:space="preserve">We propose establishing a new advisory group focused on issues and interests relating to </w:t>
      </w:r>
      <w:r w:rsidR="00921F10" w:rsidRPr="007C46D8">
        <w:t xml:space="preserve">APVMA’s legislative responsibilities: registration, monitoring and chemical reviews, compliance and enforcement, as well as in interest in current and future agvet chemical risks and opportunities. </w:t>
      </w:r>
      <w:r w:rsidRPr="007C46D8">
        <w:t xml:space="preserve">The advisory group will be open to </w:t>
      </w:r>
      <w:r w:rsidR="00921F10" w:rsidRPr="007C46D8">
        <w:t xml:space="preserve">registrants (and their nominated representatives), </w:t>
      </w:r>
      <w:r w:rsidRPr="007C46D8">
        <w:t xml:space="preserve">those who use agvet chemicals (and their nominated representatives), and those </w:t>
      </w:r>
      <w:r w:rsidR="00921F10" w:rsidRPr="007C46D8">
        <w:t>NGOs with an interest in the statutory criteria outcomes</w:t>
      </w:r>
      <w:r w:rsidR="000F69BF" w:rsidRPr="007C46D8">
        <w:t xml:space="preserve"> (</w:t>
      </w:r>
      <w:r w:rsidR="003B5A78" w:rsidRPr="007C46D8">
        <w:t>safety</w:t>
      </w:r>
      <w:r w:rsidR="006E24D7" w:rsidRPr="007C46D8">
        <w:t xml:space="preserve"> of </w:t>
      </w:r>
      <w:r w:rsidR="00AE1250" w:rsidRPr="007C46D8">
        <w:t xml:space="preserve">people, animals, and </w:t>
      </w:r>
      <w:r w:rsidR="006E24D7" w:rsidRPr="007C46D8">
        <w:t xml:space="preserve">the </w:t>
      </w:r>
      <w:r w:rsidR="000F69BF" w:rsidRPr="007C46D8">
        <w:t xml:space="preserve">environment, </w:t>
      </w:r>
      <w:r w:rsidR="003B5A78" w:rsidRPr="007C46D8">
        <w:t>efficacy</w:t>
      </w:r>
      <w:r w:rsidR="000F69BF" w:rsidRPr="007C46D8">
        <w:t>, residues</w:t>
      </w:r>
      <w:r w:rsidR="003B5A78" w:rsidRPr="007C46D8">
        <w:t xml:space="preserve"> and</w:t>
      </w:r>
      <w:r w:rsidR="000F69BF" w:rsidRPr="007C46D8">
        <w:t xml:space="preserve"> trade)</w:t>
      </w:r>
      <w:r w:rsidR="00072542" w:rsidRPr="007C46D8">
        <w:t>.</w:t>
      </w:r>
    </w:p>
    <w:p w14:paraId="5E43ADE8" w14:textId="187AECFC" w:rsidR="00C37B15" w:rsidRPr="007C46D8" w:rsidRDefault="00C37B15" w:rsidP="007C46D8">
      <w:pPr>
        <w:pStyle w:val="APVMAnormal"/>
      </w:pPr>
      <w:r w:rsidRPr="007C46D8">
        <w:t xml:space="preserve">Through the advisory group, the APVMA will communicate and consult on </w:t>
      </w:r>
      <w:r w:rsidR="003B5A78" w:rsidRPr="007C46D8">
        <w:t>current work programs across its legislative remit of registration, monitoring and review and compliance and enforcement.</w:t>
      </w:r>
      <w:r w:rsidRPr="007C46D8">
        <w:t xml:space="preserve"> The APVMA will also seek </w:t>
      </w:r>
      <w:r w:rsidR="003B5A78" w:rsidRPr="007C46D8">
        <w:t>advice</w:t>
      </w:r>
      <w:r w:rsidR="00AE1250" w:rsidRPr="007C46D8">
        <w:t>, input, and information</w:t>
      </w:r>
      <w:r w:rsidR="003B5A78" w:rsidRPr="007C46D8">
        <w:t xml:space="preserve"> on key issues facing users and/or the community</w:t>
      </w:r>
      <w:r w:rsidRPr="007C46D8">
        <w:t xml:space="preserve"> </w:t>
      </w:r>
      <w:r w:rsidR="003B5A78" w:rsidRPr="007C46D8">
        <w:t>regarding</w:t>
      </w:r>
      <w:r w:rsidRPr="007C46D8">
        <w:t xml:space="preserve"> agvet chemicals.</w:t>
      </w:r>
    </w:p>
    <w:p w14:paraId="180F0C5A" w14:textId="549C7053" w:rsidR="006E24D7" w:rsidRPr="007C46D8" w:rsidRDefault="00C37B15" w:rsidP="007C46D8">
      <w:pPr>
        <w:pStyle w:val="APVMAnormal"/>
      </w:pPr>
      <w:r w:rsidRPr="007C46D8">
        <w:t xml:space="preserve">It will provide a mechanism for agvet </w:t>
      </w:r>
      <w:r w:rsidR="003B5A78" w:rsidRPr="007C46D8">
        <w:t xml:space="preserve">registrants, </w:t>
      </w:r>
      <w:r w:rsidRPr="007C46D8">
        <w:t>users</w:t>
      </w:r>
      <w:r w:rsidR="00072542" w:rsidRPr="007C46D8">
        <w:t xml:space="preserve"> (and their nominated representatives</w:t>
      </w:r>
      <w:r w:rsidR="00921F10" w:rsidRPr="007C46D8">
        <w:t>)</w:t>
      </w:r>
      <w:r w:rsidRPr="007C46D8">
        <w:t>, sellers</w:t>
      </w:r>
      <w:r w:rsidR="00072542" w:rsidRPr="007C46D8">
        <w:t>, and other interest groups to engage with the APVMA</w:t>
      </w:r>
      <w:r w:rsidR="00921F10" w:rsidRPr="007C46D8">
        <w:t xml:space="preserve"> and with each other on agvet issues</w:t>
      </w:r>
      <w:r w:rsidRPr="007C46D8">
        <w:t>.</w:t>
      </w:r>
    </w:p>
    <w:p w14:paraId="75A373E5" w14:textId="2DA1177E" w:rsidR="00086209" w:rsidRPr="00D87455" w:rsidRDefault="00086209" w:rsidP="00300EF8">
      <w:pPr>
        <w:pStyle w:val="Heading3"/>
        <w:rPr>
          <w:rFonts w:eastAsiaTheme="minorHAnsi"/>
        </w:rPr>
      </w:pPr>
      <w:bookmarkStart w:id="12" w:name="_Toc184742453"/>
      <w:r w:rsidRPr="00D87455">
        <w:rPr>
          <w:rFonts w:eastAsiaTheme="minorHAnsi"/>
        </w:rPr>
        <w:t>Registrants</w:t>
      </w:r>
      <w:r w:rsidR="00EC1E33">
        <w:rPr>
          <w:rFonts w:eastAsiaTheme="minorHAnsi"/>
        </w:rPr>
        <w:t>’</w:t>
      </w:r>
      <w:r w:rsidRPr="00D87455">
        <w:rPr>
          <w:rFonts w:eastAsiaTheme="minorHAnsi"/>
        </w:rPr>
        <w:t xml:space="preserve"> </w:t>
      </w:r>
      <w:r w:rsidR="00902601">
        <w:rPr>
          <w:rFonts w:eastAsiaTheme="minorHAnsi"/>
        </w:rPr>
        <w:t>Working Groups</w:t>
      </w:r>
      <w:bookmarkEnd w:id="12"/>
    </w:p>
    <w:p w14:paraId="53B368E3" w14:textId="77777777" w:rsidR="006E24D7" w:rsidRDefault="00086209" w:rsidP="006C54B1">
      <w:pPr>
        <w:pStyle w:val="Bullet1"/>
        <w:rPr>
          <w:szCs w:val="19"/>
        </w:rPr>
      </w:pPr>
      <w:r w:rsidRPr="00CA5459">
        <w:rPr>
          <w:szCs w:val="19"/>
        </w:rPr>
        <w:t xml:space="preserve">Ag chemical </w:t>
      </w:r>
      <w:r w:rsidR="00902601" w:rsidRPr="00CA5459">
        <w:rPr>
          <w:szCs w:val="19"/>
        </w:rPr>
        <w:t>working groups</w:t>
      </w:r>
    </w:p>
    <w:p w14:paraId="5DDF5603" w14:textId="49D38C1F" w:rsidR="00086209" w:rsidRPr="00CA5459" w:rsidRDefault="00086209" w:rsidP="006C54B1">
      <w:pPr>
        <w:pStyle w:val="Bullet1"/>
        <w:rPr>
          <w:szCs w:val="19"/>
        </w:rPr>
      </w:pPr>
      <w:r w:rsidRPr="00CA5459">
        <w:rPr>
          <w:szCs w:val="19"/>
        </w:rPr>
        <w:t xml:space="preserve">Vet chemical </w:t>
      </w:r>
      <w:r w:rsidR="00902601" w:rsidRPr="00CA5459">
        <w:rPr>
          <w:szCs w:val="19"/>
        </w:rPr>
        <w:t>working groups</w:t>
      </w:r>
    </w:p>
    <w:p w14:paraId="48532E55" w14:textId="70F34517" w:rsidR="00C37B15" w:rsidRPr="007C46D8" w:rsidRDefault="00086209" w:rsidP="007C46D8">
      <w:pPr>
        <w:pStyle w:val="APVMAnormal"/>
      </w:pPr>
      <w:r w:rsidRPr="007C46D8">
        <w:t xml:space="preserve">These </w:t>
      </w:r>
      <w:r w:rsidR="006E24D7" w:rsidRPr="007C46D8">
        <w:t>working groups</w:t>
      </w:r>
      <w:r w:rsidRPr="007C46D8">
        <w:t xml:space="preserve"> will be open to those </w:t>
      </w:r>
      <w:r w:rsidR="00946BAE" w:rsidRPr="007C46D8">
        <w:t>nominated industry representatives</w:t>
      </w:r>
      <w:r w:rsidR="00902601" w:rsidRPr="007C46D8">
        <w:t xml:space="preserve"> of registrants as well as industry organisations that are registrants</w:t>
      </w:r>
      <w:r w:rsidR="00C37B15" w:rsidRPr="007C46D8">
        <w:t xml:space="preserve">. The </w:t>
      </w:r>
      <w:r w:rsidR="00902601" w:rsidRPr="007C46D8">
        <w:t>working groups</w:t>
      </w:r>
      <w:r w:rsidR="00C37B15" w:rsidRPr="007C46D8">
        <w:t xml:space="preserve"> will be focused on issues and the operational aspects of the APVMA relevant to fee payers, including</w:t>
      </w:r>
      <w:r w:rsidRPr="007C46D8">
        <w:t xml:space="preserve"> registrations, permits, licences etc.</w:t>
      </w:r>
    </w:p>
    <w:p w14:paraId="73C98C8F" w14:textId="151652E5" w:rsidR="00086209" w:rsidRPr="007C46D8" w:rsidRDefault="00086209" w:rsidP="007C46D8">
      <w:pPr>
        <w:pStyle w:val="APVMAnormal"/>
      </w:pPr>
      <w:r w:rsidRPr="007C46D8">
        <w:t xml:space="preserve">One </w:t>
      </w:r>
      <w:r w:rsidR="00902601" w:rsidRPr="007C46D8">
        <w:t>working group</w:t>
      </w:r>
      <w:r w:rsidRPr="007C46D8">
        <w:t xml:space="preserve"> will be established for the agricultural chemical sector and another for the vet medicine sector.</w:t>
      </w:r>
      <w:r w:rsidR="00C37B15" w:rsidRPr="007C46D8">
        <w:t xml:space="preserve"> </w:t>
      </w:r>
      <w:r w:rsidRPr="007C46D8">
        <w:t>Pool and spa chemicals are classified as agricultural chemicals under the agvet code.</w:t>
      </w:r>
    </w:p>
    <w:p w14:paraId="72FFA6E8" w14:textId="30703C65" w:rsidR="00086209" w:rsidRDefault="00086209" w:rsidP="00300EF8">
      <w:pPr>
        <w:pStyle w:val="Heading3"/>
      </w:pPr>
      <w:bookmarkStart w:id="13" w:name="_Toc184742454"/>
      <w:r>
        <w:t>Registrants’ information update</w:t>
      </w:r>
      <w:bookmarkEnd w:id="13"/>
    </w:p>
    <w:p w14:paraId="3FAE70E7" w14:textId="77777777" w:rsidR="00F95D65" w:rsidRDefault="00086209" w:rsidP="007C46D8">
      <w:pPr>
        <w:pStyle w:val="APVMAnormal"/>
        <w:sectPr w:rsidR="00F95D65">
          <w:pgSz w:w="11906" w:h="16838" w:code="9"/>
          <w:pgMar w:top="2835" w:right="1134" w:bottom="1134" w:left="1134" w:header="1701" w:footer="680" w:gutter="0"/>
          <w:cols w:space="708"/>
          <w:docGrid w:linePitch="360"/>
        </w:sectPr>
      </w:pPr>
      <w:r w:rsidRPr="007C46D8">
        <w:t xml:space="preserve">We propose establishing an open information briefing, targeted to registrants but open </w:t>
      </w:r>
      <w:r w:rsidR="003B5A78" w:rsidRPr="007C46D8">
        <w:t xml:space="preserve">to </w:t>
      </w:r>
      <w:r w:rsidRPr="007C46D8">
        <w:t>all. Sessions would be held virtually</w:t>
      </w:r>
      <w:r w:rsidR="00083FCC" w:rsidRPr="007C46D8">
        <w:t xml:space="preserve"> as a webinar style event</w:t>
      </w:r>
      <w:r w:rsidRPr="007C46D8">
        <w:t xml:space="preserve">, </w:t>
      </w:r>
      <w:r w:rsidR="00083FCC" w:rsidRPr="007C46D8">
        <w:t>as needed</w:t>
      </w:r>
      <w:r w:rsidRPr="007C46D8">
        <w:t xml:space="preserve"> to provide updates on </w:t>
      </w:r>
      <w:r w:rsidR="003B5A78" w:rsidRPr="007C46D8">
        <w:t xml:space="preserve">specific topics by </w:t>
      </w:r>
      <w:r w:rsidRPr="007C46D8">
        <w:t>APVMA subject matter experts.</w:t>
      </w:r>
      <w:r w:rsidR="00030322" w:rsidRPr="007C46D8">
        <w:t xml:space="preserve"> These would be a one way provision of information, with provision for follow up with the subject matter experts post the briefing.</w:t>
      </w:r>
    </w:p>
    <w:p w14:paraId="62614C83" w14:textId="6AF528C3" w:rsidR="00127734" w:rsidRDefault="00127734" w:rsidP="00300EF8">
      <w:pPr>
        <w:pStyle w:val="Heading1"/>
      </w:pPr>
      <w:bookmarkStart w:id="14" w:name="_Toc184742455"/>
      <w:r>
        <w:lastRenderedPageBreak/>
        <w:t>New membership selection criteria</w:t>
      </w:r>
      <w:bookmarkEnd w:id="14"/>
    </w:p>
    <w:p w14:paraId="2E1BB0D3" w14:textId="150853B0" w:rsidR="0075582B" w:rsidRDefault="0075582B" w:rsidP="007C46D8">
      <w:pPr>
        <w:pStyle w:val="APVMAnormal"/>
      </w:pPr>
      <w:r>
        <w:t xml:space="preserve">The APVMA will seek expressions of interest </w:t>
      </w:r>
      <w:r w:rsidR="00921F10">
        <w:t>for membership of the relevant forums and working groups</w:t>
      </w:r>
      <w:r>
        <w:t>, with a limit of 20 members in total</w:t>
      </w:r>
      <w:r w:rsidR="00921F10">
        <w:t xml:space="preserve"> in each</w:t>
      </w:r>
      <w:r>
        <w:t>.</w:t>
      </w:r>
    </w:p>
    <w:p w14:paraId="775B6C89" w14:textId="55AAB090" w:rsidR="0075582B" w:rsidRDefault="0075582B" w:rsidP="007C46D8">
      <w:pPr>
        <w:pStyle w:val="APVMAnormal"/>
      </w:pPr>
      <w:r>
        <w:t xml:space="preserve">Organisations may apply for membership at any time; </w:t>
      </w:r>
      <w:r w:rsidR="00F95D65">
        <w:t>however,</w:t>
      </w:r>
      <w:r>
        <w:t xml:space="preserve"> the membership cycle will remain the same. For example, the </w:t>
      </w:r>
      <w:r w:rsidR="003B5A78">
        <w:t>4</w:t>
      </w:r>
      <w:r w:rsidR="00F95D65">
        <w:t xml:space="preserve"> </w:t>
      </w:r>
      <w:r>
        <w:t>year cycle may begin in March 2025 and end in March 202</w:t>
      </w:r>
      <w:r w:rsidR="003B5A78">
        <w:t>9</w:t>
      </w:r>
      <w:r>
        <w:t>:</w:t>
      </w:r>
    </w:p>
    <w:p w14:paraId="095FB477" w14:textId="1EC603EA" w:rsidR="0075582B" w:rsidRDefault="0075582B" w:rsidP="007C46D8">
      <w:pPr>
        <w:pStyle w:val="Bullet1"/>
      </w:pPr>
      <w:r>
        <w:t xml:space="preserve">Those who have become members in March 2025 will remain members for the full </w:t>
      </w:r>
      <w:r w:rsidR="00CC559E">
        <w:t>4</w:t>
      </w:r>
      <w:r w:rsidR="00F95D65">
        <w:t xml:space="preserve"> </w:t>
      </w:r>
      <w:r>
        <w:t xml:space="preserve">year cycle, before needing to reapply for the next </w:t>
      </w:r>
      <w:r w:rsidR="00CC559E">
        <w:t>4</w:t>
      </w:r>
      <w:r w:rsidR="00F95D65">
        <w:t xml:space="preserve"> </w:t>
      </w:r>
      <w:r>
        <w:t>year cycle.</w:t>
      </w:r>
    </w:p>
    <w:p w14:paraId="379AF3E6" w14:textId="1F0EA924" w:rsidR="0075582B" w:rsidRDefault="0075582B" w:rsidP="007C46D8">
      <w:pPr>
        <w:pStyle w:val="Bullet1"/>
      </w:pPr>
      <w:r>
        <w:t>Those who became member after March 2025 will still have their membership end in March 202</w:t>
      </w:r>
      <w:r w:rsidR="003B5A78">
        <w:t>9</w:t>
      </w:r>
      <w:r>
        <w:t xml:space="preserve">, meaning some members may not be a member for the full </w:t>
      </w:r>
      <w:r w:rsidR="003B5A78">
        <w:t>4</w:t>
      </w:r>
      <w:r>
        <w:t xml:space="preserve"> years before needing to reapply.</w:t>
      </w:r>
    </w:p>
    <w:p w14:paraId="4E8BA103" w14:textId="77777777" w:rsidR="0075582B" w:rsidRDefault="0075582B" w:rsidP="007C46D8">
      <w:pPr>
        <w:pStyle w:val="APVMAnormal"/>
      </w:pPr>
      <w:r>
        <w:t>Previous membership will not guarantee membership on reapplication in the next cycle.</w:t>
      </w:r>
    </w:p>
    <w:p w14:paraId="5DACBD7D" w14:textId="77777777" w:rsidR="0075582B" w:rsidRPr="00162EA4" w:rsidRDefault="0075582B" w:rsidP="00300EF8">
      <w:pPr>
        <w:pStyle w:val="Heading2"/>
      </w:pPr>
      <w:bookmarkStart w:id="15" w:name="_Toc184742456"/>
      <w:r>
        <w:t>Expressions of interest and membership c</w:t>
      </w:r>
      <w:r w:rsidRPr="00162EA4">
        <w:t>riteria</w:t>
      </w:r>
      <w:bookmarkEnd w:id="15"/>
    </w:p>
    <w:p w14:paraId="46EE569A" w14:textId="77777777" w:rsidR="0075582B" w:rsidRPr="007C46D8" w:rsidRDefault="0075582B" w:rsidP="007C46D8">
      <w:pPr>
        <w:pStyle w:val="APVMAnormal"/>
      </w:pPr>
      <w:r w:rsidRPr="007C46D8">
        <w:t>Members of any forum, committee or advisory group will:</w:t>
      </w:r>
    </w:p>
    <w:p w14:paraId="407D24E4" w14:textId="77777777" w:rsidR="0075582B" w:rsidRPr="00EC1E33" w:rsidRDefault="0075582B" w:rsidP="007C46D8">
      <w:pPr>
        <w:pStyle w:val="Bullet1"/>
      </w:pPr>
      <w:proofErr w:type="gramStart"/>
      <w:r w:rsidRPr="00EC1E33">
        <w:t>Be located in</w:t>
      </w:r>
      <w:proofErr w:type="gramEnd"/>
      <w:r w:rsidRPr="00EC1E33">
        <w:t xml:space="preserve"> Australia.</w:t>
      </w:r>
    </w:p>
    <w:p w14:paraId="1BFD1B98" w14:textId="2D90DE08" w:rsidR="0075582B" w:rsidRPr="00EC1E33" w:rsidRDefault="0075582B" w:rsidP="007C46D8">
      <w:pPr>
        <w:pStyle w:val="Bullet1"/>
      </w:pPr>
      <w:r w:rsidRPr="00EC1E33">
        <w:t>Representative of industry or businesses in agvet chemical sector, or an organisation which represents the interests of those impacted by agvet chemical use, or be a thought or community leader in the relevant sector.</w:t>
      </w:r>
    </w:p>
    <w:p w14:paraId="581844C0" w14:textId="77777777" w:rsidR="0075582B" w:rsidRPr="00EC1E33" w:rsidRDefault="0075582B" w:rsidP="007C46D8">
      <w:pPr>
        <w:pStyle w:val="Bullet1"/>
      </w:pPr>
      <w:r w:rsidRPr="00EC1E33">
        <w:t>Have relevant skills or expertise for the engagement group they are applying to.</w:t>
      </w:r>
    </w:p>
    <w:p w14:paraId="36124BDF" w14:textId="61797D84" w:rsidR="0075582B" w:rsidRPr="00EC1E33" w:rsidRDefault="0075582B" w:rsidP="007C46D8">
      <w:pPr>
        <w:pStyle w:val="Bullet1"/>
      </w:pPr>
      <w:r w:rsidRPr="00EC1E33">
        <w:t>Commit to attending the number of meetings proposed (anywhere between 2</w:t>
      </w:r>
      <w:r w:rsidR="00F95D65">
        <w:t>–</w:t>
      </w:r>
      <w:r w:rsidRPr="00EC1E33">
        <w:t xml:space="preserve">4), with a membership term of up to </w:t>
      </w:r>
      <w:r w:rsidR="00CC559E">
        <w:t>4</w:t>
      </w:r>
      <w:r w:rsidRPr="00EC1E33">
        <w:t xml:space="preserve"> </w:t>
      </w:r>
      <w:r w:rsidR="00CC559E">
        <w:t>years</w:t>
      </w:r>
      <w:r w:rsidRPr="00EC1E33">
        <w:t>.</w:t>
      </w:r>
    </w:p>
    <w:p w14:paraId="76F586D8" w14:textId="77777777" w:rsidR="0075582B" w:rsidRDefault="0075582B" w:rsidP="00300EF8">
      <w:pPr>
        <w:pStyle w:val="Heading2"/>
      </w:pPr>
      <w:bookmarkStart w:id="16" w:name="_Toc184742457"/>
      <w:r>
        <w:t>Application process</w:t>
      </w:r>
      <w:bookmarkEnd w:id="16"/>
      <w:r w:rsidRPr="00DE5B5B">
        <w:t xml:space="preserve"> </w:t>
      </w:r>
    </w:p>
    <w:p w14:paraId="44430EB2" w14:textId="0CD10BEB" w:rsidR="0075582B" w:rsidRPr="007C46D8" w:rsidRDefault="00921F10" w:rsidP="007C46D8">
      <w:pPr>
        <w:pStyle w:val="APVMAnormal"/>
      </w:pPr>
      <w:r w:rsidRPr="007C46D8">
        <w:t xml:space="preserve">Current members of the APVMA Consultative and Agvet Users Forum will be invited to participate in </w:t>
      </w:r>
      <w:r w:rsidR="00593A30" w:rsidRPr="007C46D8">
        <w:t>either</w:t>
      </w:r>
      <w:r w:rsidRPr="007C46D8">
        <w:t xml:space="preserve"> the </w:t>
      </w:r>
      <w:r w:rsidR="003B5A78" w:rsidRPr="007C46D8">
        <w:t xml:space="preserve">advisory </w:t>
      </w:r>
      <w:r w:rsidR="00030322" w:rsidRPr="007C46D8">
        <w:t xml:space="preserve">or working </w:t>
      </w:r>
      <w:r w:rsidR="003B5A78" w:rsidRPr="007C46D8">
        <w:t>group</w:t>
      </w:r>
      <w:r w:rsidR="00030322" w:rsidRPr="007C46D8">
        <w:t>s</w:t>
      </w:r>
      <w:r w:rsidR="00593A30" w:rsidRPr="007C46D8">
        <w:t>.</w:t>
      </w:r>
      <w:r w:rsidRPr="007C46D8">
        <w:t xml:space="preserve"> </w:t>
      </w:r>
      <w:r w:rsidR="00030322" w:rsidRPr="007C46D8">
        <w:t xml:space="preserve">The APVMA will assess the suitability of </w:t>
      </w:r>
      <w:r w:rsidR="0075582B" w:rsidRPr="007C46D8">
        <w:t>interested stakeholders or groups applying for membership against the objectives of the group.</w:t>
      </w:r>
    </w:p>
    <w:p w14:paraId="5B9790D0" w14:textId="77777777" w:rsidR="0075582B" w:rsidRPr="007C46D8" w:rsidRDefault="0075582B" w:rsidP="007C46D8">
      <w:pPr>
        <w:pStyle w:val="APVMAnormal"/>
      </w:pPr>
      <w:r w:rsidRPr="007C46D8">
        <w:t>Interested parties should demonstrate:</w:t>
      </w:r>
    </w:p>
    <w:p w14:paraId="609B66B5" w14:textId="77777777" w:rsidR="0075582B" w:rsidRPr="00EC1E33" w:rsidRDefault="0075582B" w:rsidP="007C46D8">
      <w:pPr>
        <w:pStyle w:val="Bullet1"/>
      </w:pPr>
      <w:r w:rsidRPr="00EC1E33">
        <w:t>Their organisation’s interest in participation (reference to their corporate objectives/goals).</w:t>
      </w:r>
    </w:p>
    <w:p w14:paraId="44C02437" w14:textId="11774423" w:rsidR="0075582B" w:rsidRPr="00EC1E33" w:rsidRDefault="0075582B" w:rsidP="007C46D8">
      <w:pPr>
        <w:pStyle w:val="Bullet1"/>
      </w:pPr>
      <w:r w:rsidRPr="00EC1E33">
        <w:t>Why that person/role is appropriate for the group (reference to T</w:t>
      </w:r>
      <w:r w:rsidR="007F39C0">
        <w:t>erms of Reference</w:t>
      </w:r>
      <w:r w:rsidRPr="00EC1E33">
        <w:t>).</w:t>
      </w:r>
    </w:p>
    <w:p w14:paraId="1A3A327E" w14:textId="77777777" w:rsidR="0075582B" w:rsidRPr="00EC1E33" w:rsidRDefault="0075582B" w:rsidP="007C46D8">
      <w:pPr>
        <w:pStyle w:val="Bullet1"/>
      </w:pPr>
      <w:r w:rsidRPr="00EC1E33">
        <w:t>Detail their relevant skills or expertise.</w:t>
      </w:r>
    </w:p>
    <w:p w14:paraId="13BC365D" w14:textId="1443E694" w:rsidR="00EB0905" w:rsidRPr="00EC1E33" w:rsidRDefault="0075582B" w:rsidP="007C46D8">
      <w:pPr>
        <w:pStyle w:val="Bullet1"/>
      </w:pPr>
      <w:r w:rsidRPr="00EC1E33">
        <w:t>Any other supporting information.</w:t>
      </w:r>
    </w:p>
    <w:sectPr w:rsidR="00EB0905" w:rsidRPr="00EC1E33">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7A846" w14:textId="77777777" w:rsidR="00127E95" w:rsidRDefault="00127E95">
      <w:r>
        <w:separator/>
      </w:r>
    </w:p>
    <w:p w14:paraId="3AEF310A" w14:textId="77777777" w:rsidR="00127E95" w:rsidRDefault="00127E95"/>
    <w:p w14:paraId="05391B8A" w14:textId="77777777" w:rsidR="00127E95" w:rsidRDefault="00127E95"/>
  </w:endnote>
  <w:endnote w:type="continuationSeparator" w:id="0">
    <w:p w14:paraId="4FF17F0E" w14:textId="77777777" w:rsidR="00127E95" w:rsidRDefault="00127E95">
      <w:r>
        <w:continuationSeparator/>
      </w:r>
    </w:p>
    <w:p w14:paraId="7EA40FA1" w14:textId="77777777" w:rsidR="00127E95" w:rsidRDefault="00127E95"/>
    <w:p w14:paraId="76F881A1" w14:textId="77777777" w:rsidR="00127E95" w:rsidRDefault="00127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BF1E5" w14:textId="77777777" w:rsidR="00D23D6A" w:rsidRPr="0026493F" w:rsidRDefault="00D23D6A"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50756" w14:textId="77777777" w:rsidR="00127E95" w:rsidRDefault="00127E95">
      <w:r>
        <w:separator/>
      </w:r>
    </w:p>
  </w:footnote>
  <w:footnote w:type="continuationSeparator" w:id="0">
    <w:p w14:paraId="1311F2E4" w14:textId="77777777" w:rsidR="00127E95" w:rsidRDefault="00127E95">
      <w:pPr>
        <w:spacing w:line="180" w:lineRule="exact"/>
      </w:pPr>
      <w:r>
        <w:continuationSeparator/>
      </w:r>
    </w:p>
    <w:p w14:paraId="329FD09F" w14:textId="77777777" w:rsidR="00127E95" w:rsidRDefault="00127E95"/>
    <w:p w14:paraId="38133BA7" w14:textId="77777777" w:rsidR="00127E95" w:rsidRDefault="00127E95"/>
  </w:footnote>
  <w:footnote w:type="continuationNotice" w:id="1">
    <w:p w14:paraId="5629DBA1" w14:textId="77777777" w:rsidR="00127E95" w:rsidRDefault="00127E95"/>
    <w:p w14:paraId="1EDB9A57" w14:textId="77777777" w:rsidR="00127E95" w:rsidRDefault="00127E95"/>
    <w:p w14:paraId="69BCAFD4" w14:textId="77777777" w:rsidR="00127E95" w:rsidRDefault="00127E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1A852" w14:textId="067FFE7E" w:rsidR="00D23D6A" w:rsidRPr="00311F69" w:rsidRDefault="00311F69" w:rsidP="00311F69">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iv</w:t>
    </w:r>
    <w:r>
      <w:rPr>
        <w:rStyle w:val="PageNumber"/>
        <w:b w:val="0"/>
        <w:caps/>
        <w:szCs w:val="24"/>
      </w:rPr>
      <w:fldChar w:fldCharType="end"/>
    </w:r>
    <w:r>
      <w:tab/>
      <w:t>Renewing the APVMA’s engagement model – Consultation paper</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76BBF" w14:textId="784ADFEF"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71D16" w14:textId="3034BB4D" w:rsidR="00311F69" w:rsidRDefault="00311F69" w:rsidP="00311F69">
    <w:pPr>
      <w:pStyle w:val="OddHeader"/>
    </w:pPr>
    <w:r>
      <w:tab/>
    </w:r>
    <w:r w:rsidRPr="00311F69">
      <w:t>Engagement groups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9</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1A678" w14:textId="12222DC4" w:rsidR="00311F69" w:rsidRDefault="00311F69" w:rsidP="00311F69">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rPr>
      <w:t>iv</w:t>
    </w:r>
    <w:r>
      <w:rPr>
        <w:rStyle w:val="PageNumber"/>
        <w:b w:val="0"/>
        <w:caps/>
        <w:szCs w:val="24"/>
      </w:rPr>
      <w:fldChar w:fldCharType="end"/>
    </w:r>
    <w:r>
      <w:tab/>
      <w:t>Renewing the APVMA’s engagement model – Consultation paper</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A6E40CCA"/>
    <w:lvl w:ilvl="0" w:tplc="053AE648">
      <w:start w:val="1"/>
      <w:numFmt w:val="bullet"/>
      <w:pStyle w:val="Bullet2"/>
      <w:lvlText w:val="–"/>
      <w:lvlJc w:val="left"/>
      <w:pPr>
        <w:ind w:left="70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5E7EC5"/>
    <w:multiLevelType w:val="multilevel"/>
    <w:tmpl w:val="5822A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090AD2"/>
    <w:multiLevelType w:val="hybridMultilevel"/>
    <w:tmpl w:val="99805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632D6"/>
    <w:multiLevelType w:val="hybridMultilevel"/>
    <w:tmpl w:val="156E9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0B6C08"/>
    <w:multiLevelType w:val="hybridMultilevel"/>
    <w:tmpl w:val="D20C9B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A93DF1"/>
    <w:multiLevelType w:val="hybridMultilevel"/>
    <w:tmpl w:val="DD6C3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3BB02B7"/>
    <w:multiLevelType w:val="hybridMultilevel"/>
    <w:tmpl w:val="B24A5D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836341C"/>
    <w:multiLevelType w:val="hybridMultilevel"/>
    <w:tmpl w:val="C25CF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35302058">
    <w:abstractNumId w:val="1"/>
  </w:num>
  <w:num w:numId="2" w16cid:durableId="741297798">
    <w:abstractNumId w:val="6"/>
  </w:num>
  <w:num w:numId="3" w16cid:durableId="491216777">
    <w:abstractNumId w:val="7"/>
  </w:num>
  <w:num w:numId="4" w16cid:durableId="1143350196">
    <w:abstractNumId w:val="0"/>
  </w:num>
  <w:num w:numId="5" w16cid:durableId="507911398">
    <w:abstractNumId w:val="2"/>
  </w:num>
  <w:num w:numId="6" w16cid:durableId="195391456">
    <w:abstractNumId w:val="9"/>
  </w:num>
  <w:num w:numId="7" w16cid:durableId="1669213387">
    <w:abstractNumId w:val="5"/>
  </w:num>
  <w:num w:numId="8" w16cid:durableId="1014265689">
    <w:abstractNumId w:val="8"/>
  </w:num>
  <w:num w:numId="9" w16cid:durableId="1199390131">
    <w:abstractNumId w:val="10"/>
  </w:num>
  <w:num w:numId="10" w16cid:durableId="266275157">
    <w:abstractNumId w:val="4"/>
  </w:num>
  <w:num w:numId="11" w16cid:durableId="1837644295">
    <w:abstractNumId w:val="12"/>
  </w:num>
  <w:num w:numId="12" w16cid:durableId="1869829995">
    <w:abstractNumId w:val="3"/>
  </w:num>
  <w:num w:numId="13" w16cid:durableId="916940577">
    <w:abstractNumId w:val="6"/>
  </w:num>
  <w:num w:numId="14" w16cid:durableId="1617178512">
    <w:abstractNumId w:val="6"/>
  </w:num>
  <w:num w:numId="15" w16cid:durableId="1034577612">
    <w:abstractNumId w:val="6"/>
  </w:num>
  <w:num w:numId="16" w16cid:durableId="466052838">
    <w:abstractNumId w:val="6"/>
  </w:num>
  <w:num w:numId="17" w16cid:durableId="1874531784">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30322"/>
    <w:rsid w:val="000379ED"/>
    <w:rsid w:val="00067828"/>
    <w:rsid w:val="00072542"/>
    <w:rsid w:val="000765C1"/>
    <w:rsid w:val="0008350E"/>
    <w:rsid w:val="00083FCC"/>
    <w:rsid w:val="00084179"/>
    <w:rsid w:val="00086209"/>
    <w:rsid w:val="00096163"/>
    <w:rsid w:val="000A7EF6"/>
    <w:rsid w:val="000C2C1B"/>
    <w:rsid w:val="000C4EE9"/>
    <w:rsid w:val="000D045A"/>
    <w:rsid w:val="000D49ED"/>
    <w:rsid w:val="000E372E"/>
    <w:rsid w:val="000F69BF"/>
    <w:rsid w:val="00120E00"/>
    <w:rsid w:val="00127734"/>
    <w:rsid w:val="00127E95"/>
    <w:rsid w:val="00131738"/>
    <w:rsid w:val="0013792C"/>
    <w:rsid w:val="0014724E"/>
    <w:rsid w:val="001518A2"/>
    <w:rsid w:val="001534D8"/>
    <w:rsid w:val="00167BB3"/>
    <w:rsid w:val="00174E15"/>
    <w:rsid w:val="00184190"/>
    <w:rsid w:val="00193533"/>
    <w:rsid w:val="001A5922"/>
    <w:rsid w:val="001B335C"/>
    <w:rsid w:val="001C6607"/>
    <w:rsid w:val="001D3257"/>
    <w:rsid w:val="001E57AF"/>
    <w:rsid w:val="001F6708"/>
    <w:rsid w:val="00217B58"/>
    <w:rsid w:val="0025418F"/>
    <w:rsid w:val="0025465D"/>
    <w:rsid w:val="0026493F"/>
    <w:rsid w:val="00272DCD"/>
    <w:rsid w:val="00280720"/>
    <w:rsid w:val="00282A32"/>
    <w:rsid w:val="002A3239"/>
    <w:rsid w:val="002A394F"/>
    <w:rsid w:val="002A69DD"/>
    <w:rsid w:val="002B5703"/>
    <w:rsid w:val="002B79AF"/>
    <w:rsid w:val="002C1082"/>
    <w:rsid w:val="002D7779"/>
    <w:rsid w:val="002E05BE"/>
    <w:rsid w:val="002E20AC"/>
    <w:rsid w:val="002F1FAB"/>
    <w:rsid w:val="002F262C"/>
    <w:rsid w:val="002F2782"/>
    <w:rsid w:val="002F2E33"/>
    <w:rsid w:val="002F4591"/>
    <w:rsid w:val="00300EF8"/>
    <w:rsid w:val="0030255E"/>
    <w:rsid w:val="00311F69"/>
    <w:rsid w:val="0031487D"/>
    <w:rsid w:val="00330A9C"/>
    <w:rsid w:val="00346134"/>
    <w:rsid w:val="00347883"/>
    <w:rsid w:val="003506C5"/>
    <w:rsid w:val="00353BD7"/>
    <w:rsid w:val="0037188D"/>
    <w:rsid w:val="00381011"/>
    <w:rsid w:val="00381544"/>
    <w:rsid w:val="00393E2F"/>
    <w:rsid w:val="003A558F"/>
    <w:rsid w:val="003B5A78"/>
    <w:rsid w:val="003C0891"/>
    <w:rsid w:val="003C1A39"/>
    <w:rsid w:val="003C24FC"/>
    <w:rsid w:val="003C7168"/>
    <w:rsid w:val="003D41F7"/>
    <w:rsid w:val="003E1C9B"/>
    <w:rsid w:val="003F6723"/>
    <w:rsid w:val="004070E1"/>
    <w:rsid w:val="0041228F"/>
    <w:rsid w:val="00412703"/>
    <w:rsid w:val="0041559F"/>
    <w:rsid w:val="00435FDC"/>
    <w:rsid w:val="00442DC8"/>
    <w:rsid w:val="00444045"/>
    <w:rsid w:val="00444FF1"/>
    <w:rsid w:val="00454FD9"/>
    <w:rsid w:val="004616C8"/>
    <w:rsid w:val="00461D26"/>
    <w:rsid w:val="004658DD"/>
    <w:rsid w:val="00470304"/>
    <w:rsid w:val="00471F8B"/>
    <w:rsid w:val="00473575"/>
    <w:rsid w:val="00486D2B"/>
    <w:rsid w:val="00494730"/>
    <w:rsid w:val="0049603E"/>
    <w:rsid w:val="004979E1"/>
    <w:rsid w:val="004B7B42"/>
    <w:rsid w:val="004D2C4F"/>
    <w:rsid w:val="005064D5"/>
    <w:rsid w:val="00513E25"/>
    <w:rsid w:val="00515F30"/>
    <w:rsid w:val="00520963"/>
    <w:rsid w:val="005216C7"/>
    <w:rsid w:val="00522E27"/>
    <w:rsid w:val="00531048"/>
    <w:rsid w:val="00544DC2"/>
    <w:rsid w:val="005527B9"/>
    <w:rsid w:val="00556804"/>
    <w:rsid w:val="00560E83"/>
    <w:rsid w:val="00563297"/>
    <w:rsid w:val="00566590"/>
    <w:rsid w:val="00572131"/>
    <w:rsid w:val="00572D44"/>
    <w:rsid w:val="005755D5"/>
    <w:rsid w:val="00576F74"/>
    <w:rsid w:val="00585C7F"/>
    <w:rsid w:val="005935B0"/>
    <w:rsid w:val="00593A30"/>
    <w:rsid w:val="005A1350"/>
    <w:rsid w:val="005A2989"/>
    <w:rsid w:val="005D1A47"/>
    <w:rsid w:val="006110AE"/>
    <w:rsid w:val="00616F76"/>
    <w:rsid w:val="0062466B"/>
    <w:rsid w:val="0062653F"/>
    <w:rsid w:val="00643052"/>
    <w:rsid w:val="0064579C"/>
    <w:rsid w:val="0065244C"/>
    <w:rsid w:val="00657A28"/>
    <w:rsid w:val="006C08BC"/>
    <w:rsid w:val="006C0EC9"/>
    <w:rsid w:val="006C2935"/>
    <w:rsid w:val="006E1405"/>
    <w:rsid w:val="006E24D7"/>
    <w:rsid w:val="006E2753"/>
    <w:rsid w:val="006E33F7"/>
    <w:rsid w:val="00700C27"/>
    <w:rsid w:val="00702B7D"/>
    <w:rsid w:val="007275CF"/>
    <w:rsid w:val="00733C1E"/>
    <w:rsid w:val="00734103"/>
    <w:rsid w:val="00741FDF"/>
    <w:rsid w:val="0075582B"/>
    <w:rsid w:val="0076125B"/>
    <w:rsid w:val="007666CB"/>
    <w:rsid w:val="007703EF"/>
    <w:rsid w:val="00770B96"/>
    <w:rsid w:val="00790A27"/>
    <w:rsid w:val="00794B71"/>
    <w:rsid w:val="0079772A"/>
    <w:rsid w:val="007A1CB6"/>
    <w:rsid w:val="007A27EB"/>
    <w:rsid w:val="007A3101"/>
    <w:rsid w:val="007C295A"/>
    <w:rsid w:val="007C46D8"/>
    <w:rsid w:val="007D2FA8"/>
    <w:rsid w:val="007D41CD"/>
    <w:rsid w:val="007E13F3"/>
    <w:rsid w:val="007E420B"/>
    <w:rsid w:val="007E7599"/>
    <w:rsid w:val="007F0146"/>
    <w:rsid w:val="007F39C0"/>
    <w:rsid w:val="00804B55"/>
    <w:rsid w:val="008067A7"/>
    <w:rsid w:val="008134D4"/>
    <w:rsid w:val="00816CE4"/>
    <w:rsid w:val="0082272B"/>
    <w:rsid w:val="00832D38"/>
    <w:rsid w:val="008362F6"/>
    <w:rsid w:val="008366A3"/>
    <w:rsid w:val="00837F23"/>
    <w:rsid w:val="0084403F"/>
    <w:rsid w:val="00844F6F"/>
    <w:rsid w:val="00847050"/>
    <w:rsid w:val="00852A48"/>
    <w:rsid w:val="008545E1"/>
    <w:rsid w:val="00860B66"/>
    <w:rsid w:val="00862E63"/>
    <w:rsid w:val="00877BE0"/>
    <w:rsid w:val="008872EF"/>
    <w:rsid w:val="008904AD"/>
    <w:rsid w:val="00892292"/>
    <w:rsid w:val="008B550C"/>
    <w:rsid w:val="008C4EA8"/>
    <w:rsid w:val="008C5C0D"/>
    <w:rsid w:val="008C6B9D"/>
    <w:rsid w:val="008E42A6"/>
    <w:rsid w:val="008E4ED4"/>
    <w:rsid w:val="008F14C4"/>
    <w:rsid w:val="008F3015"/>
    <w:rsid w:val="00902601"/>
    <w:rsid w:val="00906E31"/>
    <w:rsid w:val="009136D3"/>
    <w:rsid w:val="00921F10"/>
    <w:rsid w:val="0092637E"/>
    <w:rsid w:val="00932B3D"/>
    <w:rsid w:val="00946BAE"/>
    <w:rsid w:val="0095596C"/>
    <w:rsid w:val="0095647E"/>
    <w:rsid w:val="00972247"/>
    <w:rsid w:val="009823F5"/>
    <w:rsid w:val="009A4448"/>
    <w:rsid w:val="009A493E"/>
    <w:rsid w:val="009A5001"/>
    <w:rsid w:val="009A6D14"/>
    <w:rsid w:val="009A7614"/>
    <w:rsid w:val="009B6ACE"/>
    <w:rsid w:val="009B7BA0"/>
    <w:rsid w:val="009D0E59"/>
    <w:rsid w:val="009D2615"/>
    <w:rsid w:val="009D452E"/>
    <w:rsid w:val="009E0CA2"/>
    <w:rsid w:val="009E2AD6"/>
    <w:rsid w:val="009F16FF"/>
    <w:rsid w:val="00A16B1C"/>
    <w:rsid w:val="00A23729"/>
    <w:rsid w:val="00A2448D"/>
    <w:rsid w:val="00A35765"/>
    <w:rsid w:val="00A4344F"/>
    <w:rsid w:val="00A4426D"/>
    <w:rsid w:val="00A4654C"/>
    <w:rsid w:val="00A6283D"/>
    <w:rsid w:val="00A66116"/>
    <w:rsid w:val="00A77CE7"/>
    <w:rsid w:val="00A87101"/>
    <w:rsid w:val="00AA2C80"/>
    <w:rsid w:val="00AB339C"/>
    <w:rsid w:val="00AB4578"/>
    <w:rsid w:val="00AB659C"/>
    <w:rsid w:val="00AC1B87"/>
    <w:rsid w:val="00AC3D6C"/>
    <w:rsid w:val="00AE1250"/>
    <w:rsid w:val="00AF0361"/>
    <w:rsid w:val="00AF232A"/>
    <w:rsid w:val="00B05454"/>
    <w:rsid w:val="00B15647"/>
    <w:rsid w:val="00B22A6E"/>
    <w:rsid w:val="00B27675"/>
    <w:rsid w:val="00B304E5"/>
    <w:rsid w:val="00B3192C"/>
    <w:rsid w:val="00B4289E"/>
    <w:rsid w:val="00B50074"/>
    <w:rsid w:val="00B82214"/>
    <w:rsid w:val="00BA4622"/>
    <w:rsid w:val="00BB159D"/>
    <w:rsid w:val="00BC2D8F"/>
    <w:rsid w:val="00BC5423"/>
    <w:rsid w:val="00BD021C"/>
    <w:rsid w:val="00BD2289"/>
    <w:rsid w:val="00BD55DB"/>
    <w:rsid w:val="00BD70E8"/>
    <w:rsid w:val="00C04187"/>
    <w:rsid w:val="00C11B83"/>
    <w:rsid w:val="00C27099"/>
    <w:rsid w:val="00C36537"/>
    <w:rsid w:val="00C37B15"/>
    <w:rsid w:val="00C42E7C"/>
    <w:rsid w:val="00C501FF"/>
    <w:rsid w:val="00C53C96"/>
    <w:rsid w:val="00C73D24"/>
    <w:rsid w:val="00C95323"/>
    <w:rsid w:val="00C9656F"/>
    <w:rsid w:val="00CA17DC"/>
    <w:rsid w:val="00CA44DB"/>
    <w:rsid w:val="00CA5459"/>
    <w:rsid w:val="00CB0677"/>
    <w:rsid w:val="00CC559E"/>
    <w:rsid w:val="00CC6A6F"/>
    <w:rsid w:val="00CD6650"/>
    <w:rsid w:val="00CE456A"/>
    <w:rsid w:val="00CE7F45"/>
    <w:rsid w:val="00CF0504"/>
    <w:rsid w:val="00CF1566"/>
    <w:rsid w:val="00CF428C"/>
    <w:rsid w:val="00D00D6F"/>
    <w:rsid w:val="00D10F59"/>
    <w:rsid w:val="00D20236"/>
    <w:rsid w:val="00D23D6A"/>
    <w:rsid w:val="00D24EC5"/>
    <w:rsid w:val="00D3519B"/>
    <w:rsid w:val="00D4143D"/>
    <w:rsid w:val="00D505AD"/>
    <w:rsid w:val="00D6273D"/>
    <w:rsid w:val="00D67788"/>
    <w:rsid w:val="00D77909"/>
    <w:rsid w:val="00D85F5D"/>
    <w:rsid w:val="00D86C44"/>
    <w:rsid w:val="00D87455"/>
    <w:rsid w:val="00D874AA"/>
    <w:rsid w:val="00D93150"/>
    <w:rsid w:val="00D9318E"/>
    <w:rsid w:val="00D942C8"/>
    <w:rsid w:val="00D94CBC"/>
    <w:rsid w:val="00DB3BF5"/>
    <w:rsid w:val="00DC0AD7"/>
    <w:rsid w:val="00DD08E2"/>
    <w:rsid w:val="00E1551E"/>
    <w:rsid w:val="00E211EF"/>
    <w:rsid w:val="00E30533"/>
    <w:rsid w:val="00E318E3"/>
    <w:rsid w:val="00E33D53"/>
    <w:rsid w:val="00E35DE7"/>
    <w:rsid w:val="00E41FED"/>
    <w:rsid w:val="00E62ED0"/>
    <w:rsid w:val="00E65D50"/>
    <w:rsid w:val="00E70840"/>
    <w:rsid w:val="00E72FAF"/>
    <w:rsid w:val="00E7431E"/>
    <w:rsid w:val="00E8604C"/>
    <w:rsid w:val="00E97570"/>
    <w:rsid w:val="00EA511C"/>
    <w:rsid w:val="00EB0905"/>
    <w:rsid w:val="00EB616C"/>
    <w:rsid w:val="00EC1CCC"/>
    <w:rsid w:val="00EC1E33"/>
    <w:rsid w:val="00ED3EDE"/>
    <w:rsid w:val="00EE297E"/>
    <w:rsid w:val="00EE5B09"/>
    <w:rsid w:val="00F0383D"/>
    <w:rsid w:val="00F0784F"/>
    <w:rsid w:val="00F14A2F"/>
    <w:rsid w:val="00F30BDA"/>
    <w:rsid w:val="00F3263B"/>
    <w:rsid w:val="00F448A3"/>
    <w:rsid w:val="00F51AA7"/>
    <w:rsid w:val="00F56C76"/>
    <w:rsid w:val="00F6733A"/>
    <w:rsid w:val="00F70A7E"/>
    <w:rsid w:val="00F71E84"/>
    <w:rsid w:val="00F86984"/>
    <w:rsid w:val="00F916A0"/>
    <w:rsid w:val="00F92A4A"/>
    <w:rsid w:val="00F95D65"/>
    <w:rsid w:val="00FA047C"/>
    <w:rsid w:val="00FA6DF5"/>
    <w:rsid w:val="00FB0015"/>
    <w:rsid w:val="00FC09D2"/>
    <w:rsid w:val="00FC198C"/>
    <w:rsid w:val="00FC1D93"/>
    <w:rsid w:val="00FD344F"/>
    <w:rsid w:val="00FE3A49"/>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B05454"/>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6"/>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572D44"/>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5"/>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4"/>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link w:val="Bullet1Char"/>
    <w:uiPriority w:val="4"/>
    <w:qFormat/>
    <w:rsid w:val="007C46D8"/>
    <w:pPr>
      <w:numPr>
        <w:numId w:val="2"/>
      </w:numPr>
      <w:spacing w:before="120" w:after="120"/>
    </w:pPr>
    <w:rPr>
      <w:sz w:val="20"/>
    </w:rPr>
  </w:style>
  <w:style w:type="paragraph" w:customStyle="1" w:styleId="TableHeadRight">
    <w:name w:val="TableHead_Right"/>
    <w:basedOn w:val="TableHead"/>
    <w:uiPriority w:val="4"/>
    <w:rsid w:val="00C501FF"/>
    <w:pPr>
      <w:jc w:val="right"/>
    </w:pPr>
  </w:style>
  <w:style w:type="paragraph" w:customStyle="1" w:styleId="Bullet2">
    <w:name w:val="Bullet2"/>
    <w:basedOn w:val="Bullet1"/>
    <w:link w:val="Bullet2Char"/>
    <w:uiPriority w:val="4"/>
    <w:qFormat/>
    <w:rsid w:val="002C1082"/>
    <w:pPr>
      <w:numPr>
        <w:numId w:val="1"/>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Table caption"/>
    <w:basedOn w:val="Normal"/>
    <w:next w:val="NormalText"/>
    <w:link w:val="CaptionChar"/>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4"/>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3"/>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Bulletendash">
    <w:name w:val="Bullet en dash"/>
    <w:basedOn w:val="Bullet2"/>
    <w:link w:val="BulletendashChar"/>
    <w:uiPriority w:val="4"/>
    <w:rsid w:val="00DC0AD7"/>
    <w:pPr>
      <w:spacing w:before="1440"/>
      <w:jc w:val="center"/>
    </w:pPr>
    <w:rPr>
      <w:i/>
      <w:noProof/>
      <w:sz w:val="28"/>
      <w:szCs w:val="28"/>
      <w:lang w:eastAsia="en-AU"/>
    </w:rPr>
  </w:style>
  <w:style w:type="character" w:customStyle="1" w:styleId="NormalTextChar">
    <w:name w:val="Normal Text Char"/>
    <w:basedOn w:val="DefaultParagraphFont"/>
    <w:link w:val="NormalText"/>
    <w:rsid w:val="00DC0AD7"/>
    <w:rPr>
      <w:rFonts w:ascii="Arial" w:hAnsi="Arial" w:cs="Arial"/>
      <w:color w:val="1A1B1A" w:themeColor="text1" w:themeShade="80"/>
      <w:kern w:val="20"/>
      <w:sz w:val="19"/>
      <w:szCs w:val="24"/>
      <w:u w:color="000000"/>
      <w:lang w:eastAsia="en-US"/>
    </w:rPr>
  </w:style>
  <w:style w:type="character" w:customStyle="1" w:styleId="Bullet1Char">
    <w:name w:val="Bullet1 Char"/>
    <w:basedOn w:val="NormalTextChar"/>
    <w:link w:val="Bullet1"/>
    <w:uiPriority w:val="4"/>
    <w:rsid w:val="007C46D8"/>
    <w:rPr>
      <w:rFonts w:ascii="Arial" w:hAnsi="Arial" w:cs="Arial"/>
      <w:color w:val="1A1B1A" w:themeColor="text1" w:themeShade="80"/>
      <w:kern w:val="20"/>
      <w:sz w:val="19"/>
      <w:szCs w:val="24"/>
      <w:u w:color="000000"/>
      <w:lang w:eastAsia="en-US"/>
    </w:rPr>
  </w:style>
  <w:style w:type="character" w:customStyle="1" w:styleId="Bullet2Char">
    <w:name w:val="Bullet2 Char"/>
    <w:basedOn w:val="Bullet1Char"/>
    <w:link w:val="Bullet2"/>
    <w:uiPriority w:val="4"/>
    <w:rsid w:val="002C1082"/>
    <w:rPr>
      <w:rFonts w:ascii="Arial" w:hAnsi="Arial" w:cs="Arial"/>
      <w:color w:val="1A1B1A" w:themeColor="text1" w:themeShade="80"/>
      <w:kern w:val="20"/>
      <w:sz w:val="19"/>
      <w:szCs w:val="24"/>
      <w:u w:color="000000"/>
      <w:lang w:eastAsia="en-US"/>
    </w:rPr>
  </w:style>
  <w:style w:type="character" w:customStyle="1" w:styleId="BulletendashChar">
    <w:name w:val="Bullet en dash Char"/>
    <w:basedOn w:val="Bullet2Char"/>
    <w:link w:val="Bulletendash"/>
    <w:uiPriority w:val="4"/>
    <w:rsid w:val="00DC0AD7"/>
    <w:rPr>
      <w:rFonts w:ascii="Arial" w:hAnsi="Arial" w:cs="Arial"/>
      <w:i/>
      <w:noProof/>
      <w:color w:val="1A1B1A" w:themeColor="text1" w:themeShade="80"/>
      <w:kern w:val="20"/>
      <w:sz w:val="28"/>
      <w:szCs w:val="28"/>
      <w:u w:color="000000"/>
      <w:lang w:eastAsia="en-US"/>
    </w:rPr>
  </w:style>
  <w:style w:type="paragraph" w:customStyle="1" w:styleId="Figurecaption">
    <w:name w:val="Figure caption"/>
    <w:basedOn w:val="Caption"/>
    <w:link w:val="FigurecaptionChar"/>
    <w:uiPriority w:val="4"/>
    <w:qFormat/>
    <w:rsid w:val="00412703"/>
  </w:style>
  <w:style w:type="character" w:customStyle="1" w:styleId="CaptionChar">
    <w:name w:val="Caption Char"/>
    <w:aliases w:val="Table caption Char"/>
    <w:basedOn w:val="DefaultParagraphFont"/>
    <w:link w:val="Caption"/>
    <w:uiPriority w:val="4"/>
    <w:rsid w:val="00412703"/>
    <w:rPr>
      <w:rFonts w:ascii="Franklin Gothic Medium" w:hAnsi="Franklin Gothic Medium"/>
      <w:color w:val="5C2946"/>
      <w:szCs w:val="24"/>
      <w:lang w:eastAsia="en-US"/>
    </w:rPr>
  </w:style>
  <w:style w:type="character" w:customStyle="1" w:styleId="FigurecaptionChar">
    <w:name w:val="Figure caption Char"/>
    <w:basedOn w:val="CaptionChar"/>
    <w:link w:val="Figurecaption"/>
    <w:uiPriority w:val="4"/>
    <w:rsid w:val="00412703"/>
    <w:rPr>
      <w:rFonts w:ascii="Franklin Gothic Medium" w:hAnsi="Franklin Gothic Medium"/>
      <w:color w:val="5C2946"/>
      <w:szCs w:val="24"/>
      <w:lang w:eastAsia="en-US"/>
    </w:rPr>
  </w:style>
  <w:style w:type="table" w:styleId="TableGrid">
    <w:name w:val="Table Grid"/>
    <w:basedOn w:val="TableNormal"/>
    <w:uiPriority w:val="39"/>
    <w:rsid w:val="003D4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0379ED"/>
    <w:tblPr>
      <w:tblStyleRowBandSize w:val="1"/>
      <w:tblStyleColBandSize w:val="1"/>
      <w:tblBorders>
        <w:top w:val="single" w:sz="4" w:space="0" w:color="CC96C7" w:themeColor="accent5" w:themeTint="66"/>
        <w:left w:val="single" w:sz="4" w:space="0" w:color="CC96C7" w:themeColor="accent5" w:themeTint="66"/>
        <w:bottom w:val="single" w:sz="4" w:space="0" w:color="CC96C7" w:themeColor="accent5" w:themeTint="66"/>
        <w:right w:val="single" w:sz="4" w:space="0" w:color="CC96C7" w:themeColor="accent5" w:themeTint="66"/>
        <w:insideH w:val="single" w:sz="4" w:space="0" w:color="CC96C7" w:themeColor="accent5" w:themeTint="66"/>
        <w:insideV w:val="single" w:sz="4" w:space="0" w:color="CC96C7" w:themeColor="accent5" w:themeTint="66"/>
      </w:tblBorders>
    </w:tblPr>
    <w:tblStylePr w:type="firstRow">
      <w:rPr>
        <w:b/>
        <w:bCs/>
      </w:rPr>
      <w:tblPr/>
      <w:tcPr>
        <w:tcBorders>
          <w:bottom w:val="single" w:sz="12" w:space="0" w:color="B362AB" w:themeColor="accent5" w:themeTint="99"/>
        </w:tcBorders>
      </w:tcPr>
    </w:tblStylePr>
    <w:tblStylePr w:type="lastRow">
      <w:rPr>
        <w:b/>
        <w:bCs/>
      </w:rPr>
      <w:tblPr/>
      <w:tcPr>
        <w:tcBorders>
          <w:top w:val="double" w:sz="2" w:space="0" w:color="B362AB" w:themeColor="accent5" w:themeTint="99"/>
        </w:tcBorders>
      </w:tcPr>
    </w:tblStylePr>
    <w:tblStylePr w:type="firstCol">
      <w:rPr>
        <w:b/>
        <w:bCs/>
      </w:rPr>
    </w:tblStylePr>
    <w:tblStylePr w:type="lastCol">
      <w:rPr>
        <w:b/>
        <w:bCs/>
      </w:rPr>
    </w:tblStylePr>
  </w:style>
  <w:style w:type="paragraph" w:customStyle="1" w:styleId="Default">
    <w:name w:val="Default"/>
    <w:rsid w:val="00837F23"/>
    <w:pPr>
      <w:autoSpaceDE w:val="0"/>
      <w:autoSpaceDN w:val="0"/>
      <w:adjustRightInd w:val="0"/>
    </w:pPr>
    <w:rPr>
      <w:rFonts w:ascii="Segoe UI" w:hAnsi="Segoe UI" w:cs="Segoe UI"/>
      <w:color w:val="000000"/>
      <w:sz w:val="24"/>
      <w:szCs w:val="24"/>
    </w:rPr>
  </w:style>
  <w:style w:type="table" w:styleId="PlainTable3">
    <w:name w:val="Plain Table 3"/>
    <w:basedOn w:val="TableNormal"/>
    <w:uiPriority w:val="43"/>
    <w:rsid w:val="00733C1E"/>
    <w:tblPr>
      <w:tblStyleRowBandSize w:val="1"/>
      <w:tblStyleColBandSize w:val="1"/>
    </w:tblPr>
    <w:tblStylePr w:type="firstRow">
      <w:rPr>
        <w:b/>
        <w:bCs/>
        <w:caps/>
      </w:rPr>
      <w:tblPr/>
      <w:tcPr>
        <w:tcBorders>
          <w:bottom w:val="single" w:sz="4" w:space="0" w:color="989C9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89C98" w:themeColor="text1" w:themeTint="80"/>
        </w:tcBorders>
      </w:tcPr>
    </w:tblStylePr>
    <w:tblStylePr w:type="lastCol">
      <w:rPr>
        <w:b/>
        <w:bCs/>
        <w:caps/>
      </w:rPr>
      <w:tblPr/>
      <w:tcPr>
        <w:tcBorders>
          <w:left w:val="nil"/>
        </w:tcBorders>
      </w:tcPr>
    </w:tblStylePr>
    <w:tblStylePr w:type="band1Vert">
      <w:tblPr/>
      <w:tcPr>
        <w:shd w:val="clear" w:color="auto" w:fill="DEA100" w:themeFill="background1" w:themeFillShade="F2"/>
      </w:tcPr>
    </w:tblStylePr>
    <w:tblStylePr w:type="band1Horz">
      <w:tblPr/>
      <w:tcPr>
        <w:shd w:val="clear" w:color="auto" w:fill="DEA100"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5">
    <w:name w:val="List Table 3 Accent 5"/>
    <w:basedOn w:val="TableNormal"/>
    <w:uiPriority w:val="48"/>
    <w:rsid w:val="00733C1E"/>
    <w:tblPr>
      <w:tblStyleRowBandSize w:val="1"/>
      <w:tblStyleColBandSize w:val="1"/>
      <w:tblBorders>
        <w:top w:val="single" w:sz="4" w:space="0" w:color="53284F" w:themeColor="accent5"/>
        <w:left w:val="single" w:sz="4" w:space="0" w:color="53284F" w:themeColor="accent5"/>
        <w:bottom w:val="single" w:sz="4" w:space="0" w:color="53284F" w:themeColor="accent5"/>
        <w:right w:val="single" w:sz="4" w:space="0" w:color="53284F" w:themeColor="accent5"/>
      </w:tblBorders>
    </w:tblPr>
    <w:tblStylePr w:type="firstRow">
      <w:rPr>
        <w:b/>
        <w:bCs/>
        <w:color w:val="EAAB00" w:themeColor="background1"/>
      </w:rPr>
      <w:tblPr/>
      <w:tcPr>
        <w:shd w:val="clear" w:color="auto" w:fill="53284F" w:themeFill="accent5"/>
      </w:tcPr>
    </w:tblStylePr>
    <w:tblStylePr w:type="lastRow">
      <w:rPr>
        <w:b/>
        <w:bCs/>
      </w:rPr>
      <w:tblPr/>
      <w:tcPr>
        <w:tcBorders>
          <w:top w:val="double" w:sz="4" w:space="0" w:color="53284F" w:themeColor="accent5"/>
        </w:tcBorders>
        <w:shd w:val="clear" w:color="auto" w:fill="EAAB00" w:themeFill="background1"/>
      </w:tcPr>
    </w:tblStylePr>
    <w:tblStylePr w:type="firstCol">
      <w:rPr>
        <w:b/>
        <w:bCs/>
      </w:rPr>
      <w:tblPr/>
      <w:tcPr>
        <w:tcBorders>
          <w:right w:val="nil"/>
        </w:tcBorders>
        <w:shd w:val="clear" w:color="auto" w:fill="EAAB00" w:themeFill="background1"/>
      </w:tcPr>
    </w:tblStylePr>
    <w:tblStylePr w:type="lastCol">
      <w:rPr>
        <w:b/>
        <w:bCs/>
      </w:rPr>
      <w:tblPr/>
      <w:tcPr>
        <w:tcBorders>
          <w:left w:val="nil"/>
        </w:tcBorders>
        <w:shd w:val="clear" w:color="auto" w:fill="EAAB00" w:themeFill="background1"/>
      </w:tcPr>
    </w:tblStylePr>
    <w:tblStylePr w:type="band1Vert">
      <w:tblPr/>
      <w:tcPr>
        <w:tcBorders>
          <w:left w:val="single" w:sz="4" w:space="0" w:color="53284F" w:themeColor="accent5"/>
          <w:right w:val="single" w:sz="4" w:space="0" w:color="53284F" w:themeColor="accent5"/>
        </w:tcBorders>
      </w:tcPr>
    </w:tblStylePr>
    <w:tblStylePr w:type="band1Horz">
      <w:tblPr/>
      <w:tcPr>
        <w:tcBorders>
          <w:top w:val="single" w:sz="4" w:space="0" w:color="53284F" w:themeColor="accent5"/>
          <w:bottom w:val="single" w:sz="4" w:space="0" w:color="53284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284F" w:themeColor="accent5"/>
          <w:left w:val="nil"/>
        </w:tcBorders>
      </w:tcPr>
    </w:tblStylePr>
    <w:tblStylePr w:type="swCell">
      <w:tblPr/>
      <w:tcPr>
        <w:tcBorders>
          <w:top w:val="double" w:sz="4" w:space="0" w:color="53284F" w:themeColor="accent5"/>
          <w:right w:val="nil"/>
        </w:tcBorders>
      </w:tcPr>
    </w:tblStylePr>
  </w:style>
  <w:style w:type="paragraph" w:customStyle="1" w:styleId="APVMAnormal">
    <w:name w:val="APVMA normal"/>
    <w:basedOn w:val="Normal"/>
    <w:qFormat/>
    <w:rsid w:val="003C7168"/>
    <w:pPr>
      <w:spacing w:before="240" w:after="240" w:line="280" w:lineRule="exact"/>
    </w:pPr>
    <w:rPr>
      <w:rFonts w:eastAsiaTheme="minorHAnsi" w:cstheme="minorBidi"/>
      <w:color w:val="auto"/>
      <w:sz w:val="20"/>
      <w:szCs w:val="22"/>
    </w:rPr>
  </w:style>
  <w:style w:type="paragraph" w:styleId="ListParagraph">
    <w:name w:val="List Paragraph"/>
    <w:basedOn w:val="Normal"/>
    <w:uiPriority w:val="34"/>
    <w:qFormat/>
    <w:rsid w:val="0075582B"/>
    <w:pPr>
      <w:spacing w:before="0" w:after="160" w:line="259" w:lineRule="auto"/>
      <w:ind w:left="720"/>
      <w:contextualSpacing/>
    </w:pPr>
    <w:rPr>
      <w:rFonts w:asciiTheme="minorHAnsi" w:eastAsiaTheme="minorHAnsi" w:hAnsiTheme="minorHAnsi" w:cstheme="minorBidi"/>
      <w:color w:val="auto"/>
      <w:sz w:val="22"/>
      <w:szCs w:val="22"/>
    </w:rPr>
  </w:style>
  <w:style w:type="table" w:customStyle="1" w:styleId="CERTable">
    <w:name w:val="CER Table"/>
    <w:basedOn w:val="TableNormal"/>
    <w:uiPriority w:val="99"/>
    <w:rsid w:val="00D87455"/>
    <w:pPr>
      <w:spacing w:before="120"/>
    </w:pPr>
    <w:rPr>
      <w:rFonts w:ascii="Calibri" w:eastAsia="Cambria" w:hAnsi="Calibri"/>
      <w:color w:val="353735" w:themeColor="text1"/>
      <w:kern w:val="2"/>
    </w:rPr>
    <w:tblPr>
      <w:tblStyleRowBandSize w:val="1"/>
      <w:tblInd w:w="0" w:type="nil"/>
      <w:tblBorders>
        <w:top w:val="single" w:sz="8" w:space="0" w:color="53682B" w:themeColor="accent2"/>
        <w:bottom w:val="single" w:sz="8" w:space="0" w:color="53682B" w:themeColor="accent2"/>
        <w:insideH w:val="single" w:sz="8" w:space="0" w:color="00747A" w:themeColor="background2"/>
      </w:tblBorders>
    </w:tblPr>
    <w:tblStylePr w:type="firstRow">
      <w:pPr>
        <w:wordWrap/>
        <w:spacing w:beforeLines="0" w:before="100" w:beforeAutospacing="1" w:afterLines="0" w:after="100" w:afterAutospacing="1" w:line="240" w:lineRule="auto"/>
        <w:ind w:leftChars="0" w:left="0" w:rightChars="0" w:right="0"/>
        <w:mirrorIndents w:val="0"/>
        <w:jc w:val="left"/>
        <w:outlineLvl w:val="9"/>
      </w:pPr>
      <w:rPr>
        <w:rFonts w:asciiTheme="minorHAnsi" w:hAnsiTheme="minorHAnsi" w:cs="Calibri" w:hint="default"/>
        <w:b/>
        <w:color w:val="auto"/>
        <w:sz w:val="20"/>
        <w:szCs w:val="20"/>
      </w:rPr>
      <w:tblPr/>
      <w:tcPr>
        <w:tcBorders>
          <w:top w:val="nil"/>
          <w:left w:val="nil"/>
          <w:bottom w:val="single" w:sz="18" w:space="0" w:color="53682B" w:themeColor="accent2"/>
          <w:right w:val="nil"/>
          <w:insideH w:val="nil"/>
          <w:insideV w:val="nil"/>
          <w:tl2br w:val="nil"/>
          <w:tr2bl w:val="nil"/>
        </w:tcBorders>
        <w:shd w:val="clear" w:color="auto" w:fill="00747A" w:themeFill="background2"/>
      </w:tcPr>
    </w:tblStylePr>
    <w:tblStylePr w:type="lastRow">
      <w:pPr>
        <w:wordWrap/>
        <w:spacing w:beforeLines="0" w:before="100" w:beforeAutospacing="1" w:afterLines="0" w:after="100" w:afterAutospacing="1"/>
      </w:pPr>
      <w:rPr>
        <w:rFonts w:asciiTheme="minorHAnsi" w:hAnsiTheme="minorHAnsi" w:cs="Calibri" w:hint="default"/>
        <w:b/>
      </w:rPr>
      <w:tblPr/>
      <w:tcPr>
        <w:vAlign w:val="center"/>
      </w:tcPr>
    </w:tblStylePr>
    <w:tblStylePr w:type="firstCol">
      <w:pPr>
        <w:wordWrap/>
        <w:ind w:leftChars="0" w:left="0" w:rightChars="0" w:right="0"/>
      </w:pPr>
      <w:rPr>
        <w:rFonts w:ascii="Calibri" w:hAnsi="Calibri" w:cs="Calibri" w:hint="default"/>
        <w:b/>
        <w:i w:val="0"/>
        <w:color w:val="353735" w:themeColor="text1"/>
      </w:rPr>
      <w:tblPr/>
      <w:tcPr>
        <w:shd w:val="clear" w:color="auto" w:fill="DEA100" w:themeFill="background1" w:themeFillShade="F2"/>
      </w:tcPr>
    </w:tblStylePr>
    <w:tblStylePr w:type="band1Horz">
      <w:rPr>
        <w:rFonts w:asciiTheme="minorHAnsi" w:hAnsiTheme="minorHAnsi" w:cs="Calibri" w:hint="default"/>
      </w:rPr>
      <w:tblPr/>
      <w:tcPr>
        <w:tcBorders>
          <w:top w:val="nil"/>
          <w:left w:val="nil"/>
          <w:bottom w:val="single" w:sz="4" w:space="0" w:color="00686E" w:themeColor="background2" w:themeShade="E6"/>
          <w:right w:val="nil"/>
          <w:insideH w:val="nil"/>
          <w:insideV w:val="nil"/>
          <w:tl2br w:val="nil"/>
          <w:tr2bl w:val="nil"/>
        </w:tcBorders>
      </w:tcPr>
    </w:tblStylePr>
    <w:tblStylePr w:type="band2Horz">
      <w:rPr>
        <w:rFonts w:asciiTheme="minorHAnsi" w:hAnsiTheme="minorHAnsi" w:cs="Calibri" w:hint="default"/>
      </w:rPr>
      <w:tblPr/>
      <w:tcPr>
        <w:tcBorders>
          <w:insideH w:val="nil"/>
        </w:tcBorders>
      </w:tcPr>
    </w:tblStylePr>
  </w:style>
  <w:style w:type="character" w:styleId="UnresolvedMention">
    <w:name w:val="Unresolved Mention"/>
    <w:basedOn w:val="DefaultParagraphFont"/>
    <w:uiPriority w:val="99"/>
    <w:semiHidden/>
    <w:unhideWhenUsed/>
    <w:rsid w:val="00072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3765">
      <w:bodyDiv w:val="1"/>
      <w:marLeft w:val="0"/>
      <w:marRight w:val="0"/>
      <w:marTop w:val="0"/>
      <w:marBottom w:val="0"/>
      <w:divBdr>
        <w:top w:val="none" w:sz="0" w:space="0" w:color="auto"/>
        <w:left w:val="none" w:sz="0" w:space="0" w:color="auto"/>
        <w:bottom w:val="none" w:sz="0" w:space="0" w:color="auto"/>
        <w:right w:val="none" w:sz="0" w:space="0" w:color="auto"/>
      </w:divBdr>
    </w:div>
    <w:div w:id="27683207">
      <w:bodyDiv w:val="1"/>
      <w:marLeft w:val="0"/>
      <w:marRight w:val="0"/>
      <w:marTop w:val="0"/>
      <w:marBottom w:val="0"/>
      <w:divBdr>
        <w:top w:val="none" w:sz="0" w:space="0" w:color="auto"/>
        <w:left w:val="none" w:sz="0" w:space="0" w:color="auto"/>
        <w:bottom w:val="none" w:sz="0" w:space="0" w:color="auto"/>
        <w:right w:val="none" w:sz="0" w:space="0" w:color="auto"/>
      </w:divBdr>
    </w:div>
    <w:div w:id="279922023">
      <w:bodyDiv w:val="1"/>
      <w:marLeft w:val="0"/>
      <w:marRight w:val="0"/>
      <w:marTop w:val="0"/>
      <w:marBottom w:val="0"/>
      <w:divBdr>
        <w:top w:val="none" w:sz="0" w:space="0" w:color="auto"/>
        <w:left w:val="none" w:sz="0" w:space="0" w:color="auto"/>
        <w:bottom w:val="none" w:sz="0" w:space="0" w:color="auto"/>
        <w:right w:val="none" w:sz="0" w:space="0" w:color="auto"/>
      </w:divBdr>
    </w:div>
    <w:div w:id="445466592">
      <w:bodyDiv w:val="1"/>
      <w:marLeft w:val="0"/>
      <w:marRight w:val="0"/>
      <w:marTop w:val="0"/>
      <w:marBottom w:val="0"/>
      <w:divBdr>
        <w:top w:val="none" w:sz="0" w:space="0" w:color="auto"/>
        <w:left w:val="none" w:sz="0" w:space="0" w:color="auto"/>
        <w:bottom w:val="none" w:sz="0" w:space="0" w:color="auto"/>
        <w:right w:val="none" w:sz="0" w:space="0" w:color="auto"/>
      </w:divBdr>
    </w:div>
    <w:div w:id="502624996">
      <w:bodyDiv w:val="1"/>
      <w:marLeft w:val="0"/>
      <w:marRight w:val="0"/>
      <w:marTop w:val="0"/>
      <w:marBottom w:val="0"/>
      <w:divBdr>
        <w:top w:val="none" w:sz="0" w:space="0" w:color="auto"/>
        <w:left w:val="none" w:sz="0" w:space="0" w:color="auto"/>
        <w:bottom w:val="none" w:sz="0" w:space="0" w:color="auto"/>
        <w:right w:val="none" w:sz="0" w:space="0" w:color="auto"/>
      </w:divBdr>
    </w:div>
    <w:div w:id="511726617">
      <w:bodyDiv w:val="1"/>
      <w:marLeft w:val="0"/>
      <w:marRight w:val="0"/>
      <w:marTop w:val="0"/>
      <w:marBottom w:val="0"/>
      <w:divBdr>
        <w:top w:val="none" w:sz="0" w:space="0" w:color="auto"/>
        <w:left w:val="none" w:sz="0" w:space="0" w:color="auto"/>
        <w:bottom w:val="none" w:sz="0" w:space="0" w:color="auto"/>
        <w:right w:val="none" w:sz="0" w:space="0" w:color="auto"/>
      </w:divBdr>
    </w:div>
    <w:div w:id="709037447">
      <w:bodyDiv w:val="1"/>
      <w:marLeft w:val="0"/>
      <w:marRight w:val="0"/>
      <w:marTop w:val="0"/>
      <w:marBottom w:val="0"/>
      <w:divBdr>
        <w:top w:val="none" w:sz="0" w:space="0" w:color="auto"/>
        <w:left w:val="none" w:sz="0" w:space="0" w:color="auto"/>
        <w:bottom w:val="none" w:sz="0" w:space="0" w:color="auto"/>
        <w:right w:val="none" w:sz="0" w:space="0" w:color="auto"/>
      </w:divBdr>
    </w:div>
    <w:div w:id="762341301">
      <w:bodyDiv w:val="1"/>
      <w:marLeft w:val="0"/>
      <w:marRight w:val="0"/>
      <w:marTop w:val="0"/>
      <w:marBottom w:val="0"/>
      <w:divBdr>
        <w:top w:val="none" w:sz="0" w:space="0" w:color="auto"/>
        <w:left w:val="none" w:sz="0" w:space="0" w:color="auto"/>
        <w:bottom w:val="none" w:sz="0" w:space="0" w:color="auto"/>
        <w:right w:val="none" w:sz="0" w:space="0" w:color="auto"/>
      </w:divBdr>
    </w:div>
    <w:div w:id="795417344">
      <w:bodyDiv w:val="1"/>
      <w:marLeft w:val="0"/>
      <w:marRight w:val="0"/>
      <w:marTop w:val="0"/>
      <w:marBottom w:val="0"/>
      <w:divBdr>
        <w:top w:val="none" w:sz="0" w:space="0" w:color="auto"/>
        <w:left w:val="none" w:sz="0" w:space="0" w:color="auto"/>
        <w:bottom w:val="none" w:sz="0" w:space="0" w:color="auto"/>
        <w:right w:val="none" w:sz="0" w:space="0" w:color="auto"/>
      </w:divBdr>
    </w:div>
    <w:div w:id="835146074">
      <w:bodyDiv w:val="1"/>
      <w:marLeft w:val="0"/>
      <w:marRight w:val="0"/>
      <w:marTop w:val="0"/>
      <w:marBottom w:val="0"/>
      <w:divBdr>
        <w:top w:val="none" w:sz="0" w:space="0" w:color="auto"/>
        <w:left w:val="none" w:sz="0" w:space="0" w:color="auto"/>
        <w:bottom w:val="none" w:sz="0" w:space="0" w:color="auto"/>
        <w:right w:val="none" w:sz="0" w:space="0" w:color="auto"/>
      </w:divBdr>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933978258">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045521789">
      <w:bodyDiv w:val="1"/>
      <w:marLeft w:val="0"/>
      <w:marRight w:val="0"/>
      <w:marTop w:val="0"/>
      <w:marBottom w:val="0"/>
      <w:divBdr>
        <w:top w:val="none" w:sz="0" w:space="0" w:color="auto"/>
        <w:left w:val="none" w:sz="0" w:space="0" w:color="auto"/>
        <w:bottom w:val="none" w:sz="0" w:space="0" w:color="auto"/>
        <w:right w:val="none" w:sz="0" w:space="0" w:color="auto"/>
      </w:divBdr>
    </w:div>
    <w:div w:id="1071006956">
      <w:bodyDiv w:val="1"/>
      <w:marLeft w:val="0"/>
      <w:marRight w:val="0"/>
      <w:marTop w:val="0"/>
      <w:marBottom w:val="0"/>
      <w:divBdr>
        <w:top w:val="none" w:sz="0" w:space="0" w:color="auto"/>
        <w:left w:val="none" w:sz="0" w:space="0" w:color="auto"/>
        <w:bottom w:val="none" w:sz="0" w:space="0" w:color="auto"/>
        <w:right w:val="none" w:sz="0" w:space="0" w:color="auto"/>
      </w:divBdr>
    </w:div>
    <w:div w:id="154620917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 w:id="1715036126">
      <w:bodyDiv w:val="1"/>
      <w:marLeft w:val="0"/>
      <w:marRight w:val="0"/>
      <w:marTop w:val="0"/>
      <w:marBottom w:val="0"/>
      <w:divBdr>
        <w:top w:val="none" w:sz="0" w:space="0" w:color="auto"/>
        <w:left w:val="none" w:sz="0" w:space="0" w:color="auto"/>
        <w:bottom w:val="none" w:sz="0" w:space="0" w:color="auto"/>
        <w:right w:val="none" w:sz="0" w:space="0" w:color="auto"/>
      </w:divBdr>
    </w:div>
    <w:div w:id="1747260885">
      <w:bodyDiv w:val="1"/>
      <w:marLeft w:val="0"/>
      <w:marRight w:val="0"/>
      <w:marTop w:val="0"/>
      <w:marBottom w:val="0"/>
      <w:divBdr>
        <w:top w:val="none" w:sz="0" w:space="0" w:color="auto"/>
        <w:left w:val="none" w:sz="0" w:space="0" w:color="auto"/>
        <w:bottom w:val="none" w:sz="0" w:space="0" w:color="auto"/>
        <w:right w:val="none" w:sz="0" w:space="0" w:color="auto"/>
      </w:divBdr>
    </w:div>
    <w:div w:id="1943608378">
      <w:bodyDiv w:val="1"/>
      <w:marLeft w:val="0"/>
      <w:marRight w:val="0"/>
      <w:marTop w:val="0"/>
      <w:marBottom w:val="0"/>
      <w:divBdr>
        <w:top w:val="none" w:sz="0" w:space="0" w:color="auto"/>
        <w:left w:val="none" w:sz="0" w:space="0" w:color="auto"/>
        <w:bottom w:val="none" w:sz="0" w:space="0" w:color="auto"/>
        <w:right w:val="none" w:sz="0" w:space="0" w:color="auto"/>
      </w:divBdr>
    </w:div>
    <w:div w:id="2104716899">
      <w:bodyDiv w:val="1"/>
      <w:marLeft w:val="0"/>
      <w:marRight w:val="0"/>
      <w:marTop w:val="0"/>
      <w:marBottom w:val="0"/>
      <w:divBdr>
        <w:top w:val="none" w:sz="0" w:space="0" w:color="auto"/>
        <w:left w:val="none" w:sz="0" w:space="0" w:color="auto"/>
        <w:bottom w:val="none" w:sz="0" w:space="0" w:color="auto"/>
        <w:right w:val="none" w:sz="0" w:space="0" w:color="auto"/>
      </w:divBdr>
    </w:div>
    <w:div w:id="212850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ativecommons.org/licenses/by/4.0/" TargetMode="External"/><Relationship Id="rId18" Type="http://schemas.openxmlformats.org/officeDocument/2006/relationships/header" Target="header2.xml"/><Relationship Id="rId26" Type="http://schemas.openxmlformats.org/officeDocument/2006/relationships/diagramColors" Target="diagrams/colors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www.apvma.gov.au" TargetMode="Externa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yperlink" Target="mailto:communications@apvma.gov.au" TargetMode="External"/><Relationship Id="rId23" Type="http://schemas.openxmlformats.org/officeDocument/2006/relationships/diagramData" Target="diagrams/data1.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4.0/legalcode" TargetMode="External"/><Relationship Id="rId22" Type="http://schemas.openxmlformats.org/officeDocument/2006/relationships/hyperlink" Target="https://www.agriculture.gov.au/agriculture-land/farm-food-drought/ag-vet-chemicals/better-regulation-of-ag-vet-chemicals/rapid-evaluation-detailed-response/apvma-rapid-evaluation" TargetMode="External"/><Relationship Id="rId27" Type="http://schemas.microsoft.com/office/2007/relationships/diagramDrawing" Target="diagrams/drawing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31F37B-D856-4DA5-9D1A-54194F386AA1}" type="doc">
      <dgm:prSet loTypeId="urn:microsoft.com/office/officeart/2005/8/layout/hierarchy6" loCatId="hierarchy" qsTypeId="urn:microsoft.com/office/officeart/2005/8/quickstyle/simple1" qsCatId="simple" csTypeId="urn:microsoft.com/office/officeart/2005/8/colors/colorful3" csCatId="colorful" phldr="1"/>
      <dgm:spPr/>
      <dgm:t>
        <a:bodyPr/>
        <a:lstStyle/>
        <a:p>
          <a:endParaRPr lang="en-AU"/>
        </a:p>
      </dgm:t>
    </dgm:pt>
    <dgm:pt modelId="{E1A8BEDE-E0C5-4D88-BED3-E536FD0DE83D}">
      <dgm:prSet phldrT="[Text]"/>
      <dgm:spPr>
        <a:solidFill>
          <a:schemeClr val="accent2">
            <a:lumMod val="75000"/>
          </a:schemeClr>
        </a:solidFill>
        <a:ln>
          <a:noFill/>
        </a:ln>
      </dgm:spPr>
      <dgm:t>
        <a:bodyPr/>
        <a:lstStyle/>
        <a:p>
          <a:pPr>
            <a:lnSpc>
              <a:spcPct val="100000"/>
            </a:lnSpc>
          </a:pPr>
          <a:r>
            <a:rPr lang="en-AU" b="1">
              <a:solidFill>
                <a:schemeClr val="accent1">
                  <a:lumMod val="20000"/>
                  <a:lumOff val="80000"/>
                </a:schemeClr>
              </a:solidFill>
            </a:rPr>
            <a:t>National Registration Scheme (NRS) Advisory Group</a:t>
          </a:r>
        </a:p>
      </dgm:t>
    </dgm:pt>
    <dgm:pt modelId="{62F57B24-5A79-4E59-981D-3FDA07CDD17A}" type="parTrans" cxnId="{4D45DCAB-92EF-49E0-9249-19E682A8F3A5}">
      <dgm:prSet>
        <dgm:style>
          <a:lnRef idx="3">
            <a:schemeClr val="dk1"/>
          </a:lnRef>
          <a:fillRef idx="0">
            <a:schemeClr val="dk1"/>
          </a:fillRef>
          <a:effectRef idx="2">
            <a:schemeClr val="dk1"/>
          </a:effectRef>
          <a:fontRef idx="minor">
            <a:schemeClr val="tx1"/>
          </a:fontRef>
        </dgm:style>
      </dgm:prSet>
      <dgm:spPr>
        <a:ln>
          <a:headEnd type="none" w="med" len="med"/>
          <a:tailEnd type="none" w="med" len="med"/>
        </a:ln>
      </dgm:spPr>
      <dgm:t>
        <a:bodyPr/>
        <a:lstStyle/>
        <a:p>
          <a:pPr>
            <a:lnSpc>
              <a:spcPct val="100000"/>
            </a:lnSpc>
          </a:pPr>
          <a:endParaRPr lang="en-AU"/>
        </a:p>
      </dgm:t>
    </dgm:pt>
    <dgm:pt modelId="{1049653A-DE13-48B9-B123-B54451F832E8}" type="sibTrans" cxnId="{4D45DCAB-92EF-49E0-9249-19E682A8F3A5}">
      <dgm:prSet/>
      <dgm:spPr/>
      <dgm:t>
        <a:bodyPr/>
        <a:lstStyle/>
        <a:p>
          <a:pPr>
            <a:lnSpc>
              <a:spcPct val="100000"/>
            </a:lnSpc>
          </a:pPr>
          <a:endParaRPr lang="en-AU"/>
        </a:p>
      </dgm:t>
    </dgm:pt>
    <dgm:pt modelId="{CBE6495C-375F-42B1-AF4E-06DFF0D09B17}">
      <dgm:prSet phldrT="[Text]"/>
      <dgm:spPr>
        <a:ln>
          <a:noFill/>
        </a:ln>
      </dgm:spPr>
      <dgm:t>
        <a:bodyPr/>
        <a:lstStyle/>
        <a:p>
          <a:pPr>
            <a:lnSpc>
              <a:spcPct val="100000"/>
            </a:lnSpc>
          </a:pPr>
          <a:r>
            <a:rPr lang="en-AU" b="1">
              <a:solidFill>
                <a:schemeClr val="accent1">
                  <a:lumMod val="20000"/>
                  <a:lumOff val="80000"/>
                </a:schemeClr>
              </a:solidFill>
            </a:rPr>
            <a:t>APVMA Advisory Group</a:t>
          </a:r>
        </a:p>
      </dgm:t>
    </dgm:pt>
    <dgm:pt modelId="{434AB333-DF34-4016-929E-F96BBA3BEAB0}" type="parTrans" cxnId="{D455CCDE-5BBC-4E95-8295-E4D3ECD2F1FC}">
      <dgm:prSet>
        <dgm:style>
          <a:lnRef idx="3">
            <a:schemeClr val="dk1"/>
          </a:lnRef>
          <a:fillRef idx="0">
            <a:schemeClr val="dk1"/>
          </a:fillRef>
          <a:effectRef idx="2">
            <a:schemeClr val="dk1"/>
          </a:effectRef>
          <a:fontRef idx="minor">
            <a:schemeClr val="tx1"/>
          </a:fontRef>
        </dgm:style>
      </dgm:prSet>
      <dgm:spPr>
        <a:ln>
          <a:prstDash val="solid"/>
          <a:headEnd type="none" w="med" len="med"/>
          <a:tailEnd type="none" w="med" len="med"/>
        </a:ln>
      </dgm:spPr>
      <dgm:t>
        <a:bodyPr/>
        <a:lstStyle/>
        <a:p>
          <a:pPr>
            <a:lnSpc>
              <a:spcPct val="100000"/>
            </a:lnSpc>
          </a:pPr>
          <a:endParaRPr lang="en-AU"/>
        </a:p>
      </dgm:t>
    </dgm:pt>
    <dgm:pt modelId="{F4F06BEE-C947-4641-A576-7B6E62BA773C}" type="sibTrans" cxnId="{D455CCDE-5BBC-4E95-8295-E4D3ECD2F1FC}">
      <dgm:prSet/>
      <dgm:spPr/>
      <dgm:t>
        <a:bodyPr/>
        <a:lstStyle/>
        <a:p>
          <a:pPr>
            <a:lnSpc>
              <a:spcPct val="100000"/>
            </a:lnSpc>
          </a:pPr>
          <a:endParaRPr lang="en-AU"/>
        </a:p>
      </dgm:t>
    </dgm:pt>
    <dgm:pt modelId="{346296DF-A750-4DF1-8A1C-6F499FD41F81}">
      <dgm:prSet phldrT="[Text]" custT="1"/>
      <dgm:spPr/>
      <dgm:t>
        <a:bodyPr/>
        <a:lstStyle/>
        <a:p>
          <a:pPr>
            <a:lnSpc>
              <a:spcPct val="100000"/>
            </a:lnSpc>
          </a:pPr>
          <a:r>
            <a:rPr lang="en-AU" sz="900" u="none"/>
            <a:t>Representatives of registrants, users, and suppliers of agvet chemicals, and NGO's with a specific interest in statutory criteria's of safety, efficacy, trade and labelling</a:t>
          </a:r>
          <a:endParaRPr lang="en-AU" sz="900"/>
        </a:p>
      </dgm:t>
    </dgm:pt>
    <dgm:pt modelId="{461B6C69-C9BB-459B-BC8A-5658D3F73AF1}" type="parTrans" cxnId="{2E5BA4CD-B16A-4E2C-BF0E-3988FC3BA2F4}">
      <dgm:prSet/>
      <dgm:spPr/>
      <dgm:t>
        <a:bodyPr/>
        <a:lstStyle/>
        <a:p>
          <a:pPr>
            <a:lnSpc>
              <a:spcPct val="100000"/>
            </a:lnSpc>
          </a:pPr>
          <a:endParaRPr lang="en-AU"/>
        </a:p>
      </dgm:t>
    </dgm:pt>
    <dgm:pt modelId="{42B7F084-71CD-458C-A2AF-13383E77D6E4}" type="sibTrans" cxnId="{2E5BA4CD-B16A-4E2C-BF0E-3988FC3BA2F4}">
      <dgm:prSet/>
      <dgm:spPr/>
      <dgm:t>
        <a:bodyPr/>
        <a:lstStyle/>
        <a:p>
          <a:pPr>
            <a:lnSpc>
              <a:spcPct val="100000"/>
            </a:lnSpc>
          </a:pPr>
          <a:endParaRPr lang="en-AU"/>
        </a:p>
      </dgm:t>
    </dgm:pt>
    <dgm:pt modelId="{FDFF9170-7EA0-4227-9A5E-36E505520D29}">
      <dgm:prSet phldrT="[Text]" custT="1"/>
      <dgm:spPr/>
      <dgm:t>
        <a:bodyPr/>
        <a:lstStyle/>
        <a:p>
          <a:pPr>
            <a:lnSpc>
              <a:spcPct val="100000"/>
            </a:lnSpc>
          </a:pPr>
          <a:r>
            <a:rPr lang="en-AU" sz="900" u="none">
              <a:uFillTx/>
            </a:rPr>
            <a:t>Current Registration Liaison Forum with state and territory governments providing a t</a:t>
          </a:r>
          <a:r>
            <a:rPr lang="en-AU" sz="900" u="none"/>
            <a:t>wo-way dialogue on agvet chemical registration and control of use issues </a:t>
          </a:r>
          <a:endParaRPr lang="en-AU" sz="900"/>
        </a:p>
      </dgm:t>
    </dgm:pt>
    <dgm:pt modelId="{DB02BDA9-8C44-4936-93B6-DD47F338DF9B}" type="sibTrans" cxnId="{098B068B-13E1-4121-8D95-C0513B30F561}">
      <dgm:prSet/>
      <dgm:spPr/>
      <dgm:t>
        <a:bodyPr/>
        <a:lstStyle/>
        <a:p>
          <a:pPr>
            <a:lnSpc>
              <a:spcPct val="100000"/>
            </a:lnSpc>
          </a:pPr>
          <a:endParaRPr lang="en-AU"/>
        </a:p>
      </dgm:t>
    </dgm:pt>
    <dgm:pt modelId="{83349FCA-EFAE-49D6-9031-0DEB4F46B9ED}" type="parTrans" cxnId="{098B068B-13E1-4121-8D95-C0513B30F561}">
      <dgm:prSet/>
      <dgm:spPr/>
      <dgm:t>
        <a:bodyPr/>
        <a:lstStyle/>
        <a:p>
          <a:pPr>
            <a:lnSpc>
              <a:spcPct val="100000"/>
            </a:lnSpc>
          </a:pPr>
          <a:endParaRPr lang="en-AU"/>
        </a:p>
      </dgm:t>
    </dgm:pt>
    <dgm:pt modelId="{A97AE932-30B2-4EA6-874D-FCD8C26043B3}">
      <dgm:prSet/>
      <dgm:spPr>
        <a:ln>
          <a:noFill/>
        </a:ln>
      </dgm:spPr>
      <dgm:t>
        <a:bodyPr/>
        <a:lstStyle/>
        <a:p>
          <a:r>
            <a:rPr lang="en-AU" b="1">
              <a:solidFill>
                <a:schemeClr val="accent1">
                  <a:lumMod val="20000"/>
                  <a:lumOff val="80000"/>
                </a:schemeClr>
              </a:solidFill>
            </a:rPr>
            <a:t>Ag Chemical Registrants Working Group</a:t>
          </a:r>
        </a:p>
      </dgm:t>
    </dgm:pt>
    <dgm:pt modelId="{3F362DDF-A516-44D3-96A9-40CFC5E3F8F7}" type="parTrans" cxnId="{80A65307-8F7D-4FB4-B138-BA734B6D62B3}">
      <dgm:prSet>
        <dgm:style>
          <a:lnRef idx="3">
            <a:schemeClr val="dk1"/>
          </a:lnRef>
          <a:fillRef idx="0">
            <a:schemeClr val="dk1"/>
          </a:fillRef>
          <a:effectRef idx="2">
            <a:schemeClr val="dk1"/>
          </a:effectRef>
          <a:fontRef idx="minor">
            <a:schemeClr val="tx1"/>
          </a:fontRef>
        </dgm:style>
      </dgm:prSet>
      <dgm:spPr>
        <a:ln>
          <a:headEnd type="none" w="med" len="med"/>
          <a:tailEnd type="none" w="med" len="med"/>
        </a:ln>
      </dgm:spPr>
      <dgm:t>
        <a:bodyPr/>
        <a:lstStyle/>
        <a:p>
          <a:endParaRPr lang="en-AU"/>
        </a:p>
      </dgm:t>
    </dgm:pt>
    <dgm:pt modelId="{E9D39DF7-0AA1-40B0-B0BF-601E2F37A606}" type="sibTrans" cxnId="{80A65307-8F7D-4FB4-B138-BA734B6D62B3}">
      <dgm:prSet/>
      <dgm:spPr/>
      <dgm:t>
        <a:bodyPr/>
        <a:lstStyle/>
        <a:p>
          <a:endParaRPr lang="en-AU"/>
        </a:p>
      </dgm:t>
    </dgm:pt>
    <dgm:pt modelId="{F091A91A-5FAD-4E2D-BD29-8C15A4127AED}">
      <dgm:prSet/>
      <dgm:spPr>
        <a:ln>
          <a:noFill/>
        </a:ln>
      </dgm:spPr>
      <dgm:t>
        <a:bodyPr/>
        <a:lstStyle/>
        <a:p>
          <a:r>
            <a:rPr lang="en-AU" b="1">
              <a:solidFill>
                <a:schemeClr val="accent1">
                  <a:lumMod val="20000"/>
                  <a:lumOff val="80000"/>
                </a:schemeClr>
              </a:solidFill>
            </a:rPr>
            <a:t>Vet Chemical Registrants Working Group</a:t>
          </a:r>
        </a:p>
      </dgm:t>
    </dgm:pt>
    <dgm:pt modelId="{45350820-5666-4DB6-BC5C-317ECF7669F6}" type="parTrans" cxnId="{EF316A5B-309F-4F2E-BFFC-52A08717D552}">
      <dgm:prSet>
        <dgm:style>
          <a:lnRef idx="3">
            <a:schemeClr val="dk1"/>
          </a:lnRef>
          <a:fillRef idx="0">
            <a:schemeClr val="dk1"/>
          </a:fillRef>
          <a:effectRef idx="2">
            <a:schemeClr val="dk1"/>
          </a:effectRef>
          <a:fontRef idx="minor">
            <a:schemeClr val="tx1"/>
          </a:fontRef>
        </dgm:style>
      </dgm:prSet>
      <dgm:spPr>
        <a:ln>
          <a:headEnd type="none" w="med" len="med"/>
          <a:tailEnd type="none" w="med" len="med"/>
        </a:ln>
      </dgm:spPr>
      <dgm:t>
        <a:bodyPr/>
        <a:lstStyle/>
        <a:p>
          <a:endParaRPr lang="en-AU"/>
        </a:p>
      </dgm:t>
    </dgm:pt>
    <dgm:pt modelId="{2AF96233-784D-48A0-98E9-73070AB7EB1F}" type="sibTrans" cxnId="{EF316A5B-309F-4F2E-BFFC-52A08717D552}">
      <dgm:prSet/>
      <dgm:spPr/>
      <dgm:t>
        <a:bodyPr/>
        <a:lstStyle/>
        <a:p>
          <a:endParaRPr lang="en-AU"/>
        </a:p>
      </dgm:t>
    </dgm:pt>
    <dgm:pt modelId="{03FC2792-56EA-4D37-825C-9B56C9DB807E}">
      <dgm:prSet/>
      <dgm:spPr>
        <a:ln>
          <a:noFill/>
        </a:ln>
      </dgm:spPr>
      <dgm:t>
        <a:bodyPr/>
        <a:lstStyle/>
        <a:p>
          <a:r>
            <a:rPr lang="en-AU" b="1">
              <a:solidFill>
                <a:schemeClr val="accent1">
                  <a:lumMod val="20000"/>
                  <a:lumOff val="80000"/>
                </a:schemeClr>
              </a:solidFill>
            </a:rPr>
            <a:t>APVMA registrants information updates</a:t>
          </a:r>
        </a:p>
      </dgm:t>
    </dgm:pt>
    <dgm:pt modelId="{05129CB1-F822-4121-B02C-2075074F69B2}" type="parTrans" cxnId="{C5AF56FA-A683-49A6-AF5D-6626F1A410BA}">
      <dgm:prSet>
        <dgm:style>
          <a:lnRef idx="3">
            <a:schemeClr val="dk1"/>
          </a:lnRef>
          <a:fillRef idx="0">
            <a:schemeClr val="dk1"/>
          </a:fillRef>
          <a:effectRef idx="2">
            <a:schemeClr val="dk1"/>
          </a:effectRef>
          <a:fontRef idx="minor">
            <a:schemeClr val="tx1"/>
          </a:fontRef>
        </dgm:style>
      </dgm:prSet>
      <dgm:spPr>
        <a:ln>
          <a:headEnd type="none" w="med" len="med"/>
          <a:tailEnd type="none" w="med" len="med"/>
        </a:ln>
      </dgm:spPr>
      <dgm:t>
        <a:bodyPr/>
        <a:lstStyle/>
        <a:p>
          <a:endParaRPr lang="en-AU"/>
        </a:p>
      </dgm:t>
    </dgm:pt>
    <dgm:pt modelId="{60C967A2-0B7A-48D7-862D-A9BD522D703E}" type="sibTrans" cxnId="{C5AF56FA-A683-49A6-AF5D-6626F1A410BA}">
      <dgm:prSet/>
      <dgm:spPr/>
      <dgm:t>
        <a:bodyPr/>
        <a:lstStyle/>
        <a:p>
          <a:endParaRPr lang="en-AU"/>
        </a:p>
      </dgm:t>
    </dgm:pt>
    <dgm:pt modelId="{BAE7D8EF-A663-4D26-802C-745594A0D93C}">
      <dgm:prSet phldrT="[Text]" custT="1"/>
      <dgm:spPr/>
      <dgm:t>
        <a:bodyPr/>
        <a:lstStyle/>
        <a:p>
          <a:r>
            <a:rPr lang="en-AU" sz="900"/>
            <a:t>Open to the industry associations representing registrants or industry organisations who are registrants of agvet chemicals or permits</a:t>
          </a:r>
        </a:p>
      </dgm:t>
    </dgm:pt>
    <dgm:pt modelId="{0084722C-FA11-4D87-8C5E-EE6F596D9BF9}" type="parTrans" cxnId="{0937E663-07F4-49C0-BF8A-39C6D1EC98DC}">
      <dgm:prSet/>
      <dgm:spPr/>
      <dgm:t>
        <a:bodyPr/>
        <a:lstStyle/>
        <a:p>
          <a:endParaRPr lang="en-AU"/>
        </a:p>
      </dgm:t>
    </dgm:pt>
    <dgm:pt modelId="{99A112ED-6CC8-4C95-988D-10EEC52B2F4F}" type="sibTrans" cxnId="{0937E663-07F4-49C0-BF8A-39C6D1EC98DC}">
      <dgm:prSet/>
      <dgm:spPr/>
      <dgm:t>
        <a:bodyPr/>
        <a:lstStyle/>
        <a:p>
          <a:endParaRPr lang="en-AU"/>
        </a:p>
      </dgm:t>
    </dgm:pt>
    <dgm:pt modelId="{174C3FDC-51A1-4142-8B77-1C6BBF70E502}">
      <dgm:prSet phldrT="[Text]" custT="1"/>
      <dgm:spPr/>
      <dgm:t>
        <a:bodyPr/>
        <a:lstStyle/>
        <a:p>
          <a:r>
            <a:rPr lang="en-AU" sz="900"/>
            <a:t>Open to all registrants of ag or vet chemicals, no membership required</a:t>
          </a:r>
        </a:p>
      </dgm:t>
    </dgm:pt>
    <dgm:pt modelId="{E3CF55E7-BDC5-454B-B422-CA498A2A5FC6}" type="parTrans" cxnId="{DBEEE94F-10F3-4F5A-B829-7C343F912879}">
      <dgm:prSet/>
      <dgm:spPr/>
      <dgm:t>
        <a:bodyPr/>
        <a:lstStyle/>
        <a:p>
          <a:endParaRPr lang="en-AU"/>
        </a:p>
      </dgm:t>
    </dgm:pt>
    <dgm:pt modelId="{A63E5884-DF26-4A72-A6D1-3AAFF5F2415A}" type="sibTrans" cxnId="{DBEEE94F-10F3-4F5A-B829-7C343F912879}">
      <dgm:prSet/>
      <dgm:spPr/>
      <dgm:t>
        <a:bodyPr/>
        <a:lstStyle/>
        <a:p>
          <a:endParaRPr lang="en-AU"/>
        </a:p>
      </dgm:t>
    </dgm:pt>
    <dgm:pt modelId="{A730A76F-11D5-4D69-8C6E-F41994AFBD1E}" type="pres">
      <dgm:prSet presAssocID="{F131F37B-D856-4DA5-9D1A-54194F386AA1}" presName="mainComposite" presStyleCnt="0">
        <dgm:presLayoutVars>
          <dgm:chPref val="1"/>
          <dgm:dir/>
          <dgm:animOne val="branch"/>
          <dgm:animLvl val="lvl"/>
          <dgm:resizeHandles val="exact"/>
        </dgm:presLayoutVars>
      </dgm:prSet>
      <dgm:spPr/>
    </dgm:pt>
    <dgm:pt modelId="{C0FEF5B5-3B2F-465B-934C-8DD2AD607D77}" type="pres">
      <dgm:prSet presAssocID="{F131F37B-D856-4DA5-9D1A-54194F386AA1}" presName="hierFlow" presStyleCnt="0"/>
      <dgm:spPr/>
    </dgm:pt>
    <dgm:pt modelId="{909EF3AD-7C6A-49F7-9596-1E63B0D01C04}" type="pres">
      <dgm:prSet presAssocID="{F131F37B-D856-4DA5-9D1A-54194F386AA1}" presName="firstBuf" presStyleCnt="0"/>
      <dgm:spPr/>
    </dgm:pt>
    <dgm:pt modelId="{9DA7CCC6-1723-4576-BD86-69CD4B96A041}" type="pres">
      <dgm:prSet presAssocID="{F131F37B-D856-4DA5-9D1A-54194F386AA1}" presName="hierChild1" presStyleCnt="0">
        <dgm:presLayoutVars>
          <dgm:chPref val="1"/>
          <dgm:animOne val="branch"/>
          <dgm:animLvl val="lvl"/>
        </dgm:presLayoutVars>
      </dgm:prSet>
      <dgm:spPr/>
    </dgm:pt>
    <dgm:pt modelId="{1D14EA92-5B0B-4FC0-94B6-AB135CEC0FF7}" type="pres">
      <dgm:prSet presAssocID="{E1A8BEDE-E0C5-4D88-BED3-E536FD0DE83D}" presName="Name14" presStyleCnt="0"/>
      <dgm:spPr/>
    </dgm:pt>
    <dgm:pt modelId="{EDEB2CCB-4849-4BBD-AB1C-A01AFF1602FF}" type="pres">
      <dgm:prSet presAssocID="{E1A8BEDE-E0C5-4D88-BED3-E536FD0DE83D}" presName="level1Shape" presStyleLbl="node0" presStyleIdx="0" presStyleCnt="1">
        <dgm:presLayoutVars>
          <dgm:chPref val="3"/>
        </dgm:presLayoutVars>
      </dgm:prSet>
      <dgm:spPr/>
    </dgm:pt>
    <dgm:pt modelId="{36B8EA24-AF7E-46EF-A403-537D0D2D22C8}" type="pres">
      <dgm:prSet presAssocID="{E1A8BEDE-E0C5-4D88-BED3-E536FD0DE83D}" presName="hierChild2" presStyleCnt="0"/>
      <dgm:spPr/>
    </dgm:pt>
    <dgm:pt modelId="{0372DB1E-F6ED-4A46-BD5C-3076DD6A2953}" type="pres">
      <dgm:prSet presAssocID="{434AB333-DF34-4016-929E-F96BBA3BEAB0}" presName="Name19" presStyleLbl="parChTrans1D2" presStyleIdx="0" presStyleCnt="1"/>
      <dgm:spPr/>
    </dgm:pt>
    <dgm:pt modelId="{976124BF-9BB3-47C8-8E60-5EC137C923AD}" type="pres">
      <dgm:prSet presAssocID="{CBE6495C-375F-42B1-AF4E-06DFF0D09B17}" presName="Name21" presStyleCnt="0"/>
      <dgm:spPr/>
    </dgm:pt>
    <dgm:pt modelId="{A6744C12-B497-4CE4-864C-9C39BE0EA0AD}" type="pres">
      <dgm:prSet presAssocID="{CBE6495C-375F-42B1-AF4E-06DFF0D09B17}" presName="level2Shape" presStyleLbl="node2" presStyleIdx="0" presStyleCnt="1" custScaleX="207608"/>
      <dgm:spPr/>
    </dgm:pt>
    <dgm:pt modelId="{82DF9C05-313E-462F-A6CD-05183939E168}" type="pres">
      <dgm:prSet presAssocID="{CBE6495C-375F-42B1-AF4E-06DFF0D09B17}" presName="hierChild3" presStyleCnt="0"/>
      <dgm:spPr/>
    </dgm:pt>
    <dgm:pt modelId="{622065D1-7C31-4DF5-A4A6-D96E1D7CEE35}" type="pres">
      <dgm:prSet presAssocID="{3F362DDF-A516-44D3-96A9-40CFC5E3F8F7}" presName="Name19" presStyleLbl="parChTrans1D3" presStyleIdx="0" presStyleCnt="2"/>
      <dgm:spPr/>
    </dgm:pt>
    <dgm:pt modelId="{9B8B09BF-BE57-434E-9816-99E44095FB35}" type="pres">
      <dgm:prSet presAssocID="{A97AE932-30B2-4EA6-874D-FCD8C26043B3}" presName="Name21" presStyleCnt="0"/>
      <dgm:spPr/>
    </dgm:pt>
    <dgm:pt modelId="{D82EE72F-DE3D-44B7-8396-2EF32E9295C6}" type="pres">
      <dgm:prSet presAssocID="{A97AE932-30B2-4EA6-874D-FCD8C26043B3}" presName="level2Shape" presStyleLbl="node3" presStyleIdx="0" presStyleCnt="2" custScaleX="132329"/>
      <dgm:spPr/>
    </dgm:pt>
    <dgm:pt modelId="{64955BA2-3994-4850-B7DA-BC3B685A6033}" type="pres">
      <dgm:prSet presAssocID="{A97AE932-30B2-4EA6-874D-FCD8C26043B3}" presName="hierChild3" presStyleCnt="0"/>
      <dgm:spPr/>
    </dgm:pt>
    <dgm:pt modelId="{EF04801F-A6F6-4769-899C-FC9ED50D8756}" type="pres">
      <dgm:prSet presAssocID="{45350820-5666-4DB6-BC5C-317ECF7669F6}" presName="Name19" presStyleLbl="parChTrans1D3" presStyleIdx="1" presStyleCnt="2"/>
      <dgm:spPr/>
    </dgm:pt>
    <dgm:pt modelId="{616AFAAB-2DE7-4D0A-9DC0-3A5CC4640E2C}" type="pres">
      <dgm:prSet presAssocID="{F091A91A-5FAD-4E2D-BD29-8C15A4127AED}" presName="Name21" presStyleCnt="0"/>
      <dgm:spPr/>
    </dgm:pt>
    <dgm:pt modelId="{3F1D8411-341C-4FDE-BB89-B209A700C2BE}" type="pres">
      <dgm:prSet presAssocID="{F091A91A-5FAD-4E2D-BD29-8C15A4127AED}" presName="level2Shape" presStyleLbl="node3" presStyleIdx="1" presStyleCnt="2" custScaleX="132329"/>
      <dgm:spPr/>
    </dgm:pt>
    <dgm:pt modelId="{B77872F6-6F46-4D03-83F5-C4FA19BF0CB6}" type="pres">
      <dgm:prSet presAssocID="{F091A91A-5FAD-4E2D-BD29-8C15A4127AED}" presName="hierChild3" presStyleCnt="0"/>
      <dgm:spPr/>
    </dgm:pt>
    <dgm:pt modelId="{6BE2FCCA-F170-4015-8975-77CE925D67B8}" type="pres">
      <dgm:prSet presAssocID="{05129CB1-F822-4121-B02C-2075074F69B2}" presName="Name19" presStyleLbl="parChTrans1D4" presStyleIdx="0" presStyleCnt="1"/>
      <dgm:spPr/>
    </dgm:pt>
    <dgm:pt modelId="{BDA50792-D351-497C-8013-B9F5008C44E8}" type="pres">
      <dgm:prSet presAssocID="{03FC2792-56EA-4D37-825C-9B56C9DB807E}" presName="Name21" presStyleCnt="0"/>
      <dgm:spPr/>
    </dgm:pt>
    <dgm:pt modelId="{84310F49-4C7A-4DD5-9795-2B6C6B61923B}" type="pres">
      <dgm:prSet presAssocID="{03FC2792-56EA-4D37-825C-9B56C9DB807E}" presName="level2Shape" presStyleLbl="node4" presStyleIdx="0" presStyleCnt="1" custScaleX="271516" custLinFactNeighborX="-81831" custLinFactNeighborY="2487"/>
      <dgm:spPr/>
    </dgm:pt>
    <dgm:pt modelId="{EEAFCAE8-A302-4548-B412-024CF0F93278}" type="pres">
      <dgm:prSet presAssocID="{03FC2792-56EA-4D37-825C-9B56C9DB807E}" presName="hierChild3" presStyleCnt="0"/>
      <dgm:spPr/>
    </dgm:pt>
    <dgm:pt modelId="{4B360FF8-3677-446E-A6E2-13E6A4111B3E}" type="pres">
      <dgm:prSet presAssocID="{F131F37B-D856-4DA5-9D1A-54194F386AA1}" presName="bgShapesFlow" presStyleCnt="0"/>
      <dgm:spPr/>
    </dgm:pt>
    <dgm:pt modelId="{47E758BF-6965-4037-A59F-F32941524ADA}" type="pres">
      <dgm:prSet presAssocID="{FDFF9170-7EA0-4227-9A5E-36E505520D29}" presName="rectComp" presStyleCnt="0"/>
      <dgm:spPr/>
    </dgm:pt>
    <dgm:pt modelId="{F28AA412-838A-46C0-8CEB-9705F885836F}" type="pres">
      <dgm:prSet presAssocID="{FDFF9170-7EA0-4227-9A5E-36E505520D29}" presName="bgRect" presStyleLbl="bgShp" presStyleIdx="0" presStyleCnt="4"/>
      <dgm:spPr/>
    </dgm:pt>
    <dgm:pt modelId="{EF058C19-6CAC-4164-8A27-1177B962A0DE}" type="pres">
      <dgm:prSet presAssocID="{FDFF9170-7EA0-4227-9A5E-36E505520D29}" presName="bgRectTx" presStyleLbl="bgShp" presStyleIdx="0" presStyleCnt="4">
        <dgm:presLayoutVars>
          <dgm:bulletEnabled val="1"/>
        </dgm:presLayoutVars>
      </dgm:prSet>
      <dgm:spPr/>
    </dgm:pt>
    <dgm:pt modelId="{F987FD00-A371-4CD6-A920-55F90179615B}" type="pres">
      <dgm:prSet presAssocID="{FDFF9170-7EA0-4227-9A5E-36E505520D29}" presName="spComp" presStyleCnt="0"/>
      <dgm:spPr/>
    </dgm:pt>
    <dgm:pt modelId="{7885813C-3079-41C2-989A-5D1CDAC36F4A}" type="pres">
      <dgm:prSet presAssocID="{FDFF9170-7EA0-4227-9A5E-36E505520D29}" presName="vSp" presStyleCnt="0"/>
      <dgm:spPr/>
    </dgm:pt>
    <dgm:pt modelId="{BC906F46-A536-41FF-9DFD-4B0BE2580D44}" type="pres">
      <dgm:prSet presAssocID="{346296DF-A750-4DF1-8A1C-6F499FD41F81}" presName="rectComp" presStyleCnt="0"/>
      <dgm:spPr/>
    </dgm:pt>
    <dgm:pt modelId="{84564905-388B-4C09-8C3F-32BB1B8199CB}" type="pres">
      <dgm:prSet presAssocID="{346296DF-A750-4DF1-8A1C-6F499FD41F81}" presName="bgRect" presStyleLbl="bgShp" presStyleIdx="1" presStyleCnt="4"/>
      <dgm:spPr/>
    </dgm:pt>
    <dgm:pt modelId="{6082C5DE-516D-4FCE-A692-681F92BFAD76}" type="pres">
      <dgm:prSet presAssocID="{346296DF-A750-4DF1-8A1C-6F499FD41F81}" presName="bgRectTx" presStyleLbl="bgShp" presStyleIdx="1" presStyleCnt="4">
        <dgm:presLayoutVars>
          <dgm:bulletEnabled val="1"/>
        </dgm:presLayoutVars>
      </dgm:prSet>
      <dgm:spPr/>
    </dgm:pt>
    <dgm:pt modelId="{A7FC7908-D743-4793-8977-5F8B62DE9663}" type="pres">
      <dgm:prSet presAssocID="{346296DF-A750-4DF1-8A1C-6F499FD41F81}" presName="spComp" presStyleCnt="0"/>
      <dgm:spPr/>
    </dgm:pt>
    <dgm:pt modelId="{5FBA764A-4E62-4CE3-BC83-79E22800AB71}" type="pres">
      <dgm:prSet presAssocID="{346296DF-A750-4DF1-8A1C-6F499FD41F81}" presName="vSp" presStyleCnt="0"/>
      <dgm:spPr/>
    </dgm:pt>
    <dgm:pt modelId="{4DB5E5A6-7E01-4EEB-AB34-D707AAC29E94}" type="pres">
      <dgm:prSet presAssocID="{BAE7D8EF-A663-4D26-802C-745594A0D93C}" presName="rectComp" presStyleCnt="0"/>
      <dgm:spPr/>
    </dgm:pt>
    <dgm:pt modelId="{A8316412-BD00-4A85-AEED-722AE9ED7C29}" type="pres">
      <dgm:prSet presAssocID="{BAE7D8EF-A663-4D26-802C-745594A0D93C}" presName="bgRect" presStyleLbl="bgShp" presStyleIdx="2" presStyleCnt="4"/>
      <dgm:spPr/>
    </dgm:pt>
    <dgm:pt modelId="{975B27AB-AE59-416D-BA78-956D0F4FE32F}" type="pres">
      <dgm:prSet presAssocID="{BAE7D8EF-A663-4D26-802C-745594A0D93C}" presName="bgRectTx" presStyleLbl="bgShp" presStyleIdx="2" presStyleCnt="4">
        <dgm:presLayoutVars>
          <dgm:bulletEnabled val="1"/>
        </dgm:presLayoutVars>
      </dgm:prSet>
      <dgm:spPr/>
    </dgm:pt>
    <dgm:pt modelId="{43F01DEF-4FA4-477B-9F92-B2B94F4F47EF}" type="pres">
      <dgm:prSet presAssocID="{BAE7D8EF-A663-4D26-802C-745594A0D93C}" presName="spComp" presStyleCnt="0"/>
      <dgm:spPr/>
    </dgm:pt>
    <dgm:pt modelId="{DC1C5ADB-EC1B-46FF-B7BA-58A819BF4FBF}" type="pres">
      <dgm:prSet presAssocID="{BAE7D8EF-A663-4D26-802C-745594A0D93C}" presName="vSp" presStyleCnt="0"/>
      <dgm:spPr/>
    </dgm:pt>
    <dgm:pt modelId="{77E3B7E9-DA02-41F1-8C52-86FC5E2FA576}" type="pres">
      <dgm:prSet presAssocID="{174C3FDC-51A1-4142-8B77-1C6BBF70E502}" presName="rectComp" presStyleCnt="0"/>
      <dgm:spPr/>
    </dgm:pt>
    <dgm:pt modelId="{55A32CF1-776D-410F-9F01-A769A6F0298D}" type="pres">
      <dgm:prSet presAssocID="{174C3FDC-51A1-4142-8B77-1C6BBF70E502}" presName="bgRect" presStyleLbl="bgShp" presStyleIdx="3" presStyleCnt="4"/>
      <dgm:spPr/>
    </dgm:pt>
    <dgm:pt modelId="{650B566F-886A-4FBA-8E51-D579E7C16453}" type="pres">
      <dgm:prSet presAssocID="{174C3FDC-51A1-4142-8B77-1C6BBF70E502}" presName="bgRectTx" presStyleLbl="bgShp" presStyleIdx="3" presStyleCnt="4">
        <dgm:presLayoutVars>
          <dgm:bulletEnabled val="1"/>
        </dgm:presLayoutVars>
      </dgm:prSet>
      <dgm:spPr/>
    </dgm:pt>
  </dgm:ptLst>
  <dgm:cxnLst>
    <dgm:cxn modelId="{80A65307-8F7D-4FB4-B138-BA734B6D62B3}" srcId="{CBE6495C-375F-42B1-AF4E-06DFF0D09B17}" destId="{A97AE932-30B2-4EA6-874D-FCD8C26043B3}" srcOrd="0" destOrd="0" parTransId="{3F362DDF-A516-44D3-96A9-40CFC5E3F8F7}" sibTransId="{E9D39DF7-0AA1-40B0-B0BF-601E2F37A606}"/>
    <dgm:cxn modelId="{153A3C12-D4AE-4EAE-B005-D32C36100AF4}" type="presOf" srcId="{434AB333-DF34-4016-929E-F96BBA3BEAB0}" destId="{0372DB1E-F6ED-4A46-BD5C-3076DD6A2953}" srcOrd="0" destOrd="0" presId="urn:microsoft.com/office/officeart/2005/8/layout/hierarchy6"/>
    <dgm:cxn modelId="{8B381A3B-4AA0-480B-988C-83D3A16BCD82}" type="presOf" srcId="{05129CB1-F822-4121-B02C-2075074F69B2}" destId="{6BE2FCCA-F170-4015-8975-77CE925D67B8}" srcOrd="0" destOrd="0" presId="urn:microsoft.com/office/officeart/2005/8/layout/hierarchy6"/>
    <dgm:cxn modelId="{8382393D-E314-4242-9404-7904052AA72B}" type="presOf" srcId="{FDFF9170-7EA0-4227-9A5E-36E505520D29}" destId="{EF058C19-6CAC-4164-8A27-1177B962A0DE}" srcOrd="1" destOrd="0" presId="urn:microsoft.com/office/officeart/2005/8/layout/hierarchy6"/>
    <dgm:cxn modelId="{EF316A5B-309F-4F2E-BFFC-52A08717D552}" srcId="{CBE6495C-375F-42B1-AF4E-06DFF0D09B17}" destId="{F091A91A-5FAD-4E2D-BD29-8C15A4127AED}" srcOrd="1" destOrd="0" parTransId="{45350820-5666-4DB6-BC5C-317ECF7669F6}" sibTransId="{2AF96233-784D-48A0-98E9-73070AB7EB1F}"/>
    <dgm:cxn modelId="{28916A5D-B1CB-491E-8BAD-8BFC27330EBA}" type="presOf" srcId="{174C3FDC-51A1-4142-8B77-1C6BBF70E502}" destId="{650B566F-886A-4FBA-8E51-D579E7C16453}" srcOrd="1" destOrd="0" presId="urn:microsoft.com/office/officeart/2005/8/layout/hierarchy6"/>
    <dgm:cxn modelId="{0937E663-07F4-49C0-BF8A-39C6D1EC98DC}" srcId="{F131F37B-D856-4DA5-9D1A-54194F386AA1}" destId="{BAE7D8EF-A663-4D26-802C-745594A0D93C}" srcOrd="3" destOrd="0" parTransId="{0084722C-FA11-4D87-8C5E-EE6F596D9BF9}" sibTransId="{99A112ED-6CC8-4C95-988D-10EEC52B2F4F}"/>
    <dgm:cxn modelId="{CFCE2E44-44E8-4101-B319-A8A0D92F65FC}" type="presOf" srcId="{E1A8BEDE-E0C5-4D88-BED3-E536FD0DE83D}" destId="{EDEB2CCB-4849-4BBD-AB1C-A01AFF1602FF}" srcOrd="0" destOrd="0" presId="urn:microsoft.com/office/officeart/2005/8/layout/hierarchy6"/>
    <dgm:cxn modelId="{0CDEC445-B389-4A43-BD2C-A2720A2C248A}" type="presOf" srcId="{346296DF-A750-4DF1-8A1C-6F499FD41F81}" destId="{6082C5DE-516D-4FCE-A692-681F92BFAD76}" srcOrd="1" destOrd="0" presId="urn:microsoft.com/office/officeart/2005/8/layout/hierarchy6"/>
    <dgm:cxn modelId="{1E3B024F-0ED1-4703-8B3E-98E944C9F650}" type="presOf" srcId="{346296DF-A750-4DF1-8A1C-6F499FD41F81}" destId="{84564905-388B-4C09-8C3F-32BB1B8199CB}" srcOrd="0" destOrd="0" presId="urn:microsoft.com/office/officeart/2005/8/layout/hierarchy6"/>
    <dgm:cxn modelId="{1EAAE96F-B45F-493B-AA63-E449B76040A3}" type="presOf" srcId="{BAE7D8EF-A663-4D26-802C-745594A0D93C}" destId="{975B27AB-AE59-416D-BA78-956D0F4FE32F}" srcOrd="1" destOrd="0" presId="urn:microsoft.com/office/officeart/2005/8/layout/hierarchy6"/>
    <dgm:cxn modelId="{DBEEE94F-10F3-4F5A-B829-7C343F912879}" srcId="{F131F37B-D856-4DA5-9D1A-54194F386AA1}" destId="{174C3FDC-51A1-4142-8B77-1C6BBF70E502}" srcOrd="4" destOrd="0" parTransId="{E3CF55E7-BDC5-454B-B422-CA498A2A5FC6}" sibTransId="{A63E5884-DF26-4A72-A6D1-3AAFF5F2415A}"/>
    <dgm:cxn modelId="{9C090575-0866-4BAF-866C-FA2FE981AEF9}" type="presOf" srcId="{BAE7D8EF-A663-4D26-802C-745594A0D93C}" destId="{A8316412-BD00-4A85-AEED-722AE9ED7C29}" srcOrd="0" destOrd="0" presId="urn:microsoft.com/office/officeart/2005/8/layout/hierarchy6"/>
    <dgm:cxn modelId="{1245E176-43F9-484D-BEFC-63ABE7F4C303}" type="presOf" srcId="{174C3FDC-51A1-4142-8B77-1C6BBF70E502}" destId="{55A32CF1-776D-410F-9F01-A769A6F0298D}" srcOrd="0" destOrd="0" presId="urn:microsoft.com/office/officeart/2005/8/layout/hierarchy6"/>
    <dgm:cxn modelId="{BB64EB77-BF30-4218-8CDD-3E1B4912757E}" type="presOf" srcId="{45350820-5666-4DB6-BC5C-317ECF7669F6}" destId="{EF04801F-A6F6-4769-899C-FC9ED50D8756}" srcOrd="0" destOrd="0" presId="urn:microsoft.com/office/officeart/2005/8/layout/hierarchy6"/>
    <dgm:cxn modelId="{95EC1485-CBE2-4862-B630-687AEE209399}" type="presOf" srcId="{F091A91A-5FAD-4E2D-BD29-8C15A4127AED}" destId="{3F1D8411-341C-4FDE-BB89-B209A700C2BE}" srcOrd="0" destOrd="0" presId="urn:microsoft.com/office/officeart/2005/8/layout/hierarchy6"/>
    <dgm:cxn modelId="{098B068B-13E1-4121-8D95-C0513B30F561}" srcId="{F131F37B-D856-4DA5-9D1A-54194F386AA1}" destId="{FDFF9170-7EA0-4227-9A5E-36E505520D29}" srcOrd="1" destOrd="0" parTransId="{83349FCA-EFAE-49D6-9031-0DEB4F46B9ED}" sibTransId="{DB02BDA9-8C44-4936-93B6-DD47F338DF9B}"/>
    <dgm:cxn modelId="{5F53058D-D9CF-4414-8EFB-9CBB83C22191}" type="presOf" srcId="{03FC2792-56EA-4D37-825C-9B56C9DB807E}" destId="{84310F49-4C7A-4DD5-9795-2B6C6B61923B}" srcOrd="0" destOrd="0" presId="urn:microsoft.com/office/officeart/2005/8/layout/hierarchy6"/>
    <dgm:cxn modelId="{AA9F8FAA-0A86-478E-88FD-4D1651666917}" type="presOf" srcId="{A97AE932-30B2-4EA6-874D-FCD8C26043B3}" destId="{D82EE72F-DE3D-44B7-8396-2EF32E9295C6}" srcOrd="0" destOrd="0" presId="urn:microsoft.com/office/officeart/2005/8/layout/hierarchy6"/>
    <dgm:cxn modelId="{4D45DCAB-92EF-49E0-9249-19E682A8F3A5}" srcId="{F131F37B-D856-4DA5-9D1A-54194F386AA1}" destId="{E1A8BEDE-E0C5-4D88-BED3-E536FD0DE83D}" srcOrd="0" destOrd="0" parTransId="{62F57B24-5A79-4E59-981D-3FDA07CDD17A}" sibTransId="{1049653A-DE13-48B9-B123-B54451F832E8}"/>
    <dgm:cxn modelId="{F9BAA3C4-0FB9-454B-BBCC-0EC90D9F8055}" type="presOf" srcId="{FDFF9170-7EA0-4227-9A5E-36E505520D29}" destId="{F28AA412-838A-46C0-8CEB-9705F885836F}" srcOrd="0" destOrd="0" presId="urn:microsoft.com/office/officeart/2005/8/layout/hierarchy6"/>
    <dgm:cxn modelId="{55629BC6-122E-4AF7-A96D-C8D230E32386}" type="presOf" srcId="{CBE6495C-375F-42B1-AF4E-06DFF0D09B17}" destId="{A6744C12-B497-4CE4-864C-9C39BE0EA0AD}" srcOrd="0" destOrd="0" presId="urn:microsoft.com/office/officeart/2005/8/layout/hierarchy6"/>
    <dgm:cxn modelId="{D6669ACB-DCA4-4700-BA60-4706E0B331D0}" type="presOf" srcId="{3F362DDF-A516-44D3-96A9-40CFC5E3F8F7}" destId="{622065D1-7C31-4DF5-A4A6-D96E1D7CEE35}" srcOrd="0" destOrd="0" presId="urn:microsoft.com/office/officeart/2005/8/layout/hierarchy6"/>
    <dgm:cxn modelId="{2E5BA4CD-B16A-4E2C-BF0E-3988FC3BA2F4}" srcId="{F131F37B-D856-4DA5-9D1A-54194F386AA1}" destId="{346296DF-A750-4DF1-8A1C-6F499FD41F81}" srcOrd="2" destOrd="0" parTransId="{461B6C69-C9BB-459B-BC8A-5658D3F73AF1}" sibTransId="{42B7F084-71CD-458C-A2AF-13383E77D6E4}"/>
    <dgm:cxn modelId="{3AB6AAD4-2EBB-45E4-B36F-F6BE20871007}" type="presOf" srcId="{F131F37B-D856-4DA5-9D1A-54194F386AA1}" destId="{A730A76F-11D5-4D69-8C6E-F41994AFBD1E}" srcOrd="0" destOrd="0" presId="urn:microsoft.com/office/officeart/2005/8/layout/hierarchy6"/>
    <dgm:cxn modelId="{D455CCDE-5BBC-4E95-8295-E4D3ECD2F1FC}" srcId="{E1A8BEDE-E0C5-4D88-BED3-E536FD0DE83D}" destId="{CBE6495C-375F-42B1-AF4E-06DFF0D09B17}" srcOrd="0" destOrd="0" parTransId="{434AB333-DF34-4016-929E-F96BBA3BEAB0}" sibTransId="{F4F06BEE-C947-4641-A576-7B6E62BA773C}"/>
    <dgm:cxn modelId="{C5AF56FA-A683-49A6-AF5D-6626F1A410BA}" srcId="{F091A91A-5FAD-4E2D-BD29-8C15A4127AED}" destId="{03FC2792-56EA-4D37-825C-9B56C9DB807E}" srcOrd="0" destOrd="0" parTransId="{05129CB1-F822-4121-B02C-2075074F69B2}" sibTransId="{60C967A2-0B7A-48D7-862D-A9BD522D703E}"/>
    <dgm:cxn modelId="{16C29009-D858-458E-8B07-ECDB6FE75235}" type="presParOf" srcId="{A730A76F-11D5-4D69-8C6E-F41994AFBD1E}" destId="{C0FEF5B5-3B2F-465B-934C-8DD2AD607D77}" srcOrd="0" destOrd="0" presId="urn:microsoft.com/office/officeart/2005/8/layout/hierarchy6"/>
    <dgm:cxn modelId="{8046AE1F-D73B-4269-AE4C-E4B1A17CB13B}" type="presParOf" srcId="{C0FEF5B5-3B2F-465B-934C-8DD2AD607D77}" destId="{909EF3AD-7C6A-49F7-9596-1E63B0D01C04}" srcOrd="0" destOrd="0" presId="urn:microsoft.com/office/officeart/2005/8/layout/hierarchy6"/>
    <dgm:cxn modelId="{22CD3076-A4ED-4385-8363-6F3C36EFF7FF}" type="presParOf" srcId="{C0FEF5B5-3B2F-465B-934C-8DD2AD607D77}" destId="{9DA7CCC6-1723-4576-BD86-69CD4B96A041}" srcOrd="1" destOrd="0" presId="urn:microsoft.com/office/officeart/2005/8/layout/hierarchy6"/>
    <dgm:cxn modelId="{10158E08-B9B3-4E58-ADFD-65981CA4C4AA}" type="presParOf" srcId="{9DA7CCC6-1723-4576-BD86-69CD4B96A041}" destId="{1D14EA92-5B0B-4FC0-94B6-AB135CEC0FF7}" srcOrd="0" destOrd="0" presId="urn:microsoft.com/office/officeart/2005/8/layout/hierarchy6"/>
    <dgm:cxn modelId="{512ACEF0-C803-4303-A079-384B6666546B}" type="presParOf" srcId="{1D14EA92-5B0B-4FC0-94B6-AB135CEC0FF7}" destId="{EDEB2CCB-4849-4BBD-AB1C-A01AFF1602FF}" srcOrd="0" destOrd="0" presId="urn:microsoft.com/office/officeart/2005/8/layout/hierarchy6"/>
    <dgm:cxn modelId="{F9798BA5-F7D1-4350-A496-39B6604DF8D5}" type="presParOf" srcId="{1D14EA92-5B0B-4FC0-94B6-AB135CEC0FF7}" destId="{36B8EA24-AF7E-46EF-A403-537D0D2D22C8}" srcOrd="1" destOrd="0" presId="urn:microsoft.com/office/officeart/2005/8/layout/hierarchy6"/>
    <dgm:cxn modelId="{FE8E15AF-8515-4F81-A04E-4D7B7C91DA3D}" type="presParOf" srcId="{36B8EA24-AF7E-46EF-A403-537D0D2D22C8}" destId="{0372DB1E-F6ED-4A46-BD5C-3076DD6A2953}" srcOrd="0" destOrd="0" presId="urn:microsoft.com/office/officeart/2005/8/layout/hierarchy6"/>
    <dgm:cxn modelId="{7BBBD66E-B52E-45EF-859A-6C75D670EF0A}" type="presParOf" srcId="{36B8EA24-AF7E-46EF-A403-537D0D2D22C8}" destId="{976124BF-9BB3-47C8-8E60-5EC137C923AD}" srcOrd="1" destOrd="0" presId="urn:microsoft.com/office/officeart/2005/8/layout/hierarchy6"/>
    <dgm:cxn modelId="{91BF55E0-A4DA-4029-A88F-7C8D7CD65B6C}" type="presParOf" srcId="{976124BF-9BB3-47C8-8E60-5EC137C923AD}" destId="{A6744C12-B497-4CE4-864C-9C39BE0EA0AD}" srcOrd="0" destOrd="0" presId="urn:microsoft.com/office/officeart/2005/8/layout/hierarchy6"/>
    <dgm:cxn modelId="{779D8DC4-5C0A-4053-840F-35E658612066}" type="presParOf" srcId="{976124BF-9BB3-47C8-8E60-5EC137C923AD}" destId="{82DF9C05-313E-462F-A6CD-05183939E168}" srcOrd="1" destOrd="0" presId="urn:microsoft.com/office/officeart/2005/8/layout/hierarchy6"/>
    <dgm:cxn modelId="{146F2008-D3E0-4CD4-9681-CD910EDFC60A}" type="presParOf" srcId="{82DF9C05-313E-462F-A6CD-05183939E168}" destId="{622065D1-7C31-4DF5-A4A6-D96E1D7CEE35}" srcOrd="0" destOrd="0" presId="urn:microsoft.com/office/officeart/2005/8/layout/hierarchy6"/>
    <dgm:cxn modelId="{BA06EE17-9BE4-4B2D-AD21-736E652F85FA}" type="presParOf" srcId="{82DF9C05-313E-462F-A6CD-05183939E168}" destId="{9B8B09BF-BE57-434E-9816-99E44095FB35}" srcOrd="1" destOrd="0" presId="urn:microsoft.com/office/officeart/2005/8/layout/hierarchy6"/>
    <dgm:cxn modelId="{5E7FC381-5B5D-4BB8-B06B-9BB5E6820169}" type="presParOf" srcId="{9B8B09BF-BE57-434E-9816-99E44095FB35}" destId="{D82EE72F-DE3D-44B7-8396-2EF32E9295C6}" srcOrd="0" destOrd="0" presId="urn:microsoft.com/office/officeart/2005/8/layout/hierarchy6"/>
    <dgm:cxn modelId="{F9A20E3D-A552-436B-A374-81638B3CA1F8}" type="presParOf" srcId="{9B8B09BF-BE57-434E-9816-99E44095FB35}" destId="{64955BA2-3994-4850-B7DA-BC3B685A6033}" srcOrd="1" destOrd="0" presId="urn:microsoft.com/office/officeart/2005/8/layout/hierarchy6"/>
    <dgm:cxn modelId="{8A2F16F4-BB28-434A-9521-6125CFB5E857}" type="presParOf" srcId="{82DF9C05-313E-462F-A6CD-05183939E168}" destId="{EF04801F-A6F6-4769-899C-FC9ED50D8756}" srcOrd="2" destOrd="0" presId="urn:microsoft.com/office/officeart/2005/8/layout/hierarchy6"/>
    <dgm:cxn modelId="{8773C878-6EEB-4DBC-9FBD-2616FA978783}" type="presParOf" srcId="{82DF9C05-313E-462F-A6CD-05183939E168}" destId="{616AFAAB-2DE7-4D0A-9DC0-3A5CC4640E2C}" srcOrd="3" destOrd="0" presId="urn:microsoft.com/office/officeart/2005/8/layout/hierarchy6"/>
    <dgm:cxn modelId="{D619CBE5-8093-40F5-B0AD-5B6EFA8B1FAF}" type="presParOf" srcId="{616AFAAB-2DE7-4D0A-9DC0-3A5CC4640E2C}" destId="{3F1D8411-341C-4FDE-BB89-B209A700C2BE}" srcOrd="0" destOrd="0" presId="urn:microsoft.com/office/officeart/2005/8/layout/hierarchy6"/>
    <dgm:cxn modelId="{9AFC6F18-9B14-4EC4-B3EE-6B00BF2776E9}" type="presParOf" srcId="{616AFAAB-2DE7-4D0A-9DC0-3A5CC4640E2C}" destId="{B77872F6-6F46-4D03-83F5-C4FA19BF0CB6}" srcOrd="1" destOrd="0" presId="urn:microsoft.com/office/officeart/2005/8/layout/hierarchy6"/>
    <dgm:cxn modelId="{1AB27174-69B7-43CB-947D-8925B3465218}" type="presParOf" srcId="{B77872F6-6F46-4D03-83F5-C4FA19BF0CB6}" destId="{6BE2FCCA-F170-4015-8975-77CE925D67B8}" srcOrd="0" destOrd="0" presId="urn:microsoft.com/office/officeart/2005/8/layout/hierarchy6"/>
    <dgm:cxn modelId="{0D77D58E-BD03-43D4-A391-7B251EAF3104}" type="presParOf" srcId="{B77872F6-6F46-4D03-83F5-C4FA19BF0CB6}" destId="{BDA50792-D351-497C-8013-B9F5008C44E8}" srcOrd="1" destOrd="0" presId="urn:microsoft.com/office/officeart/2005/8/layout/hierarchy6"/>
    <dgm:cxn modelId="{E46383B4-DE7B-45A4-8F03-5ED98BDDE5DA}" type="presParOf" srcId="{BDA50792-D351-497C-8013-B9F5008C44E8}" destId="{84310F49-4C7A-4DD5-9795-2B6C6B61923B}" srcOrd="0" destOrd="0" presId="urn:microsoft.com/office/officeart/2005/8/layout/hierarchy6"/>
    <dgm:cxn modelId="{690CE5DE-B85E-4915-BF2B-54930AD8B0E7}" type="presParOf" srcId="{BDA50792-D351-497C-8013-B9F5008C44E8}" destId="{EEAFCAE8-A302-4548-B412-024CF0F93278}" srcOrd="1" destOrd="0" presId="urn:microsoft.com/office/officeart/2005/8/layout/hierarchy6"/>
    <dgm:cxn modelId="{6AE8B306-C6B6-4DB3-BAA3-051DB1AEDDAE}" type="presParOf" srcId="{A730A76F-11D5-4D69-8C6E-F41994AFBD1E}" destId="{4B360FF8-3677-446E-A6E2-13E6A4111B3E}" srcOrd="1" destOrd="0" presId="urn:microsoft.com/office/officeart/2005/8/layout/hierarchy6"/>
    <dgm:cxn modelId="{735F92EB-3F52-4B38-B23A-91C0536F5F86}" type="presParOf" srcId="{4B360FF8-3677-446E-A6E2-13E6A4111B3E}" destId="{47E758BF-6965-4037-A59F-F32941524ADA}" srcOrd="0" destOrd="0" presId="urn:microsoft.com/office/officeart/2005/8/layout/hierarchy6"/>
    <dgm:cxn modelId="{4806115B-70A6-4530-AF5C-CD493ED2FE0F}" type="presParOf" srcId="{47E758BF-6965-4037-A59F-F32941524ADA}" destId="{F28AA412-838A-46C0-8CEB-9705F885836F}" srcOrd="0" destOrd="0" presId="urn:microsoft.com/office/officeart/2005/8/layout/hierarchy6"/>
    <dgm:cxn modelId="{41B541A6-26B3-4934-A189-571FE04D8C2B}" type="presParOf" srcId="{47E758BF-6965-4037-A59F-F32941524ADA}" destId="{EF058C19-6CAC-4164-8A27-1177B962A0DE}" srcOrd="1" destOrd="0" presId="urn:microsoft.com/office/officeart/2005/8/layout/hierarchy6"/>
    <dgm:cxn modelId="{4AA3F7ED-BB25-408F-9ED7-963A3CAC1FC8}" type="presParOf" srcId="{4B360FF8-3677-446E-A6E2-13E6A4111B3E}" destId="{F987FD00-A371-4CD6-A920-55F90179615B}" srcOrd="1" destOrd="0" presId="urn:microsoft.com/office/officeart/2005/8/layout/hierarchy6"/>
    <dgm:cxn modelId="{AA186CCB-1F85-426A-AA7E-ECB467DE880E}" type="presParOf" srcId="{F987FD00-A371-4CD6-A920-55F90179615B}" destId="{7885813C-3079-41C2-989A-5D1CDAC36F4A}" srcOrd="0" destOrd="0" presId="urn:microsoft.com/office/officeart/2005/8/layout/hierarchy6"/>
    <dgm:cxn modelId="{228F20CA-80EB-470C-B582-3E81B5AD5CC2}" type="presParOf" srcId="{4B360FF8-3677-446E-A6E2-13E6A4111B3E}" destId="{BC906F46-A536-41FF-9DFD-4B0BE2580D44}" srcOrd="2" destOrd="0" presId="urn:microsoft.com/office/officeart/2005/8/layout/hierarchy6"/>
    <dgm:cxn modelId="{F7D499E8-6861-4CE5-B6F4-31F83D00BD5C}" type="presParOf" srcId="{BC906F46-A536-41FF-9DFD-4B0BE2580D44}" destId="{84564905-388B-4C09-8C3F-32BB1B8199CB}" srcOrd="0" destOrd="0" presId="urn:microsoft.com/office/officeart/2005/8/layout/hierarchy6"/>
    <dgm:cxn modelId="{D6902BE8-3E9C-4700-940D-51AC96569588}" type="presParOf" srcId="{BC906F46-A536-41FF-9DFD-4B0BE2580D44}" destId="{6082C5DE-516D-4FCE-A692-681F92BFAD76}" srcOrd="1" destOrd="0" presId="urn:microsoft.com/office/officeart/2005/8/layout/hierarchy6"/>
    <dgm:cxn modelId="{54AADA44-E7AA-4168-A060-8D9D69D38A02}" type="presParOf" srcId="{4B360FF8-3677-446E-A6E2-13E6A4111B3E}" destId="{A7FC7908-D743-4793-8977-5F8B62DE9663}" srcOrd="3" destOrd="0" presId="urn:microsoft.com/office/officeart/2005/8/layout/hierarchy6"/>
    <dgm:cxn modelId="{10342877-F845-457A-814B-2025997AB95D}" type="presParOf" srcId="{A7FC7908-D743-4793-8977-5F8B62DE9663}" destId="{5FBA764A-4E62-4CE3-BC83-79E22800AB71}" srcOrd="0" destOrd="0" presId="urn:microsoft.com/office/officeart/2005/8/layout/hierarchy6"/>
    <dgm:cxn modelId="{4EAB245D-7376-4FB0-AEB4-3DA40D964D3D}" type="presParOf" srcId="{4B360FF8-3677-446E-A6E2-13E6A4111B3E}" destId="{4DB5E5A6-7E01-4EEB-AB34-D707AAC29E94}" srcOrd="4" destOrd="0" presId="urn:microsoft.com/office/officeart/2005/8/layout/hierarchy6"/>
    <dgm:cxn modelId="{CC2E01CA-D0B8-4AFB-9E50-A7E2ADB7BF69}" type="presParOf" srcId="{4DB5E5A6-7E01-4EEB-AB34-D707AAC29E94}" destId="{A8316412-BD00-4A85-AEED-722AE9ED7C29}" srcOrd="0" destOrd="0" presId="urn:microsoft.com/office/officeart/2005/8/layout/hierarchy6"/>
    <dgm:cxn modelId="{6DA46DD0-6FA5-4FCD-B98B-6DDB8E4BA643}" type="presParOf" srcId="{4DB5E5A6-7E01-4EEB-AB34-D707AAC29E94}" destId="{975B27AB-AE59-416D-BA78-956D0F4FE32F}" srcOrd="1" destOrd="0" presId="urn:microsoft.com/office/officeart/2005/8/layout/hierarchy6"/>
    <dgm:cxn modelId="{782FAC56-E3FC-41D0-BD07-43107FBD0C0A}" type="presParOf" srcId="{4B360FF8-3677-446E-A6E2-13E6A4111B3E}" destId="{43F01DEF-4FA4-477B-9F92-B2B94F4F47EF}" srcOrd="5" destOrd="0" presId="urn:microsoft.com/office/officeart/2005/8/layout/hierarchy6"/>
    <dgm:cxn modelId="{40D8BAC2-978C-4C87-8DCC-D2BB006C79C8}" type="presParOf" srcId="{43F01DEF-4FA4-477B-9F92-B2B94F4F47EF}" destId="{DC1C5ADB-EC1B-46FF-B7BA-58A819BF4FBF}" srcOrd="0" destOrd="0" presId="urn:microsoft.com/office/officeart/2005/8/layout/hierarchy6"/>
    <dgm:cxn modelId="{7C51458C-107D-45CC-A0EC-BAFF4E82B608}" type="presParOf" srcId="{4B360FF8-3677-446E-A6E2-13E6A4111B3E}" destId="{77E3B7E9-DA02-41F1-8C52-86FC5E2FA576}" srcOrd="6" destOrd="0" presId="urn:microsoft.com/office/officeart/2005/8/layout/hierarchy6"/>
    <dgm:cxn modelId="{E38E551E-356F-4F85-AA46-B989ED95D2E6}" type="presParOf" srcId="{77E3B7E9-DA02-41F1-8C52-86FC5E2FA576}" destId="{55A32CF1-776D-410F-9F01-A769A6F0298D}" srcOrd="0" destOrd="0" presId="urn:microsoft.com/office/officeart/2005/8/layout/hierarchy6"/>
    <dgm:cxn modelId="{62B0B39A-7518-4061-B249-CD9E90895E1D}" type="presParOf" srcId="{77E3B7E9-DA02-41F1-8C52-86FC5E2FA576}" destId="{650B566F-886A-4FBA-8E51-D579E7C16453}" srcOrd="1" destOrd="0" presId="urn:microsoft.com/office/officeart/2005/8/layout/hierarchy6"/>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A32CF1-776D-410F-9F01-A769A6F0298D}">
      <dsp:nvSpPr>
        <dsp:cNvPr id="0" name=""/>
        <dsp:cNvSpPr/>
      </dsp:nvSpPr>
      <dsp:spPr>
        <a:xfrm>
          <a:off x="0" y="2852591"/>
          <a:ext cx="6341110" cy="813693"/>
        </a:xfrm>
        <a:prstGeom prst="roundRect">
          <a:avLst>
            <a:gd name="adj" fmla="val 1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AU" sz="900" kern="1200"/>
            <a:t>Open to all registrants of ag or vet chemicals, no membership required</a:t>
          </a:r>
        </a:p>
      </dsp:txBody>
      <dsp:txXfrm>
        <a:off x="0" y="2852591"/>
        <a:ext cx="1902333" cy="813693"/>
      </dsp:txXfrm>
    </dsp:sp>
    <dsp:sp modelId="{A8316412-BD00-4A85-AEED-722AE9ED7C29}">
      <dsp:nvSpPr>
        <dsp:cNvPr id="0" name=""/>
        <dsp:cNvSpPr/>
      </dsp:nvSpPr>
      <dsp:spPr>
        <a:xfrm>
          <a:off x="0" y="1903282"/>
          <a:ext cx="6341110" cy="813693"/>
        </a:xfrm>
        <a:prstGeom prst="roundRect">
          <a:avLst>
            <a:gd name="adj" fmla="val 1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AU" sz="900" kern="1200"/>
            <a:t>Open to the industry associations representing registrants or industry organisations who are registrants of agvet chemicals or permits</a:t>
          </a:r>
        </a:p>
      </dsp:txBody>
      <dsp:txXfrm>
        <a:off x="0" y="1903282"/>
        <a:ext cx="1902333" cy="813693"/>
      </dsp:txXfrm>
    </dsp:sp>
    <dsp:sp modelId="{84564905-388B-4C09-8C3F-32BB1B8199CB}">
      <dsp:nvSpPr>
        <dsp:cNvPr id="0" name=""/>
        <dsp:cNvSpPr/>
      </dsp:nvSpPr>
      <dsp:spPr>
        <a:xfrm>
          <a:off x="0" y="953973"/>
          <a:ext cx="6341110" cy="813693"/>
        </a:xfrm>
        <a:prstGeom prst="roundRect">
          <a:avLst>
            <a:gd name="adj" fmla="val 1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100000"/>
            </a:lnSpc>
            <a:spcBef>
              <a:spcPct val="0"/>
            </a:spcBef>
            <a:spcAft>
              <a:spcPct val="35000"/>
            </a:spcAft>
            <a:buNone/>
          </a:pPr>
          <a:r>
            <a:rPr lang="en-AU" sz="900" u="none" kern="1200"/>
            <a:t>Representatives of registrants, users, and suppliers of agvet chemicals, and NGO's with a specific interest in statutory criteria's of safety, efficacy, trade and labelling</a:t>
          </a:r>
          <a:endParaRPr lang="en-AU" sz="900" kern="1200"/>
        </a:p>
      </dsp:txBody>
      <dsp:txXfrm>
        <a:off x="0" y="953973"/>
        <a:ext cx="1902333" cy="813693"/>
      </dsp:txXfrm>
    </dsp:sp>
    <dsp:sp modelId="{F28AA412-838A-46C0-8CEB-9705F885836F}">
      <dsp:nvSpPr>
        <dsp:cNvPr id="0" name=""/>
        <dsp:cNvSpPr/>
      </dsp:nvSpPr>
      <dsp:spPr>
        <a:xfrm>
          <a:off x="0" y="4664"/>
          <a:ext cx="6341110" cy="813693"/>
        </a:xfrm>
        <a:prstGeom prst="roundRect">
          <a:avLst>
            <a:gd name="adj" fmla="val 1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100000"/>
            </a:lnSpc>
            <a:spcBef>
              <a:spcPct val="0"/>
            </a:spcBef>
            <a:spcAft>
              <a:spcPct val="35000"/>
            </a:spcAft>
            <a:buNone/>
          </a:pPr>
          <a:r>
            <a:rPr lang="en-AU" sz="900" u="none" kern="1200">
              <a:uFillTx/>
            </a:rPr>
            <a:t>Current Registration Liaison Forum with state and territory governments providing a t</a:t>
          </a:r>
          <a:r>
            <a:rPr lang="en-AU" sz="900" u="none" kern="1200"/>
            <a:t>wo-way dialogue on agvet chemical registration and control of use issues </a:t>
          </a:r>
          <a:endParaRPr lang="en-AU" sz="900" kern="1200"/>
        </a:p>
      </dsp:txBody>
      <dsp:txXfrm>
        <a:off x="0" y="4664"/>
        <a:ext cx="1902333" cy="813693"/>
      </dsp:txXfrm>
    </dsp:sp>
    <dsp:sp modelId="{EDEB2CCB-4849-4BBD-AB1C-A01AFF1602FF}">
      <dsp:nvSpPr>
        <dsp:cNvPr id="0" name=""/>
        <dsp:cNvSpPr/>
      </dsp:nvSpPr>
      <dsp:spPr>
        <a:xfrm>
          <a:off x="3195828" y="72472"/>
          <a:ext cx="1017116" cy="678077"/>
        </a:xfrm>
        <a:prstGeom prst="roundRect">
          <a:avLst>
            <a:gd name="adj" fmla="val 10000"/>
          </a:avLst>
        </a:prstGeom>
        <a:solidFill>
          <a:schemeClr val="accent2">
            <a:lumMod val="7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100000"/>
            </a:lnSpc>
            <a:spcBef>
              <a:spcPct val="0"/>
            </a:spcBef>
            <a:spcAft>
              <a:spcPct val="35000"/>
            </a:spcAft>
            <a:buNone/>
          </a:pPr>
          <a:r>
            <a:rPr lang="en-AU" sz="900" b="1" kern="1200">
              <a:solidFill>
                <a:schemeClr val="accent1">
                  <a:lumMod val="20000"/>
                  <a:lumOff val="80000"/>
                </a:schemeClr>
              </a:solidFill>
            </a:rPr>
            <a:t>National Registration Scheme (NRS) Advisory Group</a:t>
          </a:r>
        </a:p>
      </dsp:txBody>
      <dsp:txXfrm>
        <a:off x="3215688" y="92332"/>
        <a:ext cx="977396" cy="638357"/>
      </dsp:txXfrm>
    </dsp:sp>
    <dsp:sp modelId="{0372DB1E-F6ED-4A46-BD5C-3076DD6A2953}">
      <dsp:nvSpPr>
        <dsp:cNvPr id="0" name=""/>
        <dsp:cNvSpPr/>
      </dsp:nvSpPr>
      <dsp:spPr>
        <a:xfrm>
          <a:off x="3658666" y="750550"/>
          <a:ext cx="91440" cy="271231"/>
        </a:xfrm>
        <a:custGeom>
          <a:avLst/>
          <a:gdLst/>
          <a:ahLst/>
          <a:cxnLst/>
          <a:rect l="0" t="0" r="0" b="0"/>
          <a:pathLst>
            <a:path>
              <a:moveTo>
                <a:pt x="45720" y="0"/>
              </a:moveTo>
              <a:lnTo>
                <a:pt x="45720" y="271231"/>
              </a:lnTo>
            </a:path>
          </a:pathLst>
        </a:custGeom>
        <a:noFill/>
        <a:ln w="19050" cap="flat" cmpd="sng" algn="ctr">
          <a:solidFill>
            <a:schemeClr val="dk1"/>
          </a:solidFill>
          <a:prstDash val="solid"/>
          <a:miter lim="800000"/>
          <a:headEnd type="none" w="med" len="med"/>
          <a:tailEnd type="none" w="med" len="med"/>
        </a:ln>
        <a:effectLst/>
      </dsp:spPr>
      <dsp:style>
        <a:lnRef idx="3">
          <a:schemeClr val="dk1"/>
        </a:lnRef>
        <a:fillRef idx="0">
          <a:schemeClr val="dk1"/>
        </a:fillRef>
        <a:effectRef idx="2">
          <a:schemeClr val="dk1"/>
        </a:effectRef>
        <a:fontRef idx="minor">
          <a:schemeClr val="tx1"/>
        </a:fontRef>
      </dsp:style>
    </dsp:sp>
    <dsp:sp modelId="{A6744C12-B497-4CE4-864C-9C39BE0EA0AD}">
      <dsp:nvSpPr>
        <dsp:cNvPr id="0" name=""/>
        <dsp:cNvSpPr/>
      </dsp:nvSpPr>
      <dsp:spPr>
        <a:xfrm>
          <a:off x="2648579" y="1021781"/>
          <a:ext cx="2111615" cy="678077"/>
        </a:xfrm>
        <a:prstGeom prst="roundRect">
          <a:avLst>
            <a:gd name="adj" fmla="val 10000"/>
          </a:avLst>
        </a:prstGeom>
        <a:solidFill>
          <a:schemeClr val="accent4">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100000"/>
            </a:lnSpc>
            <a:spcBef>
              <a:spcPct val="0"/>
            </a:spcBef>
            <a:spcAft>
              <a:spcPct val="35000"/>
            </a:spcAft>
            <a:buNone/>
          </a:pPr>
          <a:r>
            <a:rPr lang="en-AU" sz="900" b="1" kern="1200">
              <a:solidFill>
                <a:schemeClr val="accent1">
                  <a:lumMod val="20000"/>
                  <a:lumOff val="80000"/>
                </a:schemeClr>
              </a:solidFill>
            </a:rPr>
            <a:t>APVMA Advisory Group</a:t>
          </a:r>
        </a:p>
      </dsp:txBody>
      <dsp:txXfrm>
        <a:off x="2668439" y="1041641"/>
        <a:ext cx="2071895" cy="638357"/>
      </dsp:txXfrm>
    </dsp:sp>
    <dsp:sp modelId="{622065D1-7C31-4DF5-A4A6-D96E1D7CEE35}">
      <dsp:nvSpPr>
        <dsp:cNvPr id="0" name=""/>
        <dsp:cNvSpPr/>
      </dsp:nvSpPr>
      <dsp:spPr>
        <a:xfrm>
          <a:off x="2878849" y="1699858"/>
          <a:ext cx="825537" cy="271231"/>
        </a:xfrm>
        <a:custGeom>
          <a:avLst/>
          <a:gdLst/>
          <a:ahLst/>
          <a:cxnLst/>
          <a:rect l="0" t="0" r="0" b="0"/>
          <a:pathLst>
            <a:path>
              <a:moveTo>
                <a:pt x="825537" y="0"/>
              </a:moveTo>
              <a:lnTo>
                <a:pt x="825537" y="135615"/>
              </a:lnTo>
              <a:lnTo>
                <a:pt x="0" y="135615"/>
              </a:lnTo>
              <a:lnTo>
                <a:pt x="0" y="271231"/>
              </a:lnTo>
            </a:path>
          </a:pathLst>
        </a:custGeom>
        <a:noFill/>
        <a:ln w="19050" cap="flat" cmpd="sng" algn="ctr">
          <a:solidFill>
            <a:schemeClr val="dk1"/>
          </a:solidFill>
          <a:prstDash val="solid"/>
          <a:miter lim="800000"/>
          <a:headEnd type="none" w="med" len="med"/>
          <a:tailEnd type="none" w="med" len="med"/>
        </a:ln>
        <a:effectLst/>
      </dsp:spPr>
      <dsp:style>
        <a:lnRef idx="3">
          <a:schemeClr val="dk1"/>
        </a:lnRef>
        <a:fillRef idx="0">
          <a:schemeClr val="dk1"/>
        </a:fillRef>
        <a:effectRef idx="2">
          <a:schemeClr val="dk1"/>
        </a:effectRef>
        <a:fontRef idx="minor">
          <a:schemeClr val="tx1"/>
        </a:fontRef>
      </dsp:style>
    </dsp:sp>
    <dsp:sp modelId="{D82EE72F-DE3D-44B7-8396-2EF32E9295C6}">
      <dsp:nvSpPr>
        <dsp:cNvPr id="0" name=""/>
        <dsp:cNvSpPr/>
      </dsp:nvSpPr>
      <dsp:spPr>
        <a:xfrm>
          <a:off x="2205879" y="1971090"/>
          <a:ext cx="1345940" cy="678077"/>
        </a:xfrm>
        <a:prstGeom prst="roundRect">
          <a:avLst>
            <a:gd name="adj" fmla="val 10000"/>
          </a:avLst>
        </a:prstGeom>
        <a:solidFill>
          <a:schemeClr val="accent5">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b="1" kern="1200">
              <a:solidFill>
                <a:schemeClr val="accent1">
                  <a:lumMod val="20000"/>
                  <a:lumOff val="80000"/>
                </a:schemeClr>
              </a:solidFill>
            </a:rPr>
            <a:t>Ag Chemical Registrants Working Group</a:t>
          </a:r>
        </a:p>
      </dsp:txBody>
      <dsp:txXfrm>
        <a:off x="2225739" y="1990950"/>
        <a:ext cx="1306220" cy="638357"/>
      </dsp:txXfrm>
    </dsp:sp>
    <dsp:sp modelId="{EF04801F-A6F6-4769-899C-FC9ED50D8756}">
      <dsp:nvSpPr>
        <dsp:cNvPr id="0" name=""/>
        <dsp:cNvSpPr/>
      </dsp:nvSpPr>
      <dsp:spPr>
        <a:xfrm>
          <a:off x="3704386" y="1699858"/>
          <a:ext cx="825537" cy="271231"/>
        </a:xfrm>
        <a:custGeom>
          <a:avLst/>
          <a:gdLst/>
          <a:ahLst/>
          <a:cxnLst/>
          <a:rect l="0" t="0" r="0" b="0"/>
          <a:pathLst>
            <a:path>
              <a:moveTo>
                <a:pt x="0" y="0"/>
              </a:moveTo>
              <a:lnTo>
                <a:pt x="0" y="135615"/>
              </a:lnTo>
              <a:lnTo>
                <a:pt x="825537" y="135615"/>
              </a:lnTo>
              <a:lnTo>
                <a:pt x="825537" y="271231"/>
              </a:lnTo>
            </a:path>
          </a:pathLst>
        </a:custGeom>
        <a:noFill/>
        <a:ln w="19050" cap="flat" cmpd="sng" algn="ctr">
          <a:solidFill>
            <a:schemeClr val="dk1"/>
          </a:solidFill>
          <a:prstDash val="solid"/>
          <a:miter lim="800000"/>
          <a:headEnd type="none" w="med" len="med"/>
          <a:tailEnd type="none" w="med" len="med"/>
        </a:ln>
        <a:effectLst/>
      </dsp:spPr>
      <dsp:style>
        <a:lnRef idx="3">
          <a:schemeClr val="dk1"/>
        </a:lnRef>
        <a:fillRef idx="0">
          <a:schemeClr val="dk1"/>
        </a:fillRef>
        <a:effectRef idx="2">
          <a:schemeClr val="dk1"/>
        </a:effectRef>
        <a:fontRef idx="minor">
          <a:schemeClr val="tx1"/>
        </a:fontRef>
      </dsp:style>
    </dsp:sp>
    <dsp:sp modelId="{3F1D8411-341C-4FDE-BB89-B209A700C2BE}">
      <dsp:nvSpPr>
        <dsp:cNvPr id="0" name=""/>
        <dsp:cNvSpPr/>
      </dsp:nvSpPr>
      <dsp:spPr>
        <a:xfrm>
          <a:off x="3856954" y="1971090"/>
          <a:ext cx="1345940" cy="678077"/>
        </a:xfrm>
        <a:prstGeom prst="roundRect">
          <a:avLst>
            <a:gd name="adj" fmla="val 10000"/>
          </a:avLst>
        </a:prstGeom>
        <a:solidFill>
          <a:schemeClr val="accent5">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b="1" kern="1200">
              <a:solidFill>
                <a:schemeClr val="accent1">
                  <a:lumMod val="20000"/>
                  <a:lumOff val="80000"/>
                </a:schemeClr>
              </a:solidFill>
            </a:rPr>
            <a:t>Vet Chemical Registrants Working Group</a:t>
          </a:r>
        </a:p>
      </dsp:txBody>
      <dsp:txXfrm>
        <a:off x="3876814" y="1990950"/>
        <a:ext cx="1306220" cy="638357"/>
      </dsp:txXfrm>
    </dsp:sp>
    <dsp:sp modelId="{6BE2FCCA-F170-4015-8975-77CE925D67B8}">
      <dsp:nvSpPr>
        <dsp:cNvPr id="0" name=""/>
        <dsp:cNvSpPr/>
      </dsp:nvSpPr>
      <dsp:spPr>
        <a:xfrm>
          <a:off x="3697607" y="2649167"/>
          <a:ext cx="832316" cy="288094"/>
        </a:xfrm>
        <a:custGeom>
          <a:avLst/>
          <a:gdLst/>
          <a:ahLst/>
          <a:cxnLst/>
          <a:rect l="0" t="0" r="0" b="0"/>
          <a:pathLst>
            <a:path>
              <a:moveTo>
                <a:pt x="832316" y="0"/>
              </a:moveTo>
              <a:lnTo>
                <a:pt x="832316" y="144047"/>
              </a:lnTo>
              <a:lnTo>
                <a:pt x="0" y="144047"/>
              </a:lnTo>
              <a:lnTo>
                <a:pt x="0" y="288094"/>
              </a:lnTo>
            </a:path>
          </a:pathLst>
        </a:custGeom>
        <a:noFill/>
        <a:ln w="19050" cap="flat" cmpd="sng" algn="ctr">
          <a:solidFill>
            <a:schemeClr val="dk1"/>
          </a:solidFill>
          <a:prstDash val="solid"/>
          <a:miter lim="800000"/>
          <a:headEnd type="none" w="med" len="med"/>
          <a:tailEnd type="none" w="med" len="med"/>
        </a:ln>
        <a:effectLst/>
      </dsp:spPr>
      <dsp:style>
        <a:lnRef idx="3">
          <a:schemeClr val="dk1"/>
        </a:lnRef>
        <a:fillRef idx="0">
          <a:schemeClr val="dk1"/>
        </a:fillRef>
        <a:effectRef idx="2">
          <a:schemeClr val="dk1"/>
        </a:effectRef>
        <a:fontRef idx="minor">
          <a:schemeClr val="tx1"/>
        </a:fontRef>
      </dsp:style>
    </dsp:sp>
    <dsp:sp modelId="{84310F49-4C7A-4DD5-9795-2B6C6B61923B}">
      <dsp:nvSpPr>
        <dsp:cNvPr id="0" name=""/>
        <dsp:cNvSpPr/>
      </dsp:nvSpPr>
      <dsp:spPr>
        <a:xfrm>
          <a:off x="2316790" y="2937262"/>
          <a:ext cx="2761634" cy="678077"/>
        </a:xfrm>
        <a:prstGeom prst="roundRect">
          <a:avLst>
            <a:gd name="adj" fmla="val 10000"/>
          </a:avLst>
        </a:prstGeom>
        <a:solidFill>
          <a:schemeClr val="accent6">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b="1" kern="1200">
              <a:solidFill>
                <a:schemeClr val="accent1">
                  <a:lumMod val="20000"/>
                  <a:lumOff val="80000"/>
                </a:schemeClr>
              </a:solidFill>
            </a:rPr>
            <a:t>APVMA registrants information updates</a:t>
          </a:r>
        </a:p>
      </dsp:txBody>
      <dsp:txXfrm>
        <a:off x="2336650" y="2957122"/>
        <a:ext cx="2721914" cy="63835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A3398324</value>
    </field>
    <field name="Objective-Title">
      <value order="0">APVMA stakeholder forums proposal 2024</value>
    </field>
    <field name="Objective-Description">
      <value order="0"/>
    </field>
    <field name="Objective-CreationStamp">
      <value order="0">2024-11-06T04:28:14Z</value>
    </field>
    <field name="Objective-IsApproved">
      <value order="0">false</value>
    </field>
    <field name="Objective-IsPublished">
      <value order="0">false</value>
    </field>
    <field name="Objective-DatePublished">
      <value order="0"/>
    </field>
    <field name="Objective-ModificationStamp">
      <value order="0">2024-12-12T04:06:34Z</value>
    </field>
    <field name="Objective-Owner">
      <value order="0">Stephanie Simpson</value>
    </field>
    <field name="Objective-Path">
      <value order="0">APVMA:REFORM AND ENGAGEMENT:Stakeholder Engagement:Projects:Stakeholder Forums Review 2024</value>
    </field>
    <field name="Objective-Parent">
      <value order="0">Stakeholder Forums Review 2024</value>
    </field>
    <field name="Objective-State">
      <value order="0">Being Edited</value>
    </field>
    <field name="Objective-VersionId">
      <value order="0">vA5128469</value>
    </field>
    <field name="Objective-Version">
      <value order="0">1.4</value>
    </field>
    <field name="Objective-VersionNumber">
      <value order="0">30</value>
    </field>
    <field name="Objective-VersionComment">
      <value order="0"/>
    </field>
    <field name="Objective-FileNumber">
      <value order="0">2024\4801</value>
    </field>
    <field name="Objective-Classification">
      <value order="0"/>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D6229850-2799-4ECB-959A-00125EFD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1</TotalTime>
  <Pages>13</Pages>
  <Words>2389</Words>
  <Characters>13881</Characters>
  <Application>Microsoft Office Word</Application>
  <DocSecurity>0</DocSecurity>
  <Lines>355</Lines>
  <Paragraphs>203</Paragraphs>
  <ScaleCrop>false</ScaleCrop>
  <HeadingPairs>
    <vt:vector size="2" baseType="variant">
      <vt:variant>
        <vt:lpstr>Title</vt:lpstr>
      </vt:variant>
      <vt:variant>
        <vt:i4>1</vt:i4>
      </vt:variant>
    </vt:vector>
  </HeadingPairs>
  <TitlesOfParts>
    <vt:vector size="1" baseType="lpstr">
      <vt:lpstr>Renewing the APVMA’s engagement model – Consultation Paper</vt:lpstr>
    </vt:vector>
  </TitlesOfParts>
  <Manager/>
  <Company>Australian Pesticides and Veterinary Medicines Authority</Company>
  <LinksUpToDate>false</LinksUpToDate>
  <CharactersWithSpaces>16067</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Renewing the APVMA’s engagement model – Consultation Paper - December 2024</dc:title>
  <dc:subject/>
  <dc:creator>APVMA</dc:creator>
  <cp:keywords/>
  <dc:description/>
  <cp:lastModifiedBy>WARDLE, Jocelyn</cp:lastModifiedBy>
  <cp:revision>4</cp:revision>
  <cp:lastPrinted>2024-11-20T06:51:00Z</cp:lastPrinted>
  <dcterms:created xsi:type="dcterms:W3CDTF">2024-12-12T04:06:00Z</dcterms:created>
  <dcterms:modified xsi:type="dcterms:W3CDTF">2024-12-12T04:59:00Z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A3398324</vt:lpwstr>
  </property>
  <property fmtid="{D5CDD505-2E9C-101B-9397-08002B2CF9AE}" pid="4" name="Objective-Title">
    <vt:lpwstr>APVMA stakeholder forums proposal 2024</vt:lpwstr>
  </property>
  <property fmtid="{D5CDD505-2E9C-101B-9397-08002B2CF9AE}" pid="5" name="Objective-Comment">
    <vt:lpwstr/>
  </property>
  <property fmtid="{D5CDD505-2E9C-101B-9397-08002B2CF9AE}" pid="6" name="Objective-CreationStamp">
    <vt:filetime>2024-11-06T04:28:14Z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2024-12-12T04:06:34Z</vt:filetime>
  </property>
  <property fmtid="{D5CDD505-2E9C-101B-9397-08002B2CF9AE}" pid="11" name="Objective-Owner">
    <vt:lpwstr>Stephanie Simpson</vt:lpwstr>
  </property>
  <property fmtid="{D5CDD505-2E9C-101B-9397-08002B2CF9AE}" pid="12" name="Objective-Path">
    <vt:lpwstr>APVMA:REFORM AND ENGAGEMENT:Stakeholder Engagement:Projects:Stakeholder Forums Review 2024</vt:lpwstr>
  </property>
  <property fmtid="{D5CDD505-2E9C-101B-9397-08002B2CF9AE}" pid="13" name="Objective-Parent">
    <vt:lpwstr>Stakeholder Forums Review 2024</vt:lpwstr>
  </property>
  <property fmtid="{D5CDD505-2E9C-101B-9397-08002B2CF9AE}" pid="14" name="Objective-State">
    <vt:lpwstr>Being Edited</vt:lpwstr>
  </property>
  <property fmtid="{D5CDD505-2E9C-101B-9397-08002B2CF9AE}" pid="15" name="Objective-Version">
    <vt:lpwstr>1.4</vt:lpwstr>
  </property>
  <property fmtid="{D5CDD505-2E9C-101B-9397-08002B2CF9AE}" pid="16" name="Objective-VersionNumber">
    <vt:r8>30</vt:r8>
  </property>
  <property fmtid="{D5CDD505-2E9C-101B-9397-08002B2CF9AE}" pid="17" name="Objective-VersionComment">
    <vt:lpwstr/>
  </property>
  <property fmtid="{D5CDD505-2E9C-101B-9397-08002B2CF9AE}" pid="18" name="Objective-FileNumber">
    <vt:lpwstr>2024\4801</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vA5128469</vt:lpwstr>
  </property>
  <property fmtid="{D5CDD505-2E9C-101B-9397-08002B2CF9AE}" pid="23" name="Objective-Connect Creator">
    <vt:lpwstr/>
  </property>
</Properties>
</file>