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05B9758F">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36543983">
            <wp:extent cx="2685600" cy="2445923"/>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3A8B7B5D" w:rsidR="003C0891" w:rsidRDefault="000D4F34" w:rsidP="00193533">
      <w:pPr>
        <w:pStyle w:val="APVMACoverSubtitle"/>
        <w:jc w:val="center"/>
      </w:pPr>
      <w:r>
        <w:t xml:space="preserve">For use of </w:t>
      </w:r>
      <w:proofErr w:type="spellStart"/>
      <w:r>
        <w:t>Merivon</w:t>
      </w:r>
      <w:proofErr w:type="spellEnd"/>
      <w:r>
        <w:t xml:space="preserve"> Fungicide containing pyraclostrobin and fluxapyroxad on cotton </w:t>
      </w:r>
    </w:p>
    <w:p w14:paraId="7FB897BF" w14:textId="29684A83" w:rsidR="006D36C8" w:rsidRDefault="006D36C8" w:rsidP="00193533">
      <w:pPr>
        <w:pStyle w:val="APVMACoverSubtitle"/>
        <w:jc w:val="center"/>
      </w:pPr>
      <w:r>
        <w:t xml:space="preserve">APVMA </w:t>
      </w:r>
      <w:r w:rsidR="00B561F3">
        <w:t>PER144790</w:t>
      </w:r>
    </w:p>
    <w:p w14:paraId="5C6E8565" w14:textId="6B682FD3" w:rsidR="00193533" w:rsidRPr="00E41FED" w:rsidRDefault="000D4F34"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November</w:t>
      </w:r>
      <w:r w:rsidR="00204739">
        <w:t xml:space="preserve"> 2024</w:t>
      </w:r>
    </w:p>
    <w:p w14:paraId="170061D7" w14:textId="68E87C42" w:rsidR="00862E63" w:rsidRPr="005C0ACC" w:rsidRDefault="00862E63" w:rsidP="00021A6A">
      <w:pPr>
        <w:pStyle w:val="Copyrightpage"/>
      </w:pPr>
      <w:r w:rsidRPr="005C0ACC">
        <w:lastRenderedPageBreak/>
        <w:t xml:space="preserve">© Australian Pesticides and Veterinary Medicines Authority </w:t>
      </w:r>
      <w:r w:rsidR="00204739" w:rsidRPr="00204739">
        <w:t>2024</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32FF29C0" w:rsidR="00862E63" w:rsidRPr="009A7614" w:rsidRDefault="00862E63" w:rsidP="00021A6A">
      <w:pPr>
        <w:pStyle w:val="Copyrightpage"/>
      </w:pPr>
      <w:r w:rsidRPr="005C0ACC">
        <w:t>The material in or linking from this report may contain the views or recommendations of third parties. Third party material does not necessarily reflect the 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06C3B874"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 xml:space="preserve">GPO Box </w:t>
      </w:r>
      <w:r w:rsidR="00C17806">
        <w:t>574</w:t>
      </w:r>
      <w:r w:rsidR="00021A6A">
        <w:br/>
      </w:r>
      <w:r w:rsidR="00C17806">
        <w:t>Canberra ACT</w:t>
      </w:r>
      <w:r w:rsidR="00F74FA6">
        <w:t xml:space="preserve"> 2</w:t>
      </w:r>
      <w:r w:rsidR="00C17806">
        <w:t>6</w:t>
      </w:r>
      <w:r w:rsidR="00F74FA6">
        <w:t>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5E6A6EE1" w14:textId="0FAF3CF4" w:rsidR="001C5B28"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81887220" w:history="1">
        <w:r w:rsidR="001C5B28" w:rsidRPr="00EA0B19">
          <w:rPr>
            <w:rStyle w:val="Hyperlink"/>
          </w:rPr>
          <w:t>Preface</w:t>
        </w:r>
        <w:r w:rsidR="001C5B28">
          <w:rPr>
            <w:webHidden/>
          </w:rPr>
          <w:tab/>
        </w:r>
        <w:r w:rsidR="001C5B28">
          <w:rPr>
            <w:webHidden/>
          </w:rPr>
          <w:fldChar w:fldCharType="begin"/>
        </w:r>
        <w:r w:rsidR="001C5B28">
          <w:rPr>
            <w:webHidden/>
          </w:rPr>
          <w:instrText xml:space="preserve"> PAGEREF _Toc181887220 \h </w:instrText>
        </w:r>
        <w:r w:rsidR="001C5B28">
          <w:rPr>
            <w:webHidden/>
          </w:rPr>
        </w:r>
        <w:r w:rsidR="001C5B28">
          <w:rPr>
            <w:webHidden/>
          </w:rPr>
          <w:fldChar w:fldCharType="separate"/>
        </w:r>
        <w:r w:rsidR="001C5B28">
          <w:rPr>
            <w:webHidden/>
          </w:rPr>
          <w:t>1</w:t>
        </w:r>
        <w:r w:rsidR="001C5B28">
          <w:rPr>
            <w:webHidden/>
          </w:rPr>
          <w:fldChar w:fldCharType="end"/>
        </w:r>
      </w:hyperlink>
    </w:p>
    <w:p w14:paraId="342C9A16" w14:textId="5937AAAB"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21" w:history="1">
        <w:r w:rsidR="001C5B28" w:rsidRPr="00EA0B19">
          <w:rPr>
            <w:rStyle w:val="Hyperlink"/>
          </w:rPr>
          <w:t>About this document</w:t>
        </w:r>
        <w:r w:rsidR="001C5B28">
          <w:rPr>
            <w:webHidden/>
          </w:rPr>
          <w:tab/>
        </w:r>
        <w:r w:rsidR="001C5B28">
          <w:rPr>
            <w:webHidden/>
          </w:rPr>
          <w:fldChar w:fldCharType="begin"/>
        </w:r>
        <w:r w:rsidR="001C5B28">
          <w:rPr>
            <w:webHidden/>
          </w:rPr>
          <w:instrText xml:space="preserve"> PAGEREF _Toc181887221 \h </w:instrText>
        </w:r>
        <w:r w:rsidR="001C5B28">
          <w:rPr>
            <w:webHidden/>
          </w:rPr>
        </w:r>
        <w:r w:rsidR="001C5B28">
          <w:rPr>
            <w:webHidden/>
          </w:rPr>
          <w:fldChar w:fldCharType="separate"/>
        </w:r>
        <w:r w:rsidR="001C5B28">
          <w:rPr>
            <w:webHidden/>
          </w:rPr>
          <w:t>1</w:t>
        </w:r>
        <w:r w:rsidR="001C5B28">
          <w:rPr>
            <w:webHidden/>
          </w:rPr>
          <w:fldChar w:fldCharType="end"/>
        </w:r>
      </w:hyperlink>
    </w:p>
    <w:p w14:paraId="2E200A7F" w14:textId="7EBCEB28"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22" w:history="1">
        <w:r w:rsidR="001C5B28" w:rsidRPr="00EA0B19">
          <w:rPr>
            <w:rStyle w:val="Hyperlink"/>
          </w:rPr>
          <w:t>Making a submission</w:t>
        </w:r>
        <w:r w:rsidR="001C5B28">
          <w:rPr>
            <w:webHidden/>
          </w:rPr>
          <w:tab/>
        </w:r>
        <w:r w:rsidR="001C5B28">
          <w:rPr>
            <w:webHidden/>
          </w:rPr>
          <w:fldChar w:fldCharType="begin"/>
        </w:r>
        <w:r w:rsidR="001C5B28">
          <w:rPr>
            <w:webHidden/>
          </w:rPr>
          <w:instrText xml:space="preserve"> PAGEREF _Toc181887222 \h </w:instrText>
        </w:r>
        <w:r w:rsidR="001C5B28">
          <w:rPr>
            <w:webHidden/>
          </w:rPr>
        </w:r>
        <w:r w:rsidR="001C5B28">
          <w:rPr>
            <w:webHidden/>
          </w:rPr>
          <w:fldChar w:fldCharType="separate"/>
        </w:r>
        <w:r w:rsidR="001C5B28">
          <w:rPr>
            <w:webHidden/>
          </w:rPr>
          <w:t>1</w:t>
        </w:r>
        <w:r w:rsidR="001C5B28">
          <w:rPr>
            <w:webHidden/>
          </w:rPr>
          <w:fldChar w:fldCharType="end"/>
        </w:r>
      </w:hyperlink>
    </w:p>
    <w:p w14:paraId="1E3F6F13" w14:textId="2254D910"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23" w:history="1">
        <w:r w:rsidR="001C5B28" w:rsidRPr="00EA0B19">
          <w:rPr>
            <w:rStyle w:val="Hyperlink"/>
          </w:rPr>
          <w:t>Further information</w:t>
        </w:r>
        <w:r w:rsidR="001C5B28">
          <w:rPr>
            <w:webHidden/>
          </w:rPr>
          <w:tab/>
        </w:r>
        <w:r w:rsidR="001C5B28">
          <w:rPr>
            <w:webHidden/>
          </w:rPr>
          <w:fldChar w:fldCharType="begin"/>
        </w:r>
        <w:r w:rsidR="001C5B28">
          <w:rPr>
            <w:webHidden/>
          </w:rPr>
          <w:instrText xml:space="preserve"> PAGEREF _Toc181887223 \h </w:instrText>
        </w:r>
        <w:r w:rsidR="001C5B28">
          <w:rPr>
            <w:webHidden/>
          </w:rPr>
        </w:r>
        <w:r w:rsidR="001C5B28">
          <w:rPr>
            <w:webHidden/>
          </w:rPr>
          <w:fldChar w:fldCharType="separate"/>
        </w:r>
        <w:r w:rsidR="001C5B28">
          <w:rPr>
            <w:webHidden/>
          </w:rPr>
          <w:t>2</w:t>
        </w:r>
        <w:r w:rsidR="001C5B28">
          <w:rPr>
            <w:webHidden/>
          </w:rPr>
          <w:fldChar w:fldCharType="end"/>
        </w:r>
      </w:hyperlink>
    </w:p>
    <w:p w14:paraId="0294E394" w14:textId="4ACF77D3" w:rsidR="001C5B28"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887224" w:history="1">
        <w:r w:rsidR="001C5B28" w:rsidRPr="00EA0B19">
          <w:rPr>
            <w:rStyle w:val="Hyperlink"/>
          </w:rPr>
          <w:t>Introduction</w:t>
        </w:r>
        <w:r w:rsidR="001C5B28">
          <w:rPr>
            <w:webHidden/>
          </w:rPr>
          <w:tab/>
        </w:r>
        <w:r w:rsidR="001C5B28">
          <w:rPr>
            <w:webHidden/>
          </w:rPr>
          <w:fldChar w:fldCharType="begin"/>
        </w:r>
        <w:r w:rsidR="001C5B28">
          <w:rPr>
            <w:webHidden/>
          </w:rPr>
          <w:instrText xml:space="preserve"> PAGEREF _Toc181887224 \h </w:instrText>
        </w:r>
        <w:r w:rsidR="001C5B28">
          <w:rPr>
            <w:webHidden/>
          </w:rPr>
        </w:r>
        <w:r w:rsidR="001C5B28">
          <w:rPr>
            <w:webHidden/>
          </w:rPr>
          <w:fldChar w:fldCharType="separate"/>
        </w:r>
        <w:r w:rsidR="001C5B28">
          <w:rPr>
            <w:webHidden/>
          </w:rPr>
          <w:t>3</w:t>
        </w:r>
        <w:r w:rsidR="001C5B28">
          <w:rPr>
            <w:webHidden/>
          </w:rPr>
          <w:fldChar w:fldCharType="end"/>
        </w:r>
      </w:hyperlink>
    </w:p>
    <w:p w14:paraId="24EB56AB" w14:textId="5B8C8FF8" w:rsidR="001C5B28"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887225" w:history="1">
        <w:r w:rsidR="001C5B28" w:rsidRPr="00EA0B19">
          <w:rPr>
            <w:rStyle w:val="Hyperlink"/>
          </w:rPr>
          <w:t>Trade considerations</w:t>
        </w:r>
        <w:r w:rsidR="001C5B28">
          <w:rPr>
            <w:webHidden/>
          </w:rPr>
          <w:tab/>
        </w:r>
        <w:r w:rsidR="001C5B28">
          <w:rPr>
            <w:webHidden/>
          </w:rPr>
          <w:fldChar w:fldCharType="begin"/>
        </w:r>
        <w:r w:rsidR="001C5B28">
          <w:rPr>
            <w:webHidden/>
          </w:rPr>
          <w:instrText xml:space="preserve"> PAGEREF _Toc181887225 \h </w:instrText>
        </w:r>
        <w:r w:rsidR="001C5B28">
          <w:rPr>
            <w:webHidden/>
          </w:rPr>
        </w:r>
        <w:r w:rsidR="001C5B28">
          <w:rPr>
            <w:webHidden/>
          </w:rPr>
          <w:fldChar w:fldCharType="separate"/>
        </w:r>
        <w:r w:rsidR="001C5B28">
          <w:rPr>
            <w:webHidden/>
          </w:rPr>
          <w:t>4</w:t>
        </w:r>
        <w:r w:rsidR="001C5B28">
          <w:rPr>
            <w:webHidden/>
          </w:rPr>
          <w:fldChar w:fldCharType="end"/>
        </w:r>
      </w:hyperlink>
    </w:p>
    <w:p w14:paraId="7368B6E9" w14:textId="5CE3A057"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26" w:history="1">
        <w:r w:rsidR="001C5B28" w:rsidRPr="00EA0B19">
          <w:rPr>
            <w:rStyle w:val="Hyperlink"/>
          </w:rPr>
          <w:t>Commodities exported</w:t>
        </w:r>
        <w:r w:rsidR="001C5B28">
          <w:rPr>
            <w:webHidden/>
          </w:rPr>
          <w:tab/>
        </w:r>
        <w:r w:rsidR="001C5B28">
          <w:rPr>
            <w:webHidden/>
          </w:rPr>
          <w:fldChar w:fldCharType="begin"/>
        </w:r>
        <w:r w:rsidR="001C5B28">
          <w:rPr>
            <w:webHidden/>
          </w:rPr>
          <w:instrText xml:space="preserve"> PAGEREF _Toc181887226 \h </w:instrText>
        </w:r>
        <w:r w:rsidR="001C5B28">
          <w:rPr>
            <w:webHidden/>
          </w:rPr>
        </w:r>
        <w:r w:rsidR="001C5B28">
          <w:rPr>
            <w:webHidden/>
          </w:rPr>
          <w:fldChar w:fldCharType="separate"/>
        </w:r>
        <w:r w:rsidR="001C5B28">
          <w:rPr>
            <w:webHidden/>
          </w:rPr>
          <w:t>4</w:t>
        </w:r>
        <w:r w:rsidR="001C5B28">
          <w:rPr>
            <w:webHidden/>
          </w:rPr>
          <w:fldChar w:fldCharType="end"/>
        </w:r>
      </w:hyperlink>
    </w:p>
    <w:p w14:paraId="133E02DB" w14:textId="52770868"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27" w:history="1">
        <w:r w:rsidR="001C5B28" w:rsidRPr="00EA0B19">
          <w:rPr>
            <w:rStyle w:val="Hyperlink"/>
          </w:rPr>
          <w:t>Destination and value of exports</w:t>
        </w:r>
        <w:r w:rsidR="001C5B28">
          <w:rPr>
            <w:webHidden/>
          </w:rPr>
          <w:tab/>
        </w:r>
        <w:r w:rsidR="001C5B28">
          <w:rPr>
            <w:webHidden/>
          </w:rPr>
          <w:fldChar w:fldCharType="begin"/>
        </w:r>
        <w:r w:rsidR="001C5B28">
          <w:rPr>
            <w:webHidden/>
          </w:rPr>
          <w:instrText xml:space="preserve"> PAGEREF _Toc181887227 \h </w:instrText>
        </w:r>
        <w:r w:rsidR="001C5B28">
          <w:rPr>
            <w:webHidden/>
          </w:rPr>
        </w:r>
        <w:r w:rsidR="001C5B28">
          <w:rPr>
            <w:webHidden/>
          </w:rPr>
          <w:fldChar w:fldCharType="separate"/>
        </w:r>
        <w:r w:rsidR="001C5B28">
          <w:rPr>
            <w:webHidden/>
          </w:rPr>
          <w:t>4</w:t>
        </w:r>
        <w:r w:rsidR="001C5B28">
          <w:rPr>
            <w:webHidden/>
          </w:rPr>
          <w:fldChar w:fldCharType="end"/>
        </w:r>
      </w:hyperlink>
    </w:p>
    <w:p w14:paraId="4D0048ED" w14:textId="16ED1FC1"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28" w:history="1">
        <w:r w:rsidR="001C5B28" w:rsidRPr="00EA0B19">
          <w:rPr>
            <w:rStyle w:val="Hyperlink"/>
          </w:rPr>
          <w:t>Proposed Australian use pattern</w:t>
        </w:r>
        <w:r w:rsidR="001C5B28">
          <w:rPr>
            <w:webHidden/>
          </w:rPr>
          <w:tab/>
        </w:r>
        <w:r w:rsidR="001C5B28">
          <w:rPr>
            <w:webHidden/>
          </w:rPr>
          <w:fldChar w:fldCharType="begin"/>
        </w:r>
        <w:r w:rsidR="001C5B28">
          <w:rPr>
            <w:webHidden/>
          </w:rPr>
          <w:instrText xml:space="preserve"> PAGEREF _Toc181887228 \h </w:instrText>
        </w:r>
        <w:r w:rsidR="001C5B28">
          <w:rPr>
            <w:webHidden/>
          </w:rPr>
        </w:r>
        <w:r w:rsidR="001C5B28">
          <w:rPr>
            <w:webHidden/>
          </w:rPr>
          <w:fldChar w:fldCharType="separate"/>
        </w:r>
        <w:r w:rsidR="001C5B28">
          <w:rPr>
            <w:webHidden/>
          </w:rPr>
          <w:t>4</w:t>
        </w:r>
        <w:r w:rsidR="001C5B28">
          <w:rPr>
            <w:webHidden/>
          </w:rPr>
          <w:fldChar w:fldCharType="end"/>
        </w:r>
      </w:hyperlink>
    </w:p>
    <w:p w14:paraId="1EFA7CDF" w14:textId="4C2BFF8B" w:rsidR="001C5B28" w:rsidRDefault="00000000">
      <w:pPr>
        <w:pStyle w:val="TOC3"/>
        <w:rPr>
          <w:rFonts w:asciiTheme="minorHAnsi" w:eastAsiaTheme="minorEastAsia" w:hAnsiTheme="minorHAnsi" w:cstheme="minorBidi"/>
          <w:kern w:val="2"/>
          <w:sz w:val="24"/>
          <w:lang w:eastAsia="en-AU"/>
          <w14:ligatures w14:val="standardContextual"/>
        </w:rPr>
      </w:pPr>
      <w:hyperlink w:anchor="_Toc181887229" w:history="1">
        <w:r w:rsidR="001C5B28" w:rsidRPr="00EA0B19">
          <w:rPr>
            <w:rStyle w:val="Hyperlink"/>
          </w:rPr>
          <w:t>Restraints</w:t>
        </w:r>
        <w:r w:rsidR="001C5B28">
          <w:rPr>
            <w:webHidden/>
          </w:rPr>
          <w:tab/>
        </w:r>
        <w:r w:rsidR="001C5B28">
          <w:rPr>
            <w:webHidden/>
          </w:rPr>
          <w:fldChar w:fldCharType="begin"/>
        </w:r>
        <w:r w:rsidR="001C5B28">
          <w:rPr>
            <w:webHidden/>
          </w:rPr>
          <w:instrText xml:space="preserve"> PAGEREF _Toc181887229 \h </w:instrText>
        </w:r>
        <w:r w:rsidR="001C5B28">
          <w:rPr>
            <w:webHidden/>
          </w:rPr>
        </w:r>
        <w:r w:rsidR="001C5B28">
          <w:rPr>
            <w:webHidden/>
          </w:rPr>
          <w:fldChar w:fldCharType="separate"/>
        </w:r>
        <w:r w:rsidR="001C5B28">
          <w:rPr>
            <w:webHidden/>
          </w:rPr>
          <w:t>4</w:t>
        </w:r>
        <w:r w:rsidR="001C5B28">
          <w:rPr>
            <w:webHidden/>
          </w:rPr>
          <w:fldChar w:fldCharType="end"/>
        </w:r>
      </w:hyperlink>
    </w:p>
    <w:p w14:paraId="0A954983" w14:textId="363C15E7" w:rsidR="001C5B28" w:rsidRDefault="00000000">
      <w:pPr>
        <w:pStyle w:val="TOC3"/>
        <w:rPr>
          <w:rFonts w:asciiTheme="minorHAnsi" w:eastAsiaTheme="minorEastAsia" w:hAnsiTheme="minorHAnsi" w:cstheme="minorBidi"/>
          <w:kern w:val="2"/>
          <w:sz w:val="24"/>
          <w:lang w:eastAsia="en-AU"/>
          <w14:ligatures w14:val="standardContextual"/>
        </w:rPr>
      </w:pPr>
      <w:hyperlink w:anchor="_Toc181887230" w:history="1">
        <w:r w:rsidR="001C5B28" w:rsidRPr="00EA0B19">
          <w:rPr>
            <w:rStyle w:val="Hyperlink"/>
          </w:rPr>
          <w:t>Withholding periods</w:t>
        </w:r>
        <w:r w:rsidR="001C5B28">
          <w:rPr>
            <w:webHidden/>
          </w:rPr>
          <w:tab/>
        </w:r>
        <w:r w:rsidR="001C5B28">
          <w:rPr>
            <w:webHidden/>
          </w:rPr>
          <w:fldChar w:fldCharType="begin"/>
        </w:r>
        <w:r w:rsidR="001C5B28">
          <w:rPr>
            <w:webHidden/>
          </w:rPr>
          <w:instrText xml:space="preserve"> PAGEREF _Toc181887230 \h </w:instrText>
        </w:r>
        <w:r w:rsidR="001C5B28">
          <w:rPr>
            <w:webHidden/>
          </w:rPr>
        </w:r>
        <w:r w:rsidR="001C5B28">
          <w:rPr>
            <w:webHidden/>
          </w:rPr>
          <w:fldChar w:fldCharType="separate"/>
        </w:r>
        <w:r w:rsidR="001C5B28">
          <w:rPr>
            <w:webHidden/>
          </w:rPr>
          <w:t>5</w:t>
        </w:r>
        <w:r w:rsidR="001C5B28">
          <w:rPr>
            <w:webHidden/>
          </w:rPr>
          <w:fldChar w:fldCharType="end"/>
        </w:r>
      </w:hyperlink>
    </w:p>
    <w:p w14:paraId="1C31D98B" w14:textId="79DDB2F2"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31" w:history="1">
        <w:r w:rsidR="001C5B28" w:rsidRPr="00EA0B19">
          <w:rPr>
            <w:rStyle w:val="Hyperlink"/>
          </w:rPr>
          <w:t>Results from residues trials considered by the APVMA</w:t>
        </w:r>
        <w:r w:rsidR="001C5B28">
          <w:rPr>
            <w:webHidden/>
          </w:rPr>
          <w:tab/>
        </w:r>
        <w:r w:rsidR="001C5B28">
          <w:rPr>
            <w:webHidden/>
          </w:rPr>
          <w:fldChar w:fldCharType="begin"/>
        </w:r>
        <w:r w:rsidR="001C5B28">
          <w:rPr>
            <w:webHidden/>
          </w:rPr>
          <w:instrText xml:space="preserve"> PAGEREF _Toc181887231 \h </w:instrText>
        </w:r>
        <w:r w:rsidR="001C5B28">
          <w:rPr>
            <w:webHidden/>
          </w:rPr>
        </w:r>
        <w:r w:rsidR="001C5B28">
          <w:rPr>
            <w:webHidden/>
          </w:rPr>
          <w:fldChar w:fldCharType="separate"/>
        </w:r>
        <w:r w:rsidR="001C5B28">
          <w:rPr>
            <w:webHidden/>
          </w:rPr>
          <w:t>5</w:t>
        </w:r>
        <w:r w:rsidR="001C5B28">
          <w:rPr>
            <w:webHidden/>
          </w:rPr>
          <w:fldChar w:fldCharType="end"/>
        </w:r>
      </w:hyperlink>
    </w:p>
    <w:p w14:paraId="3F7370C1" w14:textId="220D6172" w:rsidR="001C5B28" w:rsidRDefault="00000000">
      <w:pPr>
        <w:pStyle w:val="TOC3"/>
        <w:rPr>
          <w:rFonts w:asciiTheme="minorHAnsi" w:eastAsiaTheme="minorEastAsia" w:hAnsiTheme="minorHAnsi" w:cstheme="minorBidi"/>
          <w:kern w:val="2"/>
          <w:sz w:val="24"/>
          <w:lang w:eastAsia="en-AU"/>
          <w14:ligatures w14:val="standardContextual"/>
        </w:rPr>
      </w:pPr>
      <w:hyperlink w:anchor="_Toc181887232" w:history="1">
        <w:r w:rsidR="001C5B28" w:rsidRPr="00EA0B19">
          <w:rPr>
            <w:rStyle w:val="Hyperlink"/>
          </w:rPr>
          <w:t>Fluxapyroxad</w:t>
        </w:r>
        <w:r w:rsidR="001C5B28">
          <w:rPr>
            <w:webHidden/>
          </w:rPr>
          <w:tab/>
        </w:r>
        <w:r w:rsidR="001C5B28">
          <w:rPr>
            <w:webHidden/>
          </w:rPr>
          <w:fldChar w:fldCharType="begin"/>
        </w:r>
        <w:r w:rsidR="001C5B28">
          <w:rPr>
            <w:webHidden/>
          </w:rPr>
          <w:instrText xml:space="preserve"> PAGEREF _Toc181887232 \h </w:instrText>
        </w:r>
        <w:r w:rsidR="001C5B28">
          <w:rPr>
            <w:webHidden/>
          </w:rPr>
        </w:r>
        <w:r w:rsidR="001C5B28">
          <w:rPr>
            <w:webHidden/>
          </w:rPr>
          <w:fldChar w:fldCharType="separate"/>
        </w:r>
        <w:r w:rsidR="001C5B28">
          <w:rPr>
            <w:webHidden/>
          </w:rPr>
          <w:t>5</w:t>
        </w:r>
        <w:r w:rsidR="001C5B28">
          <w:rPr>
            <w:webHidden/>
          </w:rPr>
          <w:fldChar w:fldCharType="end"/>
        </w:r>
      </w:hyperlink>
    </w:p>
    <w:p w14:paraId="4AB96BFD" w14:textId="0BCD9CDF" w:rsidR="001C5B28" w:rsidRDefault="00000000">
      <w:pPr>
        <w:pStyle w:val="TOC3"/>
        <w:rPr>
          <w:rFonts w:asciiTheme="minorHAnsi" w:eastAsiaTheme="minorEastAsia" w:hAnsiTheme="minorHAnsi" w:cstheme="minorBidi"/>
          <w:kern w:val="2"/>
          <w:sz w:val="24"/>
          <w:lang w:eastAsia="en-AU"/>
          <w14:ligatures w14:val="standardContextual"/>
        </w:rPr>
      </w:pPr>
      <w:hyperlink w:anchor="_Toc181887233" w:history="1">
        <w:r w:rsidR="001C5B28" w:rsidRPr="00EA0B19">
          <w:rPr>
            <w:rStyle w:val="Hyperlink"/>
          </w:rPr>
          <w:t>Pyraclostrobin</w:t>
        </w:r>
        <w:r w:rsidR="001C5B28">
          <w:rPr>
            <w:webHidden/>
          </w:rPr>
          <w:tab/>
        </w:r>
        <w:r w:rsidR="001C5B28">
          <w:rPr>
            <w:webHidden/>
          </w:rPr>
          <w:fldChar w:fldCharType="begin"/>
        </w:r>
        <w:r w:rsidR="001C5B28">
          <w:rPr>
            <w:webHidden/>
          </w:rPr>
          <w:instrText xml:space="preserve"> PAGEREF _Toc181887233 \h </w:instrText>
        </w:r>
        <w:r w:rsidR="001C5B28">
          <w:rPr>
            <w:webHidden/>
          </w:rPr>
        </w:r>
        <w:r w:rsidR="001C5B28">
          <w:rPr>
            <w:webHidden/>
          </w:rPr>
          <w:fldChar w:fldCharType="separate"/>
        </w:r>
        <w:r w:rsidR="001C5B28">
          <w:rPr>
            <w:webHidden/>
          </w:rPr>
          <w:t>5</w:t>
        </w:r>
        <w:r w:rsidR="001C5B28">
          <w:rPr>
            <w:webHidden/>
          </w:rPr>
          <w:fldChar w:fldCharType="end"/>
        </w:r>
      </w:hyperlink>
    </w:p>
    <w:p w14:paraId="46709483" w14:textId="25870FB1"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34" w:history="1">
        <w:r w:rsidR="001C5B28" w:rsidRPr="00EA0B19">
          <w:rPr>
            <w:rStyle w:val="Hyperlink"/>
          </w:rPr>
          <w:t>Codex Alimentarius Commission and overseas MRLs</w:t>
        </w:r>
        <w:r w:rsidR="001C5B28">
          <w:rPr>
            <w:webHidden/>
          </w:rPr>
          <w:tab/>
        </w:r>
        <w:r w:rsidR="001C5B28">
          <w:rPr>
            <w:webHidden/>
          </w:rPr>
          <w:fldChar w:fldCharType="begin"/>
        </w:r>
        <w:r w:rsidR="001C5B28">
          <w:rPr>
            <w:webHidden/>
          </w:rPr>
          <w:instrText xml:space="preserve"> PAGEREF _Toc181887234 \h </w:instrText>
        </w:r>
        <w:r w:rsidR="001C5B28">
          <w:rPr>
            <w:webHidden/>
          </w:rPr>
        </w:r>
        <w:r w:rsidR="001C5B28">
          <w:rPr>
            <w:webHidden/>
          </w:rPr>
          <w:fldChar w:fldCharType="separate"/>
        </w:r>
        <w:r w:rsidR="001C5B28">
          <w:rPr>
            <w:webHidden/>
          </w:rPr>
          <w:t>6</w:t>
        </w:r>
        <w:r w:rsidR="001C5B28">
          <w:rPr>
            <w:webHidden/>
          </w:rPr>
          <w:fldChar w:fldCharType="end"/>
        </w:r>
      </w:hyperlink>
    </w:p>
    <w:p w14:paraId="67FE49FE" w14:textId="766EFF72"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35" w:history="1">
        <w:r w:rsidR="001C5B28" w:rsidRPr="00EA0B19">
          <w:rPr>
            <w:rStyle w:val="Hyperlink"/>
          </w:rPr>
          <w:t>Proposed Australian MRLs for fluxapyroxad and pyraclostrobin</w:t>
        </w:r>
        <w:r w:rsidR="001C5B28">
          <w:rPr>
            <w:webHidden/>
          </w:rPr>
          <w:tab/>
        </w:r>
        <w:r w:rsidR="001C5B28">
          <w:rPr>
            <w:webHidden/>
          </w:rPr>
          <w:fldChar w:fldCharType="begin"/>
        </w:r>
        <w:r w:rsidR="001C5B28">
          <w:rPr>
            <w:webHidden/>
          </w:rPr>
          <w:instrText xml:space="preserve"> PAGEREF _Toc181887235 \h </w:instrText>
        </w:r>
        <w:r w:rsidR="001C5B28">
          <w:rPr>
            <w:webHidden/>
          </w:rPr>
        </w:r>
        <w:r w:rsidR="001C5B28">
          <w:rPr>
            <w:webHidden/>
          </w:rPr>
          <w:fldChar w:fldCharType="separate"/>
        </w:r>
        <w:r w:rsidR="001C5B28">
          <w:rPr>
            <w:webHidden/>
          </w:rPr>
          <w:t>9</w:t>
        </w:r>
        <w:r w:rsidR="001C5B28">
          <w:rPr>
            <w:webHidden/>
          </w:rPr>
          <w:fldChar w:fldCharType="end"/>
        </w:r>
      </w:hyperlink>
    </w:p>
    <w:p w14:paraId="21697E66" w14:textId="0156466F" w:rsidR="001C5B28"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81887236" w:history="1">
        <w:r w:rsidR="001C5B28" w:rsidRPr="00EA0B19">
          <w:rPr>
            <w:rStyle w:val="Hyperlink"/>
          </w:rPr>
          <w:t>Potential risk to trade</w:t>
        </w:r>
        <w:r w:rsidR="001C5B28">
          <w:rPr>
            <w:webHidden/>
          </w:rPr>
          <w:tab/>
        </w:r>
        <w:r w:rsidR="001C5B28">
          <w:rPr>
            <w:webHidden/>
          </w:rPr>
          <w:fldChar w:fldCharType="begin"/>
        </w:r>
        <w:r w:rsidR="001C5B28">
          <w:rPr>
            <w:webHidden/>
          </w:rPr>
          <w:instrText xml:space="preserve"> PAGEREF _Toc181887236 \h </w:instrText>
        </w:r>
        <w:r w:rsidR="001C5B28">
          <w:rPr>
            <w:webHidden/>
          </w:rPr>
        </w:r>
        <w:r w:rsidR="001C5B28">
          <w:rPr>
            <w:webHidden/>
          </w:rPr>
          <w:fldChar w:fldCharType="separate"/>
        </w:r>
        <w:r w:rsidR="001C5B28">
          <w:rPr>
            <w:webHidden/>
          </w:rPr>
          <w:t>9</w:t>
        </w:r>
        <w:r w:rsidR="001C5B28">
          <w:rPr>
            <w:webHidden/>
          </w:rPr>
          <w:fldChar w:fldCharType="end"/>
        </w:r>
      </w:hyperlink>
    </w:p>
    <w:p w14:paraId="6722E2D3" w14:textId="197D4DD6" w:rsidR="001C5B28" w:rsidRDefault="00000000">
      <w:pPr>
        <w:pStyle w:val="TOC3"/>
        <w:rPr>
          <w:rFonts w:asciiTheme="minorHAnsi" w:eastAsiaTheme="minorEastAsia" w:hAnsiTheme="minorHAnsi" w:cstheme="minorBidi"/>
          <w:kern w:val="2"/>
          <w:sz w:val="24"/>
          <w:lang w:eastAsia="en-AU"/>
          <w14:ligatures w14:val="standardContextual"/>
        </w:rPr>
      </w:pPr>
      <w:hyperlink w:anchor="_Toc181887237" w:history="1">
        <w:r w:rsidR="001C5B28" w:rsidRPr="00EA0B19">
          <w:rPr>
            <w:rStyle w:val="Hyperlink"/>
          </w:rPr>
          <w:t>Spray Drift</w:t>
        </w:r>
        <w:r w:rsidR="001C5B28">
          <w:rPr>
            <w:webHidden/>
          </w:rPr>
          <w:tab/>
        </w:r>
        <w:r w:rsidR="001C5B28">
          <w:rPr>
            <w:webHidden/>
          </w:rPr>
          <w:fldChar w:fldCharType="begin"/>
        </w:r>
        <w:r w:rsidR="001C5B28">
          <w:rPr>
            <w:webHidden/>
          </w:rPr>
          <w:instrText xml:space="preserve"> PAGEREF _Toc181887237 \h </w:instrText>
        </w:r>
        <w:r w:rsidR="001C5B28">
          <w:rPr>
            <w:webHidden/>
          </w:rPr>
        </w:r>
        <w:r w:rsidR="001C5B28">
          <w:rPr>
            <w:webHidden/>
          </w:rPr>
          <w:fldChar w:fldCharType="separate"/>
        </w:r>
        <w:r w:rsidR="001C5B28">
          <w:rPr>
            <w:webHidden/>
          </w:rPr>
          <w:t>9</w:t>
        </w:r>
        <w:r w:rsidR="001C5B28">
          <w:rPr>
            <w:webHidden/>
          </w:rPr>
          <w:fldChar w:fldCharType="end"/>
        </w:r>
      </w:hyperlink>
    </w:p>
    <w:p w14:paraId="40649557" w14:textId="48E03A4F" w:rsidR="001C5B28" w:rsidRDefault="00000000">
      <w:pPr>
        <w:pStyle w:val="TOC3"/>
        <w:rPr>
          <w:rFonts w:asciiTheme="minorHAnsi" w:eastAsiaTheme="minorEastAsia" w:hAnsiTheme="minorHAnsi" w:cstheme="minorBidi"/>
          <w:kern w:val="2"/>
          <w:sz w:val="24"/>
          <w:lang w:eastAsia="en-AU"/>
          <w14:ligatures w14:val="standardContextual"/>
        </w:rPr>
      </w:pPr>
      <w:hyperlink w:anchor="_Toc181887238" w:history="1">
        <w:r w:rsidR="001C5B28" w:rsidRPr="00EA0B19">
          <w:rPr>
            <w:rStyle w:val="Hyperlink"/>
          </w:rPr>
          <w:t>Regulatory Acceptable Limit (RAL)</w:t>
        </w:r>
        <w:r w:rsidR="001C5B28">
          <w:rPr>
            <w:webHidden/>
          </w:rPr>
          <w:tab/>
        </w:r>
        <w:r w:rsidR="001C5B28">
          <w:rPr>
            <w:webHidden/>
          </w:rPr>
          <w:fldChar w:fldCharType="begin"/>
        </w:r>
        <w:r w:rsidR="001C5B28">
          <w:rPr>
            <w:webHidden/>
          </w:rPr>
          <w:instrText xml:space="preserve"> PAGEREF _Toc181887238 \h </w:instrText>
        </w:r>
        <w:r w:rsidR="001C5B28">
          <w:rPr>
            <w:webHidden/>
          </w:rPr>
        </w:r>
        <w:r w:rsidR="001C5B28">
          <w:rPr>
            <w:webHidden/>
          </w:rPr>
          <w:fldChar w:fldCharType="separate"/>
        </w:r>
        <w:r w:rsidR="001C5B28">
          <w:rPr>
            <w:webHidden/>
          </w:rPr>
          <w:t>10</w:t>
        </w:r>
        <w:r w:rsidR="001C5B28">
          <w:rPr>
            <w:webHidden/>
          </w:rPr>
          <w:fldChar w:fldCharType="end"/>
        </w:r>
      </w:hyperlink>
    </w:p>
    <w:p w14:paraId="6DC1F887" w14:textId="4C6F2067" w:rsidR="001C5B28" w:rsidRDefault="00000000">
      <w:pPr>
        <w:pStyle w:val="TOC3"/>
        <w:rPr>
          <w:rFonts w:asciiTheme="minorHAnsi" w:eastAsiaTheme="minorEastAsia" w:hAnsiTheme="minorHAnsi" w:cstheme="minorBidi"/>
          <w:kern w:val="2"/>
          <w:sz w:val="24"/>
          <w:lang w:eastAsia="en-AU"/>
          <w14:ligatures w14:val="standardContextual"/>
        </w:rPr>
      </w:pPr>
      <w:hyperlink w:anchor="_Toc181887239" w:history="1">
        <w:r w:rsidR="001C5B28" w:rsidRPr="00EA0B19">
          <w:rPr>
            <w:rStyle w:val="Hyperlink"/>
          </w:rPr>
          <w:t>Pyraclostrobin</w:t>
        </w:r>
        <w:r w:rsidR="001C5B28">
          <w:rPr>
            <w:webHidden/>
          </w:rPr>
          <w:tab/>
        </w:r>
        <w:r w:rsidR="001C5B28">
          <w:rPr>
            <w:webHidden/>
          </w:rPr>
          <w:fldChar w:fldCharType="begin"/>
        </w:r>
        <w:r w:rsidR="001C5B28">
          <w:rPr>
            <w:webHidden/>
          </w:rPr>
          <w:instrText xml:space="preserve"> PAGEREF _Toc181887239 \h </w:instrText>
        </w:r>
        <w:r w:rsidR="001C5B28">
          <w:rPr>
            <w:webHidden/>
          </w:rPr>
        </w:r>
        <w:r w:rsidR="001C5B28">
          <w:rPr>
            <w:webHidden/>
          </w:rPr>
          <w:fldChar w:fldCharType="separate"/>
        </w:r>
        <w:r w:rsidR="001C5B28">
          <w:rPr>
            <w:webHidden/>
          </w:rPr>
          <w:t>10</w:t>
        </w:r>
        <w:r w:rsidR="001C5B28">
          <w:rPr>
            <w:webHidden/>
          </w:rPr>
          <w:fldChar w:fldCharType="end"/>
        </w:r>
      </w:hyperlink>
    </w:p>
    <w:p w14:paraId="45684FA6" w14:textId="0B3A4681" w:rsidR="001C5B28"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887240" w:history="1">
        <w:r w:rsidR="001C5B28" w:rsidRPr="00EA0B19">
          <w:rPr>
            <w:rStyle w:val="Hyperlink"/>
          </w:rPr>
          <w:t>Conclusion</w:t>
        </w:r>
        <w:r w:rsidR="001C5B28">
          <w:rPr>
            <w:webHidden/>
          </w:rPr>
          <w:tab/>
        </w:r>
        <w:r w:rsidR="001C5B28">
          <w:rPr>
            <w:webHidden/>
          </w:rPr>
          <w:fldChar w:fldCharType="begin"/>
        </w:r>
        <w:r w:rsidR="001C5B28">
          <w:rPr>
            <w:webHidden/>
          </w:rPr>
          <w:instrText xml:space="preserve"> PAGEREF _Toc181887240 \h </w:instrText>
        </w:r>
        <w:r w:rsidR="001C5B28">
          <w:rPr>
            <w:webHidden/>
          </w:rPr>
        </w:r>
        <w:r w:rsidR="001C5B28">
          <w:rPr>
            <w:webHidden/>
          </w:rPr>
          <w:fldChar w:fldCharType="separate"/>
        </w:r>
        <w:r w:rsidR="001C5B28">
          <w:rPr>
            <w:webHidden/>
          </w:rPr>
          <w:t>11</w:t>
        </w:r>
        <w:r w:rsidR="001C5B28">
          <w:rPr>
            <w:webHidden/>
          </w:rPr>
          <w:fldChar w:fldCharType="end"/>
        </w:r>
      </w:hyperlink>
    </w:p>
    <w:p w14:paraId="36CD93CC" w14:textId="77777777" w:rsidR="001C5B28"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07ABC7CA" w14:textId="768366B4" w:rsidR="001C5B28" w:rsidRDefault="00000000">
      <w:pPr>
        <w:pStyle w:val="TableofFigures"/>
        <w:rPr>
          <w:rFonts w:asciiTheme="minorHAnsi" w:eastAsiaTheme="minorEastAsia" w:hAnsiTheme="minorHAnsi" w:cstheme="minorBidi"/>
          <w:kern w:val="2"/>
          <w:sz w:val="24"/>
          <w:lang w:eastAsia="en-AU"/>
          <w14:ligatures w14:val="standardContextual"/>
        </w:rPr>
      </w:pPr>
      <w:hyperlink w:anchor="_Toc181887260" w:history="1">
        <w:r w:rsidR="001C5B28" w:rsidRPr="00E43160">
          <w:rPr>
            <w:rStyle w:val="Hyperlink"/>
          </w:rPr>
          <w:t>Table 1:</w:t>
        </w:r>
        <w:r w:rsidR="001C5B28">
          <w:rPr>
            <w:rFonts w:asciiTheme="minorHAnsi" w:eastAsiaTheme="minorEastAsia" w:hAnsiTheme="minorHAnsi" w:cstheme="minorBidi"/>
            <w:kern w:val="2"/>
            <w:sz w:val="24"/>
            <w:lang w:eastAsia="en-AU"/>
            <w14:ligatures w14:val="standardContextual"/>
          </w:rPr>
          <w:tab/>
        </w:r>
        <w:r w:rsidR="001C5B28" w:rsidRPr="00E43160">
          <w:rPr>
            <w:rStyle w:val="Hyperlink"/>
          </w:rPr>
          <w:t>Proposed use pattern</w:t>
        </w:r>
        <w:r w:rsidR="001C5B28">
          <w:rPr>
            <w:webHidden/>
          </w:rPr>
          <w:tab/>
        </w:r>
        <w:r w:rsidR="001C5B28">
          <w:rPr>
            <w:webHidden/>
          </w:rPr>
          <w:fldChar w:fldCharType="begin"/>
        </w:r>
        <w:r w:rsidR="001C5B28">
          <w:rPr>
            <w:webHidden/>
          </w:rPr>
          <w:instrText xml:space="preserve"> PAGEREF _Toc181887260 \h </w:instrText>
        </w:r>
        <w:r w:rsidR="001C5B28">
          <w:rPr>
            <w:webHidden/>
          </w:rPr>
        </w:r>
        <w:r w:rsidR="001C5B28">
          <w:rPr>
            <w:webHidden/>
          </w:rPr>
          <w:fldChar w:fldCharType="separate"/>
        </w:r>
        <w:r w:rsidR="001C5B28">
          <w:rPr>
            <w:webHidden/>
          </w:rPr>
          <w:t>4</w:t>
        </w:r>
        <w:r w:rsidR="001C5B28">
          <w:rPr>
            <w:webHidden/>
          </w:rPr>
          <w:fldChar w:fldCharType="end"/>
        </w:r>
      </w:hyperlink>
    </w:p>
    <w:p w14:paraId="641C3938" w14:textId="7E1631AF" w:rsidR="001C5B28" w:rsidRDefault="00000000">
      <w:pPr>
        <w:pStyle w:val="TableofFigures"/>
        <w:rPr>
          <w:rFonts w:asciiTheme="minorHAnsi" w:eastAsiaTheme="minorEastAsia" w:hAnsiTheme="minorHAnsi" w:cstheme="minorBidi"/>
          <w:kern w:val="2"/>
          <w:sz w:val="24"/>
          <w:lang w:eastAsia="en-AU"/>
          <w14:ligatures w14:val="standardContextual"/>
        </w:rPr>
      </w:pPr>
      <w:hyperlink w:anchor="_Toc181887261" w:history="1">
        <w:r w:rsidR="001C5B28" w:rsidRPr="00E43160">
          <w:rPr>
            <w:rStyle w:val="Hyperlink"/>
          </w:rPr>
          <w:t>Table 2:</w:t>
        </w:r>
        <w:r w:rsidR="001C5B28">
          <w:rPr>
            <w:rFonts w:asciiTheme="minorHAnsi" w:eastAsiaTheme="minorEastAsia" w:hAnsiTheme="minorHAnsi" w:cstheme="minorBidi"/>
            <w:kern w:val="2"/>
            <w:sz w:val="24"/>
            <w:lang w:eastAsia="en-AU"/>
            <w14:ligatures w14:val="standardContextual"/>
          </w:rPr>
          <w:tab/>
        </w:r>
        <w:r w:rsidR="001C5B28" w:rsidRPr="00E43160">
          <w:rPr>
            <w:rStyle w:val="Hyperlink"/>
          </w:rPr>
          <w:t>Current and proposed Australian and overseas MRLs/tolerances for fluxapyroxad and pyraclostrobin.</w:t>
        </w:r>
        <w:r w:rsidR="001C5B28">
          <w:rPr>
            <w:webHidden/>
          </w:rPr>
          <w:tab/>
        </w:r>
        <w:r w:rsidR="001C5B28">
          <w:rPr>
            <w:webHidden/>
          </w:rPr>
          <w:fldChar w:fldCharType="begin"/>
        </w:r>
        <w:r w:rsidR="001C5B28">
          <w:rPr>
            <w:webHidden/>
          </w:rPr>
          <w:instrText xml:space="preserve"> PAGEREF _Toc181887261 \h </w:instrText>
        </w:r>
        <w:r w:rsidR="001C5B28">
          <w:rPr>
            <w:webHidden/>
          </w:rPr>
        </w:r>
        <w:r w:rsidR="001C5B28">
          <w:rPr>
            <w:webHidden/>
          </w:rPr>
          <w:fldChar w:fldCharType="separate"/>
        </w:r>
        <w:r w:rsidR="001C5B28">
          <w:rPr>
            <w:webHidden/>
          </w:rPr>
          <w:t>7</w:t>
        </w:r>
        <w:r w:rsidR="001C5B28">
          <w:rPr>
            <w:webHidden/>
          </w:rPr>
          <w:fldChar w:fldCharType="end"/>
        </w:r>
      </w:hyperlink>
    </w:p>
    <w:p w14:paraId="29CBF2F6" w14:textId="35D52EA6" w:rsidR="001C5B28" w:rsidRDefault="00000000">
      <w:pPr>
        <w:pStyle w:val="TableofFigures"/>
        <w:rPr>
          <w:rFonts w:asciiTheme="minorHAnsi" w:eastAsiaTheme="minorEastAsia" w:hAnsiTheme="minorHAnsi" w:cstheme="minorBidi"/>
          <w:kern w:val="2"/>
          <w:sz w:val="24"/>
          <w:lang w:eastAsia="en-AU"/>
          <w14:ligatures w14:val="standardContextual"/>
        </w:rPr>
      </w:pPr>
      <w:hyperlink w:anchor="_Toc181887262" w:history="1">
        <w:r w:rsidR="001C5B28" w:rsidRPr="00E43160">
          <w:rPr>
            <w:rStyle w:val="Hyperlink"/>
          </w:rPr>
          <w:t>Table 3:</w:t>
        </w:r>
        <w:r w:rsidR="001C5B28">
          <w:rPr>
            <w:rFonts w:asciiTheme="minorHAnsi" w:eastAsiaTheme="minorEastAsia" w:hAnsiTheme="minorHAnsi" w:cstheme="minorBidi"/>
            <w:kern w:val="2"/>
            <w:sz w:val="24"/>
            <w:lang w:eastAsia="en-AU"/>
            <w14:ligatures w14:val="standardContextual"/>
          </w:rPr>
          <w:tab/>
        </w:r>
        <w:r w:rsidR="001C5B28" w:rsidRPr="00E43160">
          <w:rPr>
            <w:rStyle w:val="Hyperlink"/>
          </w:rPr>
          <w:t>proposed MRL – Table1</w:t>
        </w:r>
        <w:r w:rsidR="001C5B28">
          <w:rPr>
            <w:webHidden/>
          </w:rPr>
          <w:tab/>
        </w:r>
        <w:r w:rsidR="001C5B28">
          <w:rPr>
            <w:webHidden/>
          </w:rPr>
          <w:fldChar w:fldCharType="begin"/>
        </w:r>
        <w:r w:rsidR="001C5B28">
          <w:rPr>
            <w:webHidden/>
          </w:rPr>
          <w:instrText xml:space="preserve"> PAGEREF _Toc181887262 \h </w:instrText>
        </w:r>
        <w:r w:rsidR="001C5B28">
          <w:rPr>
            <w:webHidden/>
          </w:rPr>
        </w:r>
        <w:r w:rsidR="001C5B28">
          <w:rPr>
            <w:webHidden/>
          </w:rPr>
          <w:fldChar w:fldCharType="separate"/>
        </w:r>
        <w:r w:rsidR="001C5B28">
          <w:rPr>
            <w:webHidden/>
          </w:rPr>
          <w:t>9</w:t>
        </w:r>
        <w:r w:rsidR="001C5B28">
          <w:rPr>
            <w:webHidden/>
          </w:rPr>
          <w:fldChar w:fldCharType="end"/>
        </w:r>
      </w:hyperlink>
    </w:p>
    <w:p w14:paraId="10348423" w14:textId="3C92A52A" w:rsidR="001C5B28" w:rsidRDefault="00000000">
      <w:pPr>
        <w:pStyle w:val="TableofFigures"/>
        <w:rPr>
          <w:rFonts w:asciiTheme="minorHAnsi" w:eastAsiaTheme="minorEastAsia" w:hAnsiTheme="minorHAnsi" w:cstheme="minorBidi"/>
          <w:kern w:val="2"/>
          <w:sz w:val="24"/>
          <w:lang w:eastAsia="en-AU"/>
          <w14:ligatures w14:val="standardContextual"/>
        </w:rPr>
      </w:pPr>
      <w:hyperlink w:anchor="_Toc181887263" w:history="1">
        <w:r w:rsidR="001C5B28" w:rsidRPr="00E43160">
          <w:rPr>
            <w:rStyle w:val="Hyperlink"/>
          </w:rPr>
          <w:t>Table 4:</w:t>
        </w:r>
        <w:r w:rsidR="001C5B28">
          <w:rPr>
            <w:rFonts w:asciiTheme="minorHAnsi" w:eastAsiaTheme="minorEastAsia" w:hAnsiTheme="minorHAnsi" w:cstheme="minorBidi"/>
            <w:kern w:val="2"/>
            <w:sz w:val="24"/>
            <w:lang w:eastAsia="en-AU"/>
            <w14:ligatures w14:val="standardContextual"/>
          </w:rPr>
          <w:tab/>
        </w:r>
        <w:r w:rsidR="001C5B28" w:rsidRPr="00E43160">
          <w:rPr>
            <w:rStyle w:val="Hyperlink"/>
          </w:rPr>
          <w:t>Proposed MRL – Table1</w:t>
        </w:r>
        <w:r w:rsidR="001C5B28">
          <w:rPr>
            <w:webHidden/>
          </w:rPr>
          <w:tab/>
        </w:r>
        <w:r w:rsidR="001C5B28">
          <w:rPr>
            <w:webHidden/>
          </w:rPr>
          <w:fldChar w:fldCharType="begin"/>
        </w:r>
        <w:r w:rsidR="001C5B28">
          <w:rPr>
            <w:webHidden/>
          </w:rPr>
          <w:instrText xml:space="preserve"> PAGEREF _Toc181887263 \h </w:instrText>
        </w:r>
        <w:r w:rsidR="001C5B28">
          <w:rPr>
            <w:webHidden/>
          </w:rPr>
        </w:r>
        <w:r w:rsidR="001C5B28">
          <w:rPr>
            <w:webHidden/>
          </w:rPr>
          <w:fldChar w:fldCharType="separate"/>
        </w:r>
        <w:r w:rsidR="001C5B28">
          <w:rPr>
            <w:webHidden/>
          </w:rPr>
          <w:t>9</w:t>
        </w:r>
        <w:r w:rsidR="001C5B28">
          <w:rPr>
            <w:webHidden/>
          </w:rPr>
          <w:fldChar w:fldCharType="end"/>
        </w:r>
      </w:hyperlink>
    </w:p>
    <w:p w14:paraId="16215860" w14:textId="77777777" w:rsidR="00116540" w:rsidRDefault="00790A8E" w:rsidP="00985E58">
      <w:pPr>
        <w:rPr>
          <w:rFonts w:ascii="Trebuchet MS" w:hAnsi="Trebuchet MS"/>
          <w:bC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180576092"/>
      <w:bookmarkStart w:id="4" w:name="_Toc181887220"/>
      <w:r>
        <w:lastRenderedPageBreak/>
        <w:t>Preface</w:t>
      </w:r>
      <w:bookmarkEnd w:id="1"/>
      <w:bookmarkEnd w:id="2"/>
      <w:bookmarkEnd w:id="3"/>
      <w:bookmarkEnd w:id="4"/>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5" w:name="_Toc414373832"/>
      <w:bookmarkStart w:id="6" w:name="_Toc180576093"/>
      <w:bookmarkStart w:id="7" w:name="_Toc181887221"/>
      <w:r>
        <w:t>About this document</w:t>
      </w:r>
      <w:bookmarkEnd w:id="5"/>
      <w:bookmarkEnd w:id="6"/>
      <w:bookmarkEnd w:id="7"/>
    </w:p>
    <w:p w14:paraId="29EE149D" w14:textId="77777777" w:rsidR="00E63AC3" w:rsidRPr="008C4F1C" w:rsidRDefault="006D36C8" w:rsidP="008C4F1C">
      <w:pPr>
        <w:pStyle w:val="APVMAText"/>
      </w:pPr>
      <w:r w:rsidRPr="008C4F1C">
        <w:t xml:space="preserve">This </w:t>
      </w:r>
      <w:r w:rsidR="00F74FA6" w:rsidRPr="008C4F1C">
        <w:t>T</w:t>
      </w:r>
      <w:r w:rsidRPr="008C4F1C">
        <w:t xml:space="preserve">rade </w:t>
      </w:r>
      <w:r w:rsidR="00F74FA6" w:rsidRPr="008C4F1C">
        <w:t>Advice N</w:t>
      </w:r>
      <w:r w:rsidRPr="008C4F1C">
        <w:t>otice indicates that the Australian Pesticides and Veterinary Medicines Authority (APVMA) is considering an application to vary the use of an existing registered agric</w:t>
      </w:r>
      <w:r w:rsidR="00E63AC3" w:rsidRPr="008C4F1C">
        <w:t>ultural or veterinary chemical.</w:t>
      </w:r>
    </w:p>
    <w:p w14:paraId="2D999D62" w14:textId="77777777" w:rsidR="006D36C8" w:rsidRPr="008C4F1C" w:rsidRDefault="006D36C8" w:rsidP="008C4F1C">
      <w:pPr>
        <w:pStyle w:val="APVMAText"/>
      </w:pPr>
      <w:r w:rsidRPr="008C4F1C">
        <w:t>It provides a summary of the APVMA’s residue and trade assessment.</w:t>
      </w:r>
    </w:p>
    <w:p w14:paraId="793783FA" w14:textId="77777777" w:rsidR="006D36C8" w:rsidRPr="008C4F1C" w:rsidRDefault="006D36C8" w:rsidP="008C4F1C">
      <w:pPr>
        <w:pStyle w:val="APVMAText"/>
      </w:pPr>
      <w:r w:rsidRPr="008C4F1C">
        <w:t>Comment is sought from industry groups and stakeholders on the information contained within this document.</w:t>
      </w:r>
    </w:p>
    <w:p w14:paraId="61CF03AE" w14:textId="77777777" w:rsidR="006D36C8" w:rsidRDefault="006D36C8" w:rsidP="00032787">
      <w:pPr>
        <w:pStyle w:val="APVMAPreliminariesH2"/>
      </w:pPr>
      <w:bookmarkStart w:id="8" w:name="_Toc180576094"/>
      <w:bookmarkStart w:id="9" w:name="_Toc181887222"/>
      <w:r>
        <w:t>Making a submission</w:t>
      </w:r>
      <w:bookmarkEnd w:id="8"/>
      <w:bookmarkEnd w:id="9"/>
    </w:p>
    <w:p w14:paraId="5DCD1FC6" w14:textId="1F94BF4A" w:rsidR="006D36C8" w:rsidRPr="00AF1ED4" w:rsidRDefault="006D36C8" w:rsidP="00AF1ED4">
      <w:pPr>
        <w:pStyle w:val="APVMAText"/>
      </w:pPr>
      <w:r w:rsidRPr="00AF1ED4">
        <w:t xml:space="preserve">The APVMA invites any person to submit a relevant written submission as to whether the application </w:t>
      </w:r>
      <w:r w:rsidR="00204739">
        <w:t xml:space="preserve">for use of </w:t>
      </w:r>
      <w:proofErr w:type="spellStart"/>
      <w:r w:rsidR="000D4F34">
        <w:t>Merivon</w:t>
      </w:r>
      <w:proofErr w:type="spellEnd"/>
      <w:r w:rsidR="000D4F34">
        <w:t xml:space="preserve"> Fungicide on cotton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02976990" w:rsidR="006D36C8" w:rsidRDefault="006D36C8" w:rsidP="006D36C8">
      <w:pPr>
        <w:pStyle w:val="APVMAText"/>
      </w:pPr>
      <w:r>
        <w:t>Submissions must be received by the APVMA by close of business on</w:t>
      </w:r>
      <w:r w:rsidR="00900321">
        <w:t xml:space="preserve"> </w:t>
      </w:r>
      <w:r w:rsidR="00B561F3">
        <w:t>2</w:t>
      </w:r>
      <w:r w:rsidR="00E15940">
        <w:t>6</w:t>
      </w:r>
      <w:r w:rsidR="00900321" w:rsidRPr="00BF6983">
        <w:t xml:space="preserve"> </w:t>
      </w:r>
      <w:r w:rsidR="000D4F34">
        <w:t>November</w:t>
      </w:r>
      <w:r w:rsidR="00204739" w:rsidRPr="00BF6983">
        <w:t xml:space="preserve"> 2024</w:t>
      </w:r>
      <w:r w:rsidR="00900321">
        <w:t xml:space="preserve"> </w:t>
      </w:r>
      <w:r>
        <w:t>and be directed to the contact listed below. All submissions to the APVMA will be acknowledged in writing via email or by post.</w:t>
      </w:r>
    </w:p>
    <w:p w14:paraId="00425FA1" w14:textId="61497DDD"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r w:rsidR="00063A19" w:rsidRPr="007051D9">
        <w:br w:type="page"/>
      </w:r>
    </w:p>
    <w:p w14:paraId="0D5B62E2" w14:textId="77777777" w:rsidR="006D36C8" w:rsidRDefault="006D36C8" w:rsidP="006D36C8">
      <w:pPr>
        <w:pStyle w:val="APVMAText"/>
        <w:rPr>
          <w:lang w:val="en-US"/>
        </w:rPr>
      </w:pPr>
      <w:r>
        <w:rPr>
          <w:lang w:val="en-US"/>
        </w:rPr>
        <w:lastRenderedPageBreak/>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BF6983">
        <w:rPr>
          <w:bCs/>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20CD1516" w:rsidR="006D36C8" w:rsidRDefault="00541125" w:rsidP="00BF6983">
      <w:pPr>
        <w:pStyle w:val="APVMAAddress"/>
        <w:ind w:left="0"/>
      </w:pPr>
      <w:r>
        <w:t>Executive Director, Risk Assessment and Capability</w:t>
      </w:r>
      <w:r w:rsidR="00063A19">
        <w:br/>
      </w:r>
      <w:r w:rsidR="006D36C8">
        <w:t>Australian Pesticides and Veterinary Medicines Authority</w:t>
      </w:r>
      <w:r w:rsidR="00063A19">
        <w:br/>
      </w:r>
      <w:r w:rsidR="00BD0287">
        <w:t xml:space="preserve">GPO Box </w:t>
      </w:r>
      <w:r w:rsidR="008C4F1C">
        <w:t>574</w:t>
      </w:r>
      <w:r w:rsidR="00063A19">
        <w:br/>
      </w:r>
      <w:r w:rsidR="008C4F1C">
        <w:t>Canberra ACT</w:t>
      </w:r>
      <w:r w:rsidR="00BD0287">
        <w:t xml:space="preserve"> </w:t>
      </w:r>
      <w:r w:rsidR="008C4F1C">
        <w:t>2601</w:t>
      </w:r>
    </w:p>
    <w:p w14:paraId="6EDED567" w14:textId="4A0AE36B" w:rsidR="006D36C8" w:rsidRPr="006D36C8" w:rsidRDefault="006D36C8" w:rsidP="00BF6983">
      <w:pPr>
        <w:pStyle w:val="APVMAAddress"/>
        <w:tabs>
          <w:tab w:val="clear" w:pos="1361"/>
          <w:tab w:val="left" w:pos="851"/>
        </w:tabs>
        <w:spacing w:before="240"/>
        <w:ind w:left="0"/>
      </w:pPr>
      <w:r>
        <w:rPr>
          <w:b/>
        </w:rPr>
        <w:t>Phone:</w:t>
      </w:r>
      <w:r>
        <w:tab/>
        <w:t xml:space="preserve">+61 2 </w:t>
      </w:r>
      <w:r w:rsidR="00BD0287">
        <w:t>6770 2300</w:t>
      </w:r>
      <w:r w:rsidR="001C5B28">
        <w:br/>
      </w:r>
      <w:r>
        <w:rPr>
          <w:b/>
        </w:rPr>
        <w:t>Email:</w:t>
      </w:r>
      <w:r>
        <w:tab/>
      </w:r>
      <w:hyperlink r:id="rId21" w:history="1">
        <w:r w:rsidR="00541125" w:rsidRPr="00BF6983">
          <w:rPr>
            <w:rStyle w:val="Hyperlink"/>
          </w:rPr>
          <w:t>enquiries@apvma.gov.au</w:t>
        </w:r>
      </w:hyperlink>
    </w:p>
    <w:p w14:paraId="75ADC83A" w14:textId="77777777" w:rsidR="006D36C8" w:rsidRDefault="006D36C8" w:rsidP="00032787">
      <w:pPr>
        <w:pStyle w:val="APVMAPreliminariesH2"/>
      </w:pPr>
      <w:bookmarkStart w:id="10" w:name="_Toc2243844"/>
      <w:bookmarkStart w:id="11" w:name="_Toc180576095"/>
      <w:bookmarkStart w:id="12" w:name="_Toc181887223"/>
      <w:r>
        <w:t>Further information</w:t>
      </w:r>
      <w:bookmarkEnd w:id="10"/>
      <w:bookmarkEnd w:id="11"/>
      <w:bookmarkEnd w:id="12"/>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13" w:name="_Toc180576096"/>
      <w:bookmarkStart w:id="14" w:name="_Toc181887224"/>
      <w:r>
        <w:lastRenderedPageBreak/>
        <w:t>I</w:t>
      </w:r>
      <w:r w:rsidR="006D36C8">
        <w:t>ntroduction</w:t>
      </w:r>
      <w:bookmarkEnd w:id="13"/>
      <w:bookmarkEnd w:id="14"/>
    </w:p>
    <w:p w14:paraId="772EF82A" w14:textId="4BD796B7" w:rsidR="00BF6983" w:rsidRDefault="006D36C8" w:rsidP="007B1953">
      <w:pPr>
        <w:pStyle w:val="APVMAText"/>
        <w:sectPr w:rsidR="00BF6983">
          <w:headerReference w:type="even" r:id="rId25"/>
          <w:pgSz w:w="11906" w:h="16838" w:code="9"/>
          <w:pgMar w:top="2835" w:right="1134" w:bottom="1134" w:left="1134" w:header="1701" w:footer="680" w:gutter="0"/>
          <w:cols w:space="708"/>
          <w:docGrid w:linePitch="360"/>
        </w:sectPr>
      </w:pPr>
      <w:bookmarkStart w:id="15" w:name="_Toc414373835"/>
      <w:r>
        <w:t xml:space="preserve">The APVMA has before it an application from </w:t>
      </w:r>
      <w:r w:rsidR="00204739">
        <w:t>Cotton Australia Limite</w:t>
      </w:r>
      <w:r w:rsidR="00204739" w:rsidRPr="00204739">
        <w:t xml:space="preserve">d for </w:t>
      </w:r>
      <w:r w:rsidR="005D54E8">
        <w:t xml:space="preserve">a </w:t>
      </w:r>
      <w:r w:rsidR="000D4F34">
        <w:t xml:space="preserve">minor use </w:t>
      </w:r>
      <w:r w:rsidR="00204739" w:rsidRPr="0034195B">
        <w:t>permit for</w:t>
      </w:r>
      <w:r w:rsidR="00204739">
        <w:t xml:space="preserve"> the</w:t>
      </w:r>
      <w:r w:rsidR="00204739" w:rsidRPr="0034195B">
        <w:t xml:space="preserve"> </w:t>
      </w:r>
      <w:r w:rsidR="00204739" w:rsidRPr="00C13A4C">
        <w:t>use</w:t>
      </w:r>
      <w:r w:rsidR="00204739" w:rsidRPr="0034195B">
        <w:rPr>
          <w:color w:val="BD3632" w:themeColor="accent6"/>
        </w:rPr>
        <w:t xml:space="preserve"> </w:t>
      </w:r>
      <w:r w:rsidR="00204739" w:rsidRPr="0034195B">
        <w:t xml:space="preserve">of </w:t>
      </w:r>
      <w:proofErr w:type="spellStart"/>
      <w:r w:rsidR="000D4F34">
        <w:t>Merivon</w:t>
      </w:r>
      <w:proofErr w:type="spellEnd"/>
      <w:r w:rsidR="000D4F34">
        <w:t xml:space="preserve"> Fungicide </w:t>
      </w:r>
      <w:r w:rsidR="00204739" w:rsidRPr="0034195B">
        <w:t xml:space="preserve">containing </w:t>
      </w:r>
      <w:r w:rsidR="000D4F34">
        <w:t xml:space="preserve">250 </w:t>
      </w:r>
      <w:r w:rsidR="00204739">
        <w:t xml:space="preserve">g/L </w:t>
      </w:r>
      <w:r w:rsidR="000D4F34">
        <w:t>of pyraclostrobin and fluxapyroxad</w:t>
      </w:r>
      <w:r w:rsidR="00204739">
        <w:t xml:space="preserve"> </w:t>
      </w:r>
      <w:r w:rsidR="00204739" w:rsidRPr="0034195B">
        <w:t>on</w:t>
      </w:r>
      <w:r w:rsidR="00204739">
        <w:t xml:space="preserve"> cotton</w:t>
      </w:r>
      <w:r w:rsidR="00204739" w:rsidRPr="0034195B">
        <w:t>.</w:t>
      </w:r>
      <w:bookmarkEnd w:id="15"/>
    </w:p>
    <w:p w14:paraId="6FDBA0BF" w14:textId="1F2CDA12" w:rsidR="006D36C8" w:rsidRDefault="006D36C8" w:rsidP="00985E58">
      <w:pPr>
        <w:pStyle w:val="Heading1"/>
        <w:pageBreakBefore w:val="0"/>
      </w:pPr>
      <w:bookmarkStart w:id="16" w:name="_Toc2243846"/>
      <w:bookmarkStart w:id="17" w:name="_Toc180576097"/>
      <w:bookmarkStart w:id="18" w:name="_Toc181887225"/>
      <w:r w:rsidRPr="00032787">
        <w:lastRenderedPageBreak/>
        <w:t>Trade</w:t>
      </w:r>
      <w:r w:rsidR="007B1953">
        <w:t xml:space="preserve"> c</w:t>
      </w:r>
      <w:r>
        <w:t>onsiderations</w:t>
      </w:r>
      <w:bookmarkEnd w:id="16"/>
      <w:bookmarkEnd w:id="17"/>
      <w:bookmarkEnd w:id="18"/>
    </w:p>
    <w:p w14:paraId="57B2B732" w14:textId="77777777" w:rsidR="006D36C8" w:rsidRDefault="006D36C8" w:rsidP="007B1953">
      <w:pPr>
        <w:pStyle w:val="Heading2"/>
        <w:numPr>
          <w:ilvl w:val="0"/>
          <w:numId w:val="0"/>
        </w:numPr>
      </w:pPr>
      <w:bookmarkStart w:id="19" w:name="_Toc2243847"/>
      <w:bookmarkStart w:id="20" w:name="_Toc180576098"/>
      <w:bookmarkStart w:id="21" w:name="_Toc181887226"/>
      <w:r>
        <w:t xml:space="preserve">Commodities </w:t>
      </w:r>
      <w:r w:rsidRPr="00753ED8">
        <w:t>exported</w:t>
      </w:r>
      <w:bookmarkEnd w:id="19"/>
      <w:bookmarkEnd w:id="20"/>
      <w:bookmarkEnd w:id="21"/>
    </w:p>
    <w:p w14:paraId="7E2AE415" w14:textId="2E662432" w:rsidR="006D36C8" w:rsidRDefault="00204739" w:rsidP="006D36C8">
      <w:pPr>
        <w:pStyle w:val="APVMAText"/>
      </w:pPr>
      <w:r>
        <w:t xml:space="preserve">Cotton seed and its derived oils and meals </w:t>
      </w:r>
      <w:proofErr w:type="gramStart"/>
      <w:r>
        <w:t>are</w:t>
      </w:r>
      <w:r w:rsidRPr="007E1362">
        <w:t xml:space="preserve"> considered to be</w:t>
      </w:r>
      <w:proofErr w:type="gramEnd"/>
      <w:r w:rsidRPr="007E1362">
        <w:t xml:space="preserve"> major export commodities</w:t>
      </w:r>
      <w:r w:rsidRPr="00AC35AB">
        <w:rPr>
          <w:vertAlign w:val="superscript"/>
        </w:rPr>
        <w:footnoteReference w:id="2"/>
      </w:r>
      <w:r w:rsidR="00AC35AB">
        <w:t xml:space="preserve">, </w:t>
      </w:r>
      <w:r w:rsidRPr="007E1362">
        <w:t>as are commodities of animal origin, such as meat, offal and dairy products, which may be derived from livestock</w:t>
      </w:r>
      <w:r w:rsidR="00FD40DF">
        <w:t xml:space="preserve"> or poultry</w:t>
      </w:r>
      <w:r w:rsidRPr="007E1362">
        <w:t xml:space="preserve"> fed feeds produced from treated </w:t>
      </w:r>
      <w:r w:rsidR="00FD40DF">
        <w:t xml:space="preserve">cotton seeds. </w:t>
      </w:r>
      <w:r w:rsidRPr="007E1362">
        <w:t xml:space="preserve">Residues in these commodities resulting from the use of </w:t>
      </w:r>
      <w:proofErr w:type="spellStart"/>
      <w:r w:rsidR="00FD40DF">
        <w:t>Merivon</w:t>
      </w:r>
      <w:proofErr w:type="spellEnd"/>
      <w:r w:rsidR="00FD40DF">
        <w:t xml:space="preserve"> Fungicide </w:t>
      </w:r>
      <w:r w:rsidRPr="007E1362">
        <w:t xml:space="preserve">may have the potential to unduly </w:t>
      </w:r>
      <w:r>
        <w:t>prejudice trade</w:t>
      </w:r>
      <w:r w:rsidR="007B1953">
        <w:t>.</w:t>
      </w:r>
    </w:p>
    <w:p w14:paraId="4E7D018C" w14:textId="77777777" w:rsidR="006D36C8" w:rsidRDefault="006D36C8" w:rsidP="007B1953">
      <w:pPr>
        <w:pStyle w:val="Heading2"/>
        <w:numPr>
          <w:ilvl w:val="0"/>
          <w:numId w:val="0"/>
        </w:numPr>
      </w:pPr>
      <w:bookmarkStart w:id="22" w:name="_Toc231889745"/>
      <w:bookmarkStart w:id="23" w:name="_Toc2243848"/>
      <w:bookmarkStart w:id="24" w:name="_Toc180576099"/>
      <w:bookmarkStart w:id="25" w:name="_Toc181887227"/>
      <w:r>
        <w:t>Destination and value of exports</w:t>
      </w:r>
      <w:bookmarkEnd w:id="22"/>
      <w:bookmarkEnd w:id="23"/>
      <w:bookmarkEnd w:id="24"/>
      <w:bookmarkEnd w:id="25"/>
    </w:p>
    <w:p w14:paraId="64030173" w14:textId="4974B459" w:rsidR="00204739" w:rsidRDefault="00204739" w:rsidP="00204739">
      <w:pPr>
        <w:pStyle w:val="APVMAText"/>
      </w:pPr>
      <w:r>
        <w:t xml:space="preserve">Australia exported an estimated </w:t>
      </w:r>
      <w:r w:rsidR="008D5557">
        <w:t>~680</w:t>
      </w:r>
      <w:r w:rsidR="00063A19">
        <w:t> </w:t>
      </w:r>
      <w:r>
        <w:t xml:space="preserve">kt of </w:t>
      </w:r>
      <w:r w:rsidR="008D5557">
        <w:t xml:space="preserve">cottonseed </w:t>
      </w:r>
      <w:r>
        <w:t xml:space="preserve">worth </w:t>
      </w:r>
      <w:r w:rsidR="008D5557">
        <w:t>~</w:t>
      </w:r>
      <w:r>
        <w:t>AUD$</w:t>
      </w:r>
      <w:r w:rsidR="008D5557">
        <w:t>417</w:t>
      </w:r>
      <w:r>
        <w:t xml:space="preserve"> million in 202</w:t>
      </w:r>
      <w:r w:rsidR="008D5557">
        <w:t>3</w:t>
      </w:r>
      <w:r w:rsidR="00063A19">
        <w:t>–</w:t>
      </w:r>
      <w:r w:rsidR="007C7483">
        <w:t>2</w:t>
      </w:r>
      <w:r w:rsidR="008D5557">
        <w:t>4</w:t>
      </w:r>
      <w:r w:rsidR="007C7483" w:rsidRPr="00466A5C">
        <w:rPr>
          <w:vertAlign w:val="superscript"/>
        </w:rPr>
        <w:footnoteReference w:id="3"/>
      </w:r>
      <w:r w:rsidR="00332412">
        <w:t xml:space="preserve"> as reported by the</w:t>
      </w:r>
      <w:r>
        <w:t xml:space="preserve"> </w:t>
      </w:r>
      <w:r w:rsidR="00332412" w:rsidRPr="00BF6983">
        <w:t>Australian Bureau of Agricultural and Resource Economics</w:t>
      </w:r>
      <w:r w:rsidR="00332412">
        <w:t xml:space="preserve"> (ABARES) in September quarter Agricultural commodities statistics.</w:t>
      </w:r>
    </w:p>
    <w:p w14:paraId="4A8E799D" w14:textId="71B660B4" w:rsidR="00204739" w:rsidRDefault="00204739" w:rsidP="00204739">
      <w:pPr>
        <w:pStyle w:val="APVMAText"/>
      </w:pPr>
      <w:r>
        <w:t>The major export markets for cottonseed in 202</w:t>
      </w:r>
      <w:r w:rsidR="008D5557">
        <w:t>3</w:t>
      </w:r>
      <w:r w:rsidR="001C5B28">
        <w:t>–</w:t>
      </w:r>
      <w:r w:rsidR="008D5557">
        <w:t>24</w:t>
      </w:r>
      <w:r>
        <w:t xml:space="preserve"> were China, </w:t>
      </w:r>
      <w:r w:rsidR="008D5557">
        <w:t xml:space="preserve">USA, </w:t>
      </w:r>
      <w:r>
        <w:t>Korea and Japan</w:t>
      </w:r>
      <w:r w:rsidR="008D5557">
        <w:rPr>
          <w:rStyle w:val="FootnoteReference"/>
        </w:rPr>
        <w:footnoteReference w:id="4"/>
      </w:r>
      <w:r>
        <w:t>.</w:t>
      </w:r>
    </w:p>
    <w:p w14:paraId="7E2CF1A7" w14:textId="1A26A853" w:rsidR="00204739" w:rsidRDefault="00204739" w:rsidP="00204739">
      <w:pPr>
        <w:pStyle w:val="APVMAText"/>
      </w:pPr>
      <w:r>
        <w:t xml:space="preserve">The significant export markets for Australian beef, sheep, pig meat and offal are listed in the APVMA Regulatory Guidelines – Data Guidelines: Agricultural </w:t>
      </w:r>
      <w:r w:rsidR="00FB728F">
        <w:t>–</w:t>
      </w:r>
      <w:r>
        <w:t xml:space="preserve"> </w:t>
      </w:r>
      <w:r w:rsidR="00FB728F">
        <w:t>Oversea</w:t>
      </w:r>
      <w:r>
        <w:t>s trade (Part 5B). However, no changes are required to the current animal commodity MRLs, and an ESI is not required for the use considered here.</w:t>
      </w:r>
    </w:p>
    <w:p w14:paraId="3EC6D648" w14:textId="4F3CD01D" w:rsidR="006D36C8" w:rsidRDefault="007B1953" w:rsidP="00032787">
      <w:pPr>
        <w:pStyle w:val="Heading2"/>
      </w:pPr>
      <w:bookmarkStart w:id="26" w:name="_Toc231889746"/>
      <w:bookmarkStart w:id="27" w:name="_Toc2243849"/>
      <w:bookmarkStart w:id="28" w:name="_Toc180576100"/>
      <w:bookmarkStart w:id="29" w:name="_Toc181887228"/>
      <w:r>
        <w:t xml:space="preserve">Proposed Australian use </w:t>
      </w:r>
      <w:r w:rsidR="006D36C8">
        <w:t>pattern</w:t>
      </w:r>
      <w:bookmarkEnd w:id="26"/>
      <w:bookmarkEnd w:id="27"/>
      <w:bookmarkEnd w:id="28"/>
      <w:bookmarkEnd w:id="29"/>
    </w:p>
    <w:p w14:paraId="3AED2408" w14:textId="3EB92D7C" w:rsidR="006D36C8" w:rsidRDefault="00063A19" w:rsidP="00957A91">
      <w:pPr>
        <w:pStyle w:val="Caption"/>
      </w:pPr>
      <w:bookmarkStart w:id="30" w:name="_Toc181887260"/>
      <w:bookmarkStart w:id="31" w:name="_Toc252955168"/>
      <w:r w:rsidRPr="007051D9">
        <w:t xml:space="preserve">Table </w:t>
      </w:r>
      <w:r w:rsidR="008C6117">
        <w:fldChar w:fldCharType="begin"/>
      </w:r>
      <w:r w:rsidR="008C6117">
        <w:instrText xml:space="preserve"> SEQ Table \* ARABIC </w:instrText>
      </w:r>
      <w:r w:rsidR="008C6117">
        <w:fldChar w:fldCharType="separate"/>
      </w:r>
      <w:r>
        <w:rPr>
          <w:noProof/>
        </w:rPr>
        <w:t>1</w:t>
      </w:r>
      <w:r w:rsidR="008C6117">
        <w:rPr>
          <w:noProof/>
        </w:rPr>
        <w:fldChar w:fldCharType="end"/>
      </w:r>
      <w:r w:rsidRPr="007051D9">
        <w:t>:</w:t>
      </w:r>
      <w:r w:rsidR="006D36C8">
        <w:tab/>
        <w:t>Proposed use pattern</w:t>
      </w:r>
      <w:bookmarkEnd w:id="30"/>
      <w:r w:rsidR="006D36C8">
        <w:t xml:space="preserve"> </w:t>
      </w:r>
      <w:bookmarkEnd w:id="31"/>
    </w:p>
    <w:tbl>
      <w:tblPr>
        <w:tblW w:w="5000" w:type="pct"/>
        <w:tblBorders>
          <w:bottom w:val="single" w:sz="4" w:space="0" w:color="auto"/>
          <w:insideH w:val="single" w:sz="4" w:space="0" w:color="auto"/>
        </w:tblBorders>
        <w:tblLook w:val="0020" w:firstRow="1" w:lastRow="0" w:firstColumn="0" w:lastColumn="0" w:noHBand="0" w:noVBand="0"/>
      </w:tblPr>
      <w:tblGrid>
        <w:gridCol w:w="1271"/>
        <w:gridCol w:w="1318"/>
        <w:gridCol w:w="2544"/>
        <w:gridCol w:w="4505"/>
      </w:tblGrid>
      <w:tr w:rsidR="006D36C8" w14:paraId="72B660C5" w14:textId="77777777" w:rsidTr="00204739">
        <w:trPr>
          <w:tblHeader/>
        </w:trPr>
        <w:tc>
          <w:tcPr>
            <w:tcW w:w="676"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635"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1336" w:type="pct"/>
            <w:tcBorders>
              <w:top w:val="single" w:sz="4" w:space="0" w:color="auto"/>
            </w:tcBorders>
            <w:shd w:val="clear" w:color="auto" w:fill="00747A" w:themeFill="background2"/>
          </w:tcPr>
          <w:p w14:paraId="637EFEE8" w14:textId="2E89F565" w:rsidR="006D36C8" w:rsidRDefault="006D36C8" w:rsidP="00063A19">
            <w:pPr>
              <w:pStyle w:val="APVMATableHead"/>
            </w:pPr>
            <w:r>
              <w:t>Rate/</w:t>
            </w:r>
            <w:r w:rsidR="007368E2">
              <w:t>concentration</w:t>
            </w:r>
          </w:p>
        </w:tc>
        <w:tc>
          <w:tcPr>
            <w:tcW w:w="2353"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6D36C8" w14:paraId="779381D3" w14:textId="77777777" w:rsidTr="00204739">
        <w:trPr>
          <w:cantSplit/>
        </w:trPr>
        <w:tc>
          <w:tcPr>
            <w:tcW w:w="676" w:type="pct"/>
          </w:tcPr>
          <w:p w14:paraId="59AB6492" w14:textId="75572676" w:rsidR="006D36C8" w:rsidRDefault="00204739" w:rsidP="001C5B28">
            <w:pPr>
              <w:pStyle w:val="APVMATableText"/>
            </w:pPr>
            <w:r w:rsidRPr="00204739">
              <w:t>Cotton</w:t>
            </w:r>
          </w:p>
        </w:tc>
        <w:tc>
          <w:tcPr>
            <w:tcW w:w="635" w:type="pct"/>
          </w:tcPr>
          <w:p w14:paraId="1F3E0A62" w14:textId="2227C0C3" w:rsidR="006D36C8" w:rsidRPr="00B4338F" w:rsidRDefault="007E73BD" w:rsidP="001C5B28">
            <w:pPr>
              <w:pStyle w:val="APVMATableText"/>
            </w:pPr>
            <w:r w:rsidRPr="007E73BD">
              <w:t>Target Spot</w:t>
            </w:r>
            <w:r w:rsidRPr="007E73BD">
              <w:rPr>
                <w:i/>
                <w:iCs/>
              </w:rPr>
              <w:t xml:space="preserve"> (</w:t>
            </w:r>
            <w:proofErr w:type="spellStart"/>
            <w:r w:rsidRPr="007E73BD">
              <w:rPr>
                <w:i/>
                <w:iCs/>
              </w:rPr>
              <w:t>Corynespora</w:t>
            </w:r>
            <w:proofErr w:type="spellEnd"/>
            <w:r w:rsidRPr="007E73BD">
              <w:rPr>
                <w:i/>
                <w:iCs/>
              </w:rPr>
              <w:t xml:space="preserve"> </w:t>
            </w:r>
            <w:proofErr w:type="spellStart"/>
            <w:r w:rsidRPr="007E73BD">
              <w:rPr>
                <w:i/>
                <w:iCs/>
              </w:rPr>
              <w:t>cassiicola</w:t>
            </w:r>
            <w:proofErr w:type="spellEnd"/>
            <w:r w:rsidRPr="007E73BD">
              <w:rPr>
                <w:i/>
                <w:iCs/>
              </w:rPr>
              <w:t>)</w:t>
            </w:r>
          </w:p>
        </w:tc>
        <w:tc>
          <w:tcPr>
            <w:tcW w:w="1336" w:type="pct"/>
          </w:tcPr>
          <w:p w14:paraId="1B4238A7" w14:textId="2B6B7AD3" w:rsidR="00204739" w:rsidRPr="00204739" w:rsidRDefault="007E73BD" w:rsidP="00204739">
            <w:pPr>
              <w:pStyle w:val="APVMATableText"/>
            </w:pPr>
            <w:r>
              <w:t>390 mL/ha</w:t>
            </w:r>
          </w:p>
          <w:p w14:paraId="2A21272C" w14:textId="4470C637" w:rsidR="006D36C8" w:rsidRPr="008141E6" w:rsidRDefault="00204739" w:rsidP="00204739">
            <w:pPr>
              <w:pStyle w:val="APVMATableText"/>
            </w:pPr>
            <w:r w:rsidRPr="00204739">
              <w:t>(9</w:t>
            </w:r>
            <w:r w:rsidR="007E73BD">
              <w:t>7.5</w:t>
            </w:r>
            <w:r w:rsidR="00063A19">
              <w:t> </w:t>
            </w:r>
            <w:r w:rsidR="00063A19" w:rsidRPr="00204739">
              <w:t>g</w:t>
            </w:r>
            <w:r w:rsidR="00063A19">
              <w:t> </w:t>
            </w:r>
            <w:r w:rsidRPr="00204739">
              <w:t>ai/ha</w:t>
            </w:r>
            <w:r w:rsidR="007E73BD">
              <w:t xml:space="preserve"> for each of pyraclostrobin and fluxapyroxad</w:t>
            </w:r>
            <w:r w:rsidRPr="00204739">
              <w:t>)</w:t>
            </w:r>
          </w:p>
        </w:tc>
        <w:tc>
          <w:tcPr>
            <w:tcW w:w="2353" w:type="pct"/>
          </w:tcPr>
          <w:p w14:paraId="1F930FCA" w14:textId="5553B12A" w:rsidR="007E73BD" w:rsidRDefault="007E73BD" w:rsidP="007E73BD">
            <w:pPr>
              <w:pStyle w:val="APVMATableText"/>
            </w:pPr>
            <w:r>
              <w:t>Apply up to 3 foliar applications per crop up to crop maturity with a minimum re-treatment interval of 7 days.</w:t>
            </w:r>
          </w:p>
          <w:p w14:paraId="54E88718" w14:textId="06C08129" w:rsidR="006D36C8" w:rsidRPr="000D72C3" w:rsidRDefault="007E73BD" w:rsidP="001C5B28">
            <w:pPr>
              <w:pStyle w:val="APVMATableText"/>
            </w:pPr>
            <w:r>
              <w:t>Apply using a boom spray or aircraft in a spray volume of 30-100L/ha.</w:t>
            </w:r>
          </w:p>
        </w:tc>
      </w:tr>
    </w:tbl>
    <w:p w14:paraId="1477C65B" w14:textId="6761C2E4" w:rsidR="007E73BD" w:rsidRDefault="00204739" w:rsidP="007E73BD">
      <w:pPr>
        <w:pStyle w:val="Heading3"/>
      </w:pPr>
      <w:bookmarkStart w:id="32" w:name="_Toc155278366"/>
      <w:bookmarkStart w:id="33" w:name="_Toc180576101"/>
      <w:bookmarkStart w:id="34" w:name="_Toc181887229"/>
      <w:r>
        <w:t>Restraints</w:t>
      </w:r>
      <w:bookmarkEnd w:id="32"/>
      <w:bookmarkEnd w:id="33"/>
      <w:bookmarkEnd w:id="34"/>
    </w:p>
    <w:p w14:paraId="70EFA9AB" w14:textId="21E4F398" w:rsidR="00204739" w:rsidRDefault="007E73BD" w:rsidP="007E73BD">
      <w:pPr>
        <w:pStyle w:val="APVMAText"/>
      </w:pPr>
      <w:r>
        <w:t>Do not graze or cut treated cotton crops, stubble or gin trash.</w:t>
      </w:r>
    </w:p>
    <w:p w14:paraId="303B3E3B" w14:textId="20E8A5FF" w:rsidR="00204739" w:rsidRDefault="00204739" w:rsidP="00BF6983">
      <w:pPr>
        <w:pStyle w:val="Heading3"/>
      </w:pPr>
      <w:bookmarkStart w:id="35" w:name="_Toc155278367"/>
      <w:bookmarkStart w:id="36" w:name="_Toc180576102"/>
      <w:bookmarkStart w:id="37" w:name="_Toc181887230"/>
      <w:r>
        <w:lastRenderedPageBreak/>
        <w:t>Withholding periods</w:t>
      </w:r>
      <w:bookmarkEnd w:id="35"/>
      <w:bookmarkEnd w:id="36"/>
      <w:bookmarkEnd w:id="37"/>
    </w:p>
    <w:p w14:paraId="5351667A" w14:textId="1834E501" w:rsidR="00063A19" w:rsidRPr="00005039" w:rsidRDefault="00204739" w:rsidP="00005039">
      <w:pPr>
        <w:pStyle w:val="Heading4"/>
      </w:pPr>
      <w:r w:rsidRPr="00005039">
        <w:t>Harvest</w:t>
      </w:r>
    </w:p>
    <w:p w14:paraId="6BCF225E" w14:textId="40422823" w:rsidR="00204739" w:rsidRDefault="00204739" w:rsidP="00204739">
      <w:pPr>
        <w:pStyle w:val="APVMAText"/>
      </w:pPr>
      <w:r w:rsidRPr="00081158">
        <w:t xml:space="preserve">Do not harvest for </w:t>
      </w:r>
      <w:r w:rsidR="00C3498F">
        <w:t>30</w:t>
      </w:r>
      <w:r w:rsidRPr="00081158">
        <w:t xml:space="preserve"> days after </w:t>
      </w:r>
      <w:r w:rsidR="00C3498F">
        <w:t xml:space="preserve">the last </w:t>
      </w:r>
      <w:r w:rsidRPr="00081158">
        <w:t>application.</w:t>
      </w:r>
    </w:p>
    <w:p w14:paraId="1EA98989" w14:textId="77777777" w:rsidR="00063A19" w:rsidRDefault="00204739" w:rsidP="00BF6983">
      <w:pPr>
        <w:pStyle w:val="Heading4"/>
      </w:pPr>
      <w:r>
        <w:t>Grazing</w:t>
      </w:r>
    </w:p>
    <w:p w14:paraId="7892BD4E" w14:textId="77777777" w:rsidR="007E73BD" w:rsidRDefault="007E73BD" w:rsidP="007E73BD">
      <w:pPr>
        <w:pStyle w:val="APVMAText"/>
      </w:pPr>
      <w:bookmarkStart w:id="38" w:name="_Toc231889747"/>
      <w:bookmarkStart w:id="39" w:name="_Toc2243850"/>
      <w:r>
        <w:t>Do not graze or cut treated cotton crops, stubble or gin trash.</w:t>
      </w:r>
    </w:p>
    <w:p w14:paraId="28529C15" w14:textId="4BCE5CD1" w:rsidR="006D36C8" w:rsidRDefault="006D36C8" w:rsidP="00032787">
      <w:pPr>
        <w:pStyle w:val="Heading2"/>
      </w:pPr>
      <w:bookmarkStart w:id="40" w:name="_Toc180576103"/>
      <w:bookmarkStart w:id="41" w:name="_Toc181887231"/>
      <w:r>
        <w:t xml:space="preserve">Results from residues trials </w:t>
      </w:r>
      <w:r w:rsidR="00B0749D">
        <w:t xml:space="preserve">considered by </w:t>
      </w:r>
      <w:r>
        <w:t>the APVMA</w:t>
      </w:r>
      <w:bookmarkEnd w:id="38"/>
      <w:bookmarkEnd w:id="39"/>
      <w:bookmarkEnd w:id="40"/>
      <w:bookmarkEnd w:id="41"/>
    </w:p>
    <w:p w14:paraId="14605B19" w14:textId="5C90F19B" w:rsidR="00C27330" w:rsidRDefault="00C27330" w:rsidP="00005039">
      <w:pPr>
        <w:pStyle w:val="Heading3"/>
      </w:pPr>
      <w:bookmarkStart w:id="42" w:name="_Toc181887232"/>
      <w:r>
        <w:t>Fluxapyroxad</w:t>
      </w:r>
      <w:bookmarkEnd w:id="42"/>
    </w:p>
    <w:p w14:paraId="7EC8FE65" w14:textId="2F987A58" w:rsidR="00C27330" w:rsidRDefault="00C27330" w:rsidP="00C27330">
      <w:pPr>
        <w:pStyle w:val="APVMAText"/>
      </w:pPr>
      <w:r>
        <w:t>The residues of fluxapyroxad (parent) in cotton seed following 3 foliar applications made at a rate of ~1× the proposed rate with a re-treatment interval of 7 days at PHIs ranging from 28-32 days including at the proposed WHP of 30 days are in rank order: &lt;0.01, 0.01, 0.01, 0.02, 0.02, 0.07, 0.09, 0.11, 0.11 and 0.13 mg/kg. The OECD calculator estimates an MRL of 0.3 mg/kg (STMR= 0.045 mg/kg, n=10).</w:t>
      </w:r>
    </w:p>
    <w:p w14:paraId="14193BBC" w14:textId="72D879E2" w:rsidR="00C27330" w:rsidRDefault="00C27330" w:rsidP="00C27330">
      <w:pPr>
        <w:pStyle w:val="APVMAText"/>
      </w:pPr>
      <w:r>
        <w:t>Based on the available information, a temporary MRL of 0.3 mg/kg for fluxapyroxad is considered appropriate for cotton seed (SO 0691) in conjunction with a harvest WHP of 30 days.</w:t>
      </w:r>
    </w:p>
    <w:p w14:paraId="3CB82157" w14:textId="75C8C7FD" w:rsidR="00C27330" w:rsidRDefault="00C27330" w:rsidP="00C27330">
      <w:pPr>
        <w:pStyle w:val="APVMAText"/>
      </w:pPr>
      <w:r>
        <w:t>Processing: The available fluxapyroxad processing data on cotton seed indicates that residues did not concentrate in cotton seed by-products - meal, hulls and refined oil therefore no separate MRLs are required for these commodities.</w:t>
      </w:r>
    </w:p>
    <w:p w14:paraId="55BB2094" w14:textId="6AA58E5F" w:rsidR="00C27330" w:rsidRDefault="00C27330" w:rsidP="00005039">
      <w:pPr>
        <w:pStyle w:val="Heading3"/>
      </w:pPr>
      <w:bookmarkStart w:id="43" w:name="_Toc181887233"/>
      <w:r>
        <w:t>Pyraclostrobin</w:t>
      </w:r>
      <w:bookmarkEnd w:id="43"/>
    </w:p>
    <w:p w14:paraId="1E6DB6B4" w14:textId="32AD1C8A" w:rsidR="00C27330" w:rsidRDefault="00C27330" w:rsidP="00C27330">
      <w:pPr>
        <w:pStyle w:val="APVMAText"/>
      </w:pPr>
      <w:r>
        <w:t xml:space="preserve">The residues of pyraclostrobin in cotton seed followed by a single at-planting in-furrow application and three broadcast foliar applications at 1× the proposed rate </w:t>
      </w:r>
      <w:proofErr w:type="gramStart"/>
      <w:r>
        <w:t>were</w:t>
      </w:r>
      <w:proofErr w:type="gramEnd"/>
      <w:r>
        <w:t xml:space="preserve"> &lt;0.02 (6), 0.02, 0.03 (2), 0.04, 0.05 and 0.07 mg/kg.</w:t>
      </w:r>
    </w:p>
    <w:p w14:paraId="7206D4C1" w14:textId="77777777" w:rsidR="00C27330" w:rsidRDefault="00C27330" w:rsidP="00C27330">
      <w:pPr>
        <w:pStyle w:val="APVMAText"/>
      </w:pPr>
      <w:r>
        <w:t>The OECD MRL Calculator recommends an MRL of 0.1 mg/kg (n = 12, STMR = 0.02 mg/kg).</w:t>
      </w:r>
    </w:p>
    <w:p w14:paraId="478CC116" w14:textId="6EE054E5" w:rsidR="00C27330" w:rsidRDefault="00C27330" w:rsidP="00C27330">
      <w:pPr>
        <w:pStyle w:val="APVMAText"/>
      </w:pPr>
      <w:r>
        <w:t>Based on the available information, a temporary MRL of 0.1 mg/kg for pyraclostrobin is considered appropriate for cotton seed (SO 0691) in conjunction with a harvest WHP of 30 days.</w:t>
      </w:r>
    </w:p>
    <w:p w14:paraId="6E54A25B" w14:textId="3672D1BA" w:rsidR="00C27330" w:rsidRDefault="00C27330" w:rsidP="00C27330">
      <w:pPr>
        <w:pStyle w:val="APVMAText"/>
      </w:pPr>
      <w:r w:rsidRPr="00C27330">
        <w:t>Processing study showed that residues of pyraclostrobin and its metabolite (BF500-3) were below their quantifiable levels in cotton seed by-products meal, hull, crude oil and refined oil. Therefore, no separate MRLs are required for cotton seed by-products.</w:t>
      </w:r>
    </w:p>
    <w:p w14:paraId="25F6AA9E" w14:textId="362C95B4" w:rsidR="00C27330" w:rsidRPr="00C27330" w:rsidRDefault="00C27330" w:rsidP="00C27330">
      <w:pPr>
        <w:rPr>
          <w:rFonts w:cs="Arial"/>
          <w:u w:color="000000"/>
        </w:rPr>
      </w:pPr>
      <w:r w:rsidRPr="00C27330">
        <w:rPr>
          <w:rFonts w:cs="Arial"/>
          <w:u w:color="000000"/>
        </w:rPr>
        <w:t>Due to the proposed grazing restraint of "Do not graze or cut treated cotton crops, stubble or gin-trash" residues aspects relating to animal feeds or gin trash are not discussed here for the proposed use.</w:t>
      </w:r>
    </w:p>
    <w:p w14:paraId="5710BADE" w14:textId="77777777" w:rsidR="00C27330" w:rsidRDefault="00C27330" w:rsidP="00C27330">
      <w:pPr>
        <w:pStyle w:val="APVMAText"/>
      </w:pPr>
    </w:p>
    <w:p w14:paraId="0CB29406" w14:textId="12455002" w:rsidR="006D36C8" w:rsidRDefault="00957A91" w:rsidP="00032787">
      <w:pPr>
        <w:pStyle w:val="Heading2"/>
      </w:pPr>
      <w:bookmarkStart w:id="44" w:name="_Toc231889749"/>
      <w:bookmarkStart w:id="45" w:name="_Toc2243852"/>
      <w:bookmarkStart w:id="46" w:name="_Toc180576104"/>
      <w:bookmarkStart w:id="47" w:name="_Toc181887234"/>
      <w:r>
        <w:lastRenderedPageBreak/>
        <w:t>Codex Alimentarius C</w:t>
      </w:r>
      <w:r w:rsidR="006D36C8">
        <w:t>ommission and overseas MRLs</w:t>
      </w:r>
      <w:bookmarkEnd w:id="44"/>
      <w:bookmarkEnd w:id="45"/>
      <w:bookmarkEnd w:id="46"/>
      <w:bookmarkEnd w:id="47"/>
    </w:p>
    <w:p w14:paraId="799FFF6B" w14:textId="04F13806" w:rsidR="00C3498F" w:rsidRDefault="006D36C8" w:rsidP="006D36C8">
      <w:pPr>
        <w:pStyle w:val="APVMAText"/>
        <w:sectPr w:rsidR="00C3498F">
          <w:pgSz w:w="11906" w:h="16838" w:code="9"/>
          <w:pgMar w:top="2835" w:right="1134" w:bottom="1134" w:left="1134" w:header="1701" w:footer="680" w:gutter="0"/>
          <w:cols w:space="708"/>
          <w:docGrid w:linePitch="360"/>
        </w:sectPr>
      </w:pPr>
      <w:r>
        <w:t xml:space="preserve">The Codex Alimentarius Commission (Codex) is responsible for establishing Codex Maximum Residue Limits (CXLs) for pesticides. Codex CXLs are primarily intended to facilitate international </w:t>
      </w:r>
      <w:r w:rsidR="00C3498F">
        <w:t>trade and</w:t>
      </w:r>
      <w:r>
        <w:t xml:space="preserve"> accommodate differences in Good Agricultural Practice (GAP) employed by various countries. Some countries may accept Codex CXLs when importing foods. </w:t>
      </w:r>
      <w:r w:rsidR="002042CC" w:rsidRPr="002042CC">
        <w:t>The following MRLs for fluxapyroxad and pyraclostrobin on cotton seed have been established in the key international markets.</w:t>
      </w:r>
    </w:p>
    <w:p w14:paraId="2BE26F1E" w14:textId="36DC73D9" w:rsidR="00C3498F" w:rsidRDefault="00063A19" w:rsidP="00BF6983">
      <w:pPr>
        <w:pStyle w:val="Caption"/>
      </w:pPr>
      <w:bookmarkStart w:id="48" w:name="_Toc252955169"/>
      <w:bookmarkStart w:id="49" w:name="_Toc181887261"/>
      <w:r w:rsidRPr="00007E23">
        <w:lastRenderedPageBreak/>
        <w:t xml:space="preserve">Table </w:t>
      </w:r>
      <w:r w:rsidR="008C6117">
        <w:fldChar w:fldCharType="begin"/>
      </w:r>
      <w:r w:rsidR="008C6117">
        <w:instrText xml:space="preserve"> SEQ Table \* ARABIC </w:instrText>
      </w:r>
      <w:r w:rsidR="008C6117">
        <w:fldChar w:fldCharType="separate"/>
      </w:r>
      <w:r w:rsidRPr="00BF6983">
        <w:t>2</w:t>
      </w:r>
      <w:r w:rsidR="008C6117">
        <w:fldChar w:fldCharType="end"/>
      </w:r>
      <w:r w:rsidRPr="00007E23">
        <w:t>:</w:t>
      </w:r>
      <w:r w:rsidR="00C3498F" w:rsidRPr="00007E23">
        <w:tab/>
      </w:r>
      <w:bookmarkEnd w:id="48"/>
      <w:r w:rsidR="00C3498F" w:rsidRPr="00007E23">
        <w:t xml:space="preserve">Current and proposed Australian and overseas MRLs/tolerances for </w:t>
      </w:r>
      <w:r w:rsidR="002042CC">
        <w:t>fluxapyroxad and pyraclostrobin</w:t>
      </w:r>
      <w:r w:rsidR="00C3498F" w:rsidRPr="00007E23">
        <w:t>.</w:t>
      </w:r>
      <w:bookmarkEnd w:id="4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2600"/>
        <w:gridCol w:w="1558"/>
        <w:gridCol w:w="981"/>
        <w:gridCol w:w="1497"/>
        <w:gridCol w:w="1476"/>
        <w:gridCol w:w="1689"/>
        <w:gridCol w:w="1232"/>
      </w:tblGrid>
      <w:tr w:rsidR="002042CC" w:rsidRPr="004D3DFC" w14:paraId="7283CA7C" w14:textId="77777777" w:rsidTr="00FF6A75">
        <w:trPr>
          <w:tblHeader/>
        </w:trPr>
        <w:tc>
          <w:tcPr>
            <w:tcW w:w="1211"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0605052B" w14:textId="77777777" w:rsidR="002042CC" w:rsidRPr="00594D56" w:rsidRDefault="002042CC" w:rsidP="002042CC">
            <w:pPr>
              <w:pStyle w:val="APVMATableHead"/>
            </w:pPr>
            <w:bookmarkStart w:id="50" w:name="_Hlk175132931"/>
            <w:r w:rsidRPr="00594D56">
              <w:t>Commodity</w:t>
            </w:r>
          </w:p>
        </w:tc>
        <w:tc>
          <w:tcPr>
            <w:tcW w:w="3789" w:type="pct"/>
            <w:gridSpan w:val="7"/>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09A3F893" w14:textId="77777777" w:rsidR="002042CC" w:rsidRPr="00594D56" w:rsidRDefault="002042CC" w:rsidP="002042CC">
            <w:pPr>
              <w:pStyle w:val="APVMATableHead"/>
            </w:pPr>
            <w:r w:rsidRPr="00594D56">
              <w:t xml:space="preserve">Tolerance for residues arising from the use of </w:t>
            </w:r>
            <w:r>
              <w:t>fluxapyroxad</w:t>
            </w:r>
            <w:r w:rsidRPr="00594D56">
              <w:t xml:space="preserve"> (mg/kg)</w:t>
            </w:r>
          </w:p>
        </w:tc>
      </w:tr>
      <w:tr w:rsidR="002042CC" w:rsidRPr="004D3DFC" w14:paraId="51D9CC73" w14:textId="77777777" w:rsidTr="00FF6A75">
        <w:trPr>
          <w:tblHeader/>
        </w:trPr>
        <w:tc>
          <w:tcPr>
            <w:tcW w:w="1211"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44FBE1E5" w14:textId="77777777" w:rsidR="002042CC" w:rsidRPr="00594D56" w:rsidRDefault="002042CC" w:rsidP="002042CC">
            <w:pPr>
              <w:pStyle w:val="APVMATableHead"/>
            </w:pPr>
          </w:p>
        </w:tc>
        <w:tc>
          <w:tcPr>
            <w:tcW w:w="89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E15E8EF" w14:textId="77777777" w:rsidR="002042CC" w:rsidRPr="00594D56" w:rsidRDefault="002042CC" w:rsidP="001C5B28">
            <w:pPr>
              <w:pStyle w:val="APVMATableHead"/>
              <w:jc w:val="center"/>
            </w:pPr>
            <w:r w:rsidRPr="00594D56">
              <w:t>Australia</w:t>
            </w:r>
          </w:p>
        </w:tc>
        <w:tc>
          <w:tcPr>
            <w:tcW w:w="535"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995CB06" w14:textId="77777777" w:rsidR="002042CC" w:rsidRPr="00594D56" w:rsidRDefault="002042CC" w:rsidP="001C5B28">
            <w:pPr>
              <w:pStyle w:val="APVMATableHead"/>
              <w:jc w:val="center"/>
            </w:pPr>
            <w:r w:rsidRPr="00594D56">
              <w:t>Codex</w:t>
            </w:r>
            <w:r w:rsidRPr="00594D56">
              <w:rPr>
                <w:rStyle w:val="FootnoteReference"/>
                <w:sz w:val="16"/>
                <w:szCs w:val="16"/>
              </w:rPr>
              <w:footnoteReference w:id="5"/>
            </w:r>
          </w:p>
        </w:tc>
        <w:tc>
          <w:tcPr>
            <w:tcW w:w="33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29A99D9" w14:textId="77777777" w:rsidR="002042CC" w:rsidRPr="00594D56" w:rsidRDefault="002042CC" w:rsidP="001C5B28">
            <w:pPr>
              <w:pStyle w:val="APVMATableHead"/>
              <w:jc w:val="center"/>
            </w:pPr>
            <w:r w:rsidRPr="00594D56">
              <w:t>EU</w:t>
            </w:r>
            <w:r w:rsidRPr="00594D56">
              <w:rPr>
                <w:rStyle w:val="FootnoteReference"/>
                <w:sz w:val="16"/>
                <w:szCs w:val="16"/>
              </w:rPr>
              <w:footnoteReference w:id="6"/>
            </w:r>
          </w:p>
        </w:tc>
        <w:tc>
          <w:tcPr>
            <w:tcW w:w="51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00CC645" w14:textId="77777777" w:rsidR="002042CC" w:rsidRPr="00594D56" w:rsidRDefault="002042CC" w:rsidP="001C5B28">
            <w:pPr>
              <w:pStyle w:val="APVMATableHead"/>
              <w:jc w:val="center"/>
            </w:pPr>
            <w:r w:rsidRPr="00594D56">
              <w:t>Japan</w:t>
            </w:r>
            <w:r w:rsidRPr="00594D56">
              <w:rPr>
                <w:rStyle w:val="FootnoteReference"/>
                <w:sz w:val="16"/>
                <w:szCs w:val="16"/>
              </w:rPr>
              <w:footnoteReference w:id="7"/>
            </w:r>
          </w:p>
        </w:tc>
        <w:tc>
          <w:tcPr>
            <w:tcW w:w="50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51EED89" w14:textId="77777777" w:rsidR="002042CC" w:rsidRPr="00594D56" w:rsidRDefault="002042CC" w:rsidP="001C5B28">
            <w:pPr>
              <w:pStyle w:val="APVMATableHead"/>
              <w:jc w:val="center"/>
            </w:pPr>
            <w:r w:rsidRPr="00594D56">
              <w:t>Korea</w:t>
            </w:r>
            <w:r w:rsidRPr="00594D56">
              <w:rPr>
                <w:rStyle w:val="FootnoteReference"/>
                <w:sz w:val="16"/>
                <w:szCs w:val="16"/>
              </w:rPr>
              <w:footnoteReference w:id="8"/>
            </w:r>
          </w:p>
        </w:tc>
        <w:tc>
          <w:tcPr>
            <w:tcW w:w="58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E8B482E" w14:textId="77777777" w:rsidR="002042CC" w:rsidRPr="00594D56" w:rsidRDefault="002042CC" w:rsidP="001C5B28">
            <w:pPr>
              <w:pStyle w:val="APVMATableHead"/>
              <w:jc w:val="center"/>
            </w:pPr>
            <w:r w:rsidRPr="00594D56">
              <w:t>Taiwan</w:t>
            </w:r>
            <w:r w:rsidRPr="00594D56">
              <w:rPr>
                <w:rStyle w:val="FootnoteReference"/>
                <w:sz w:val="16"/>
                <w:szCs w:val="16"/>
              </w:rPr>
              <w:footnoteReference w:id="9"/>
            </w:r>
          </w:p>
        </w:tc>
        <w:tc>
          <w:tcPr>
            <w:tcW w:w="423"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105CC40C" w14:textId="77777777" w:rsidR="002042CC" w:rsidRPr="00594D56" w:rsidRDefault="002042CC" w:rsidP="001C5B28">
            <w:pPr>
              <w:pStyle w:val="APVMATableHead"/>
              <w:jc w:val="center"/>
            </w:pPr>
            <w:r w:rsidRPr="00594D56">
              <w:t>USA</w:t>
            </w:r>
            <w:r w:rsidRPr="00594D56">
              <w:rPr>
                <w:rStyle w:val="FootnoteReference"/>
                <w:sz w:val="16"/>
                <w:szCs w:val="16"/>
              </w:rPr>
              <w:footnoteReference w:id="10"/>
            </w:r>
          </w:p>
        </w:tc>
      </w:tr>
      <w:tr w:rsidR="002042CC" w:rsidRPr="004D3DFC" w14:paraId="1D8AC2EB" w14:textId="77777777" w:rsidTr="00FF6A75">
        <w:tc>
          <w:tcPr>
            <w:tcW w:w="1211" w:type="pct"/>
            <w:tcBorders>
              <w:top w:val="single" w:sz="12" w:space="0" w:color="291427" w:themeColor="accent5" w:themeShade="80"/>
              <w:left w:val="single" w:sz="4" w:space="0" w:color="auto"/>
              <w:bottom w:val="single" w:sz="4" w:space="0" w:color="291427" w:themeColor="accent5" w:themeShade="80"/>
              <w:right w:val="nil"/>
            </w:tcBorders>
          </w:tcPr>
          <w:p w14:paraId="2F8C9F05" w14:textId="4BB4687A" w:rsidR="002042CC" w:rsidRPr="00594D56" w:rsidRDefault="002042CC" w:rsidP="001C5B28">
            <w:pPr>
              <w:pStyle w:val="APVMATableText"/>
              <w:rPr>
                <w:sz w:val="18"/>
                <w:szCs w:val="18"/>
              </w:rPr>
            </w:pPr>
            <w:r w:rsidRPr="00594D56">
              <w:rPr>
                <w:sz w:val="18"/>
                <w:szCs w:val="18"/>
              </w:rPr>
              <w:t>Residue Definition</w:t>
            </w:r>
            <w:r w:rsidR="001C5B28">
              <w:rPr>
                <w:sz w:val="18"/>
                <w:szCs w:val="18"/>
              </w:rPr>
              <w:br/>
            </w:r>
            <w:r>
              <w:rPr>
                <w:sz w:val="18"/>
                <w:szCs w:val="18"/>
              </w:rPr>
              <w:t>(Enforcement)</w:t>
            </w:r>
          </w:p>
        </w:tc>
        <w:tc>
          <w:tcPr>
            <w:tcW w:w="893" w:type="pct"/>
            <w:tcBorders>
              <w:top w:val="single" w:sz="12" w:space="0" w:color="291427" w:themeColor="accent5" w:themeShade="80"/>
              <w:left w:val="nil"/>
              <w:bottom w:val="single" w:sz="4" w:space="0" w:color="291427" w:themeColor="accent5" w:themeShade="80"/>
              <w:right w:val="nil"/>
            </w:tcBorders>
          </w:tcPr>
          <w:p w14:paraId="40BD4953" w14:textId="77777777" w:rsidR="002042CC" w:rsidRPr="00594D56" w:rsidRDefault="002042CC" w:rsidP="001C5B28">
            <w:pPr>
              <w:pStyle w:val="APVMATableText"/>
              <w:jc w:val="center"/>
              <w:rPr>
                <w:sz w:val="18"/>
                <w:szCs w:val="18"/>
              </w:rPr>
            </w:pPr>
            <w:r>
              <w:rPr>
                <w:sz w:val="18"/>
                <w:szCs w:val="18"/>
              </w:rPr>
              <w:t>Parent</w:t>
            </w:r>
          </w:p>
        </w:tc>
        <w:tc>
          <w:tcPr>
            <w:tcW w:w="535" w:type="pct"/>
            <w:tcBorders>
              <w:top w:val="single" w:sz="12" w:space="0" w:color="291427" w:themeColor="accent5" w:themeShade="80"/>
              <w:left w:val="nil"/>
              <w:bottom w:val="single" w:sz="4" w:space="0" w:color="291427" w:themeColor="accent5" w:themeShade="80"/>
              <w:right w:val="nil"/>
            </w:tcBorders>
          </w:tcPr>
          <w:p w14:paraId="38B2CC12" w14:textId="77777777" w:rsidR="002042CC" w:rsidRPr="00594D56" w:rsidRDefault="002042CC" w:rsidP="001C5B28">
            <w:pPr>
              <w:pStyle w:val="APVMATableText"/>
              <w:jc w:val="center"/>
              <w:rPr>
                <w:sz w:val="18"/>
                <w:szCs w:val="18"/>
              </w:rPr>
            </w:pPr>
            <w:r>
              <w:rPr>
                <w:sz w:val="18"/>
                <w:szCs w:val="18"/>
              </w:rPr>
              <w:t>Parent</w:t>
            </w:r>
          </w:p>
        </w:tc>
        <w:tc>
          <w:tcPr>
            <w:tcW w:w="337" w:type="pct"/>
            <w:tcBorders>
              <w:top w:val="single" w:sz="12" w:space="0" w:color="291427" w:themeColor="accent5" w:themeShade="80"/>
              <w:left w:val="nil"/>
              <w:bottom w:val="single" w:sz="4" w:space="0" w:color="291427" w:themeColor="accent5" w:themeShade="80"/>
              <w:right w:val="nil"/>
            </w:tcBorders>
          </w:tcPr>
          <w:p w14:paraId="3E4B9CFD" w14:textId="77777777" w:rsidR="002042CC" w:rsidRPr="00594D56" w:rsidRDefault="002042CC" w:rsidP="001C5B28">
            <w:pPr>
              <w:pStyle w:val="APVMATableText"/>
              <w:jc w:val="center"/>
              <w:rPr>
                <w:sz w:val="18"/>
                <w:szCs w:val="18"/>
              </w:rPr>
            </w:pPr>
            <w:r>
              <w:rPr>
                <w:sz w:val="18"/>
                <w:szCs w:val="18"/>
              </w:rPr>
              <w:t>Parent</w:t>
            </w:r>
          </w:p>
        </w:tc>
        <w:tc>
          <w:tcPr>
            <w:tcW w:w="514" w:type="pct"/>
            <w:tcBorders>
              <w:top w:val="single" w:sz="12" w:space="0" w:color="291427" w:themeColor="accent5" w:themeShade="80"/>
              <w:left w:val="nil"/>
              <w:bottom w:val="single" w:sz="4" w:space="0" w:color="291427" w:themeColor="accent5" w:themeShade="80"/>
              <w:right w:val="nil"/>
            </w:tcBorders>
          </w:tcPr>
          <w:p w14:paraId="75D27691" w14:textId="77777777" w:rsidR="002042CC" w:rsidRPr="00594D56" w:rsidRDefault="002042CC" w:rsidP="001C5B28">
            <w:pPr>
              <w:pStyle w:val="APVMATableText"/>
              <w:jc w:val="center"/>
              <w:rPr>
                <w:sz w:val="18"/>
                <w:szCs w:val="18"/>
              </w:rPr>
            </w:pPr>
            <w:r>
              <w:rPr>
                <w:sz w:val="18"/>
                <w:szCs w:val="18"/>
              </w:rPr>
              <w:t>Parent</w:t>
            </w:r>
          </w:p>
        </w:tc>
        <w:tc>
          <w:tcPr>
            <w:tcW w:w="507" w:type="pct"/>
            <w:tcBorders>
              <w:top w:val="single" w:sz="12" w:space="0" w:color="291427" w:themeColor="accent5" w:themeShade="80"/>
              <w:left w:val="nil"/>
              <w:bottom w:val="single" w:sz="4" w:space="0" w:color="291427" w:themeColor="accent5" w:themeShade="80"/>
              <w:right w:val="nil"/>
            </w:tcBorders>
          </w:tcPr>
          <w:p w14:paraId="261B7EA8" w14:textId="77777777" w:rsidR="002042CC" w:rsidRPr="00594D56" w:rsidRDefault="002042CC" w:rsidP="001C5B28">
            <w:pPr>
              <w:pStyle w:val="APVMATableText"/>
              <w:jc w:val="center"/>
              <w:rPr>
                <w:sz w:val="18"/>
                <w:szCs w:val="18"/>
              </w:rPr>
            </w:pPr>
            <w:r>
              <w:rPr>
                <w:sz w:val="18"/>
                <w:szCs w:val="18"/>
              </w:rPr>
              <w:t>-</w:t>
            </w:r>
          </w:p>
        </w:tc>
        <w:tc>
          <w:tcPr>
            <w:tcW w:w="580" w:type="pct"/>
            <w:tcBorders>
              <w:top w:val="single" w:sz="12" w:space="0" w:color="291427" w:themeColor="accent5" w:themeShade="80"/>
              <w:left w:val="nil"/>
              <w:bottom w:val="single" w:sz="4" w:space="0" w:color="291427" w:themeColor="accent5" w:themeShade="80"/>
              <w:right w:val="nil"/>
            </w:tcBorders>
          </w:tcPr>
          <w:p w14:paraId="07D6AEC1" w14:textId="77777777" w:rsidR="002042CC" w:rsidRPr="00594D56" w:rsidRDefault="002042CC" w:rsidP="001C5B28">
            <w:pPr>
              <w:pStyle w:val="APVMATableText"/>
              <w:jc w:val="center"/>
              <w:rPr>
                <w:sz w:val="18"/>
                <w:szCs w:val="18"/>
              </w:rPr>
            </w:pPr>
            <w:r>
              <w:rPr>
                <w:sz w:val="18"/>
                <w:szCs w:val="18"/>
              </w:rPr>
              <w:t>-</w:t>
            </w:r>
          </w:p>
        </w:tc>
        <w:tc>
          <w:tcPr>
            <w:tcW w:w="423" w:type="pct"/>
            <w:tcBorders>
              <w:top w:val="single" w:sz="12" w:space="0" w:color="291427" w:themeColor="accent5" w:themeShade="80"/>
              <w:left w:val="nil"/>
              <w:bottom w:val="single" w:sz="4" w:space="0" w:color="291427" w:themeColor="accent5" w:themeShade="80"/>
              <w:right w:val="single" w:sz="4" w:space="0" w:color="auto"/>
            </w:tcBorders>
          </w:tcPr>
          <w:p w14:paraId="51FACCAC" w14:textId="77777777" w:rsidR="002042CC" w:rsidRPr="00594D56" w:rsidRDefault="002042CC" w:rsidP="001C5B28">
            <w:pPr>
              <w:pStyle w:val="APVMATableText"/>
              <w:jc w:val="center"/>
              <w:rPr>
                <w:sz w:val="18"/>
                <w:szCs w:val="18"/>
              </w:rPr>
            </w:pPr>
            <w:r>
              <w:rPr>
                <w:sz w:val="18"/>
                <w:szCs w:val="18"/>
              </w:rPr>
              <w:t>Parent</w:t>
            </w:r>
          </w:p>
        </w:tc>
      </w:tr>
      <w:tr w:rsidR="002042CC" w:rsidRPr="004D3DFC" w14:paraId="181F2000" w14:textId="77777777" w:rsidTr="00FF6A75">
        <w:tc>
          <w:tcPr>
            <w:tcW w:w="1211" w:type="pct"/>
            <w:tcBorders>
              <w:top w:val="single" w:sz="4" w:space="0" w:color="291427" w:themeColor="accent5" w:themeShade="80"/>
              <w:left w:val="single" w:sz="4" w:space="0" w:color="auto"/>
              <w:bottom w:val="single" w:sz="4" w:space="0" w:color="291427" w:themeColor="accent5" w:themeShade="80"/>
              <w:right w:val="nil"/>
            </w:tcBorders>
          </w:tcPr>
          <w:p w14:paraId="7DED176B" w14:textId="7CF34A70" w:rsidR="002042CC" w:rsidRPr="00594D56" w:rsidRDefault="002042CC" w:rsidP="001C5B28">
            <w:pPr>
              <w:pStyle w:val="APVMATableText"/>
              <w:rPr>
                <w:sz w:val="18"/>
                <w:szCs w:val="18"/>
              </w:rPr>
            </w:pPr>
            <w:r w:rsidRPr="00594D56">
              <w:rPr>
                <w:sz w:val="18"/>
                <w:szCs w:val="18"/>
              </w:rPr>
              <w:t>Cotton seed</w:t>
            </w:r>
          </w:p>
        </w:tc>
        <w:tc>
          <w:tcPr>
            <w:tcW w:w="893" w:type="pct"/>
            <w:tcBorders>
              <w:top w:val="single" w:sz="4" w:space="0" w:color="291427" w:themeColor="accent5" w:themeShade="80"/>
              <w:left w:val="nil"/>
              <w:bottom w:val="single" w:sz="4" w:space="0" w:color="291427" w:themeColor="accent5" w:themeShade="80"/>
              <w:right w:val="nil"/>
            </w:tcBorders>
          </w:tcPr>
          <w:p w14:paraId="0BA85325" w14:textId="77777777" w:rsidR="002042CC" w:rsidRPr="00594D56" w:rsidRDefault="002042CC" w:rsidP="001C5B28">
            <w:pPr>
              <w:pStyle w:val="APVMATableText"/>
              <w:jc w:val="center"/>
              <w:rPr>
                <w:caps/>
                <w:sz w:val="18"/>
                <w:szCs w:val="18"/>
              </w:rPr>
            </w:pPr>
            <w:r>
              <w:rPr>
                <w:caps/>
                <w:sz w:val="18"/>
                <w:szCs w:val="18"/>
              </w:rPr>
              <w:t>T0.3 (</w:t>
            </w:r>
            <w:r>
              <w:rPr>
                <w:sz w:val="18"/>
                <w:szCs w:val="18"/>
              </w:rPr>
              <w:t>Proposed</w:t>
            </w:r>
            <w:r>
              <w:rPr>
                <w:caps/>
                <w:sz w:val="18"/>
                <w:szCs w:val="18"/>
              </w:rPr>
              <w:t>)</w:t>
            </w:r>
          </w:p>
        </w:tc>
        <w:tc>
          <w:tcPr>
            <w:tcW w:w="535" w:type="pct"/>
            <w:tcBorders>
              <w:top w:val="single" w:sz="4" w:space="0" w:color="291427" w:themeColor="accent5" w:themeShade="80"/>
              <w:left w:val="nil"/>
              <w:bottom w:val="single" w:sz="4" w:space="0" w:color="291427" w:themeColor="accent5" w:themeShade="80"/>
              <w:right w:val="nil"/>
            </w:tcBorders>
          </w:tcPr>
          <w:p w14:paraId="538A5BE0" w14:textId="77777777" w:rsidR="002042CC" w:rsidRPr="00594D56" w:rsidRDefault="002042CC" w:rsidP="001C5B28">
            <w:pPr>
              <w:pStyle w:val="APVMATableText"/>
              <w:jc w:val="center"/>
              <w:rPr>
                <w:sz w:val="18"/>
                <w:szCs w:val="18"/>
              </w:rPr>
            </w:pPr>
            <w:r>
              <w:rPr>
                <w:sz w:val="18"/>
                <w:szCs w:val="18"/>
              </w:rPr>
              <w:t>0.5</w:t>
            </w:r>
          </w:p>
        </w:tc>
        <w:tc>
          <w:tcPr>
            <w:tcW w:w="337" w:type="pct"/>
            <w:tcBorders>
              <w:top w:val="single" w:sz="4" w:space="0" w:color="291427" w:themeColor="accent5" w:themeShade="80"/>
              <w:left w:val="nil"/>
              <w:bottom w:val="single" w:sz="4" w:space="0" w:color="291427" w:themeColor="accent5" w:themeShade="80"/>
              <w:right w:val="nil"/>
            </w:tcBorders>
          </w:tcPr>
          <w:p w14:paraId="7DF38B5F" w14:textId="77777777" w:rsidR="002042CC" w:rsidRPr="00594D56" w:rsidRDefault="002042CC" w:rsidP="001C5B28">
            <w:pPr>
              <w:pStyle w:val="APVMATableText"/>
              <w:jc w:val="center"/>
              <w:rPr>
                <w:sz w:val="18"/>
                <w:szCs w:val="18"/>
              </w:rPr>
            </w:pPr>
            <w:r>
              <w:rPr>
                <w:sz w:val="18"/>
                <w:szCs w:val="18"/>
              </w:rPr>
              <w:t>0.5</w:t>
            </w:r>
          </w:p>
        </w:tc>
        <w:tc>
          <w:tcPr>
            <w:tcW w:w="514" w:type="pct"/>
            <w:tcBorders>
              <w:top w:val="single" w:sz="4" w:space="0" w:color="291427" w:themeColor="accent5" w:themeShade="80"/>
              <w:left w:val="nil"/>
              <w:bottom w:val="single" w:sz="4" w:space="0" w:color="291427" w:themeColor="accent5" w:themeShade="80"/>
              <w:right w:val="nil"/>
            </w:tcBorders>
          </w:tcPr>
          <w:p w14:paraId="0336A40A" w14:textId="77777777" w:rsidR="002042CC" w:rsidRPr="00594D56" w:rsidRDefault="002042CC" w:rsidP="001C5B28">
            <w:pPr>
              <w:pStyle w:val="APVMATableText"/>
              <w:jc w:val="center"/>
              <w:rPr>
                <w:sz w:val="18"/>
                <w:szCs w:val="18"/>
              </w:rPr>
            </w:pPr>
            <w:r>
              <w:rPr>
                <w:sz w:val="18"/>
                <w:szCs w:val="18"/>
              </w:rPr>
              <w:t>0.5</w:t>
            </w:r>
          </w:p>
        </w:tc>
        <w:tc>
          <w:tcPr>
            <w:tcW w:w="507" w:type="pct"/>
            <w:tcBorders>
              <w:top w:val="single" w:sz="4" w:space="0" w:color="291427" w:themeColor="accent5" w:themeShade="80"/>
              <w:left w:val="nil"/>
              <w:bottom w:val="single" w:sz="4" w:space="0" w:color="291427" w:themeColor="accent5" w:themeShade="80"/>
              <w:right w:val="nil"/>
            </w:tcBorders>
          </w:tcPr>
          <w:p w14:paraId="623FD618" w14:textId="77777777" w:rsidR="002042CC" w:rsidRPr="00594D56" w:rsidRDefault="002042CC" w:rsidP="001C5B28">
            <w:pPr>
              <w:pStyle w:val="APVMATableText"/>
              <w:jc w:val="center"/>
              <w:rPr>
                <w:sz w:val="18"/>
                <w:szCs w:val="18"/>
              </w:rPr>
            </w:pPr>
            <w:r>
              <w:rPr>
                <w:sz w:val="18"/>
                <w:szCs w:val="18"/>
              </w:rPr>
              <w:t>0.5</w:t>
            </w:r>
          </w:p>
        </w:tc>
        <w:tc>
          <w:tcPr>
            <w:tcW w:w="580" w:type="pct"/>
            <w:tcBorders>
              <w:top w:val="single" w:sz="4" w:space="0" w:color="291427" w:themeColor="accent5" w:themeShade="80"/>
              <w:left w:val="nil"/>
              <w:bottom w:val="single" w:sz="4" w:space="0" w:color="291427" w:themeColor="accent5" w:themeShade="80"/>
              <w:right w:val="nil"/>
            </w:tcBorders>
          </w:tcPr>
          <w:p w14:paraId="460534FB" w14:textId="77777777" w:rsidR="002042CC" w:rsidRPr="00594D56" w:rsidRDefault="002042CC" w:rsidP="001C5B28">
            <w:pPr>
              <w:pStyle w:val="APVMATableText"/>
              <w:jc w:val="center"/>
              <w:rPr>
                <w:sz w:val="18"/>
                <w:szCs w:val="18"/>
              </w:rPr>
            </w:pPr>
            <w:r>
              <w:rPr>
                <w:sz w:val="18"/>
                <w:szCs w:val="18"/>
              </w:rPr>
              <w:t>0.3</w:t>
            </w:r>
          </w:p>
        </w:tc>
        <w:tc>
          <w:tcPr>
            <w:tcW w:w="423" w:type="pct"/>
            <w:tcBorders>
              <w:top w:val="single" w:sz="4" w:space="0" w:color="291427" w:themeColor="accent5" w:themeShade="80"/>
              <w:left w:val="nil"/>
              <w:bottom w:val="single" w:sz="4" w:space="0" w:color="291427" w:themeColor="accent5" w:themeShade="80"/>
              <w:right w:val="single" w:sz="4" w:space="0" w:color="auto"/>
            </w:tcBorders>
          </w:tcPr>
          <w:p w14:paraId="50CE5EFE" w14:textId="77777777" w:rsidR="002042CC" w:rsidRPr="00594D56" w:rsidRDefault="002042CC" w:rsidP="001C5B28">
            <w:pPr>
              <w:pStyle w:val="APVMATableText"/>
              <w:jc w:val="center"/>
              <w:rPr>
                <w:sz w:val="18"/>
                <w:szCs w:val="18"/>
              </w:rPr>
            </w:pPr>
            <w:r>
              <w:rPr>
                <w:sz w:val="18"/>
                <w:szCs w:val="18"/>
              </w:rPr>
              <w:t>0.5</w:t>
            </w:r>
          </w:p>
        </w:tc>
      </w:tr>
      <w:bookmarkEnd w:id="50"/>
    </w:tbl>
    <w:p w14:paraId="41C5A215" w14:textId="77777777" w:rsidR="002042CC" w:rsidRDefault="002042CC" w:rsidP="00005039">
      <w:pPr>
        <w:pStyle w:val="APVMA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2525"/>
        <w:gridCol w:w="1485"/>
        <w:gridCol w:w="906"/>
        <w:gridCol w:w="1424"/>
        <w:gridCol w:w="1401"/>
        <w:gridCol w:w="1616"/>
        <w:gridCol w:w="1753"/>
      </w:tblGrid>
      <w:tr w:rsidR="002042CC" w:rsidRPr="004D3DFC" w14:paraId="7B3262BB" w14:textId="77777777" w:rsidTr="002042CC">
        <w:trPr>
          <w:tblHeader/>
        </w:trPr>
        <w:tc>
          <w:tcPr>
            <w:tcW w:w="1185"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7AAEE65C" w14:textId="77777777" w:rsidR="002042CC" w:rsidRPr="00594D56" w:rsidRDefault="002042CC" w:rsidP="002042CC">
            <w:pPr>
              <w:pStyle w:val="APVMATableHead"/>
            </w:pPr>
            <w:r w:rsidRPr="00594D56">
              <w:t>Commodity</w:t>
            </w:r>
          </w:p>
        </w:tc>
        <w:tc>
          <w:tcPr>
            <w:tcW w:w="3815" w:type="pct"/>
            <w:gridSpan w:val="7"/>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22C85A06" w14:textId="77777777" w:rsidR="002042CC" w:rsidRPr="00594D56" w:rsidRDefault="002042CC" w:rsidP="002042CC">
            <w:pPr>
              <w:pStyle w:val="APVMATableHead"/>
            </w:pPr>
            <w:r w:rsidRPr="00594D56">
              <w:t xml:space="preserve">Tolerance for residues arising from the use of </w:t>
            </w:r>
            <w:r>
              <w:t>pyraclostrobin</w:t>
            </w:r>
            <w:r w:rsidRPr="00594D56">
              <w:t xml:space="preserve"> (mg/kg)</w:t>
            </w:r>
          </w:p>
        </w:tc>
      </w:tr>
      <w:tr w:rsidR="002042CC" w:rsidRPr="004D3DFC" w14:paraId="536261FB" w14:textId="77777777" w:rsidTr="002042CC">
        <w:trPr>
          <w:tblHeader/>
        </w:trPr>
        <w:tc>
          <w:tcPr>
            <w:tcW w:w="1185"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570295DF" w14:textId="77777777" w:rsidR="002042CC" w:rsidRPr="00594D56" w:rsidRDefault="002042CC" w:rsidP="002042CC">
            <w:pPr>
              <w:pStyle w:val="APVMATableHead"/>
            </w:pPr>
          </w:p>
        </w:tc>
        <w:tc>
          <w:tcPr>
            <w:tcW w:w="86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93C6242" w14:textId="77777777" w:rsidR="002042CC" w:rsidRPr="00594D56" w:rsidRDefault="002042CC" w:rsidP="002042CC">
            <w:pPr>
              <w:pStyle w:val="APVMATableHead"/>
            </w:pPr>
            <w:r w:rsidRPr="00594D56">
              <w:t>Australia</w:t>
            </w:r>
          </w:p>
        </w:tc>
        <w:tc>
          <w:tcPr>
            <w:tcW w:w="51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C923413" w14:textId="77777777" w:rsidR="002042CC" w:rsidRPr="00594D56" w:rsidRDefault="002042CC" w:rsidP="002042CC">
            <w:pPr>
              <w:pStyle w:val="APVMATableHead"/>
            </w:pPr>
            <w:r w:rsidRPr="00594D56">
              <w:t>Codex</w:t>
            </w:r>
          </w:p>
        </w:tc>
        <w:tc>
          <w:tcPr>
            <w:tcW w:w="311"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4FE49C49" w14:textId="77777777" w:rsidR="002042CC" w:rsidRPr="00594D56" w:rsidRDefault="002042CC" w:rsidP="002042CC">
            <w:pPr>
              <w:pStyle w:val="APVMATableHead"/>
            </w:pPr>
            <w:r w:rsidRPr="00594D56">
              <w:t>EU</w:t>
            </w:r>
          </w:p>
        </w:tc>
        <w:tc>
          <w:tcPr>
            <w:tcW w:w="48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04C7F21" w14:textId="77777777" w:rsidR="002042CC" w:rsidRPr="00594D56" w:rsidRDefault="002042CC" w:rsidP="002042CC">
            <w:pPr>
              <w:pStyle w:val="APVMATableHead"/>
            </w:pPr>
            <w:r w:rsidRPr="00594D56">
              <w:t>Japan</w:t>
            </w:r>
          </w:p>
        </w:tc>
        <w:tc>
          <w:tcPr>
            <w:tcW w:w="481"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1B5C9F6" w14:textId="77777777" w:rsidR="002042CC" w:rsidRPr="00594D56" w:rsidRDefault="002042CC" w:rsidP="002042CC">
            <w:pPr>
              <w:pStyle w:val="APVMATableHead"/>
            </w:pPr>
            <w:r w:rsidRPr="00594D56">
              <w:t>Korea</w:t>
            </w:r>
          </w:p>
        </w:tc>
        <w:tc>
          <w:tcPr>
            <w:tcW w:w="555"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611CC52" w14:textId="77777777" w:rsidR="002042CC" w:rsidRPr="00594D56" w:rsidRDefault="002042CC" w:rsidP="002042CC">
            <w:pPr>
              <w:pStyle w:val="APVMATableHead"/>
            </w:pPr>
            <w:r w:rsidRPr="00594D56">
              <w:t>Taiwan</w:t>
            </w:r>
          </w:p>
        </w:tc>
        <w:tc>
          <w:tcPr>
            <w:tcW w:w="602"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43D8131F" w14:textId="77777777" w:rsidR="002042CC" w:rsidRPr="00594D56" w:rsidRDefault="002042CC" w:rsidP="002042CC">
            <w:pPr>
              <w:pStyle w:val="APVMATableHead"/>
            </w:pPr>
            <w:r w:rsidRPr="00594D56">
              <w:t>USA</w:t>
            </w:r>
          </w:p>
        </w:tc>
      </w:tr>
      <w:tr w:rsidR="002042CC" w:rsidRPr="004D3DFC" w14:paraId="460DE337" w14:textId="77777777" w:rsidTr="002042CC">
        <w:tc>
          <w:tcPr>
            <w:tcW w:w="1185" w:type="pct"/>
            <w:tcBorders>
              <w:top w:val="single" w:sz="12" w:space="0" w:color="291427" w:themeColor="accent5" w:themeShade="80"/>
              <w:left w:val="single" w:sz="4" w:space="0" w:color="auto"/>
              <w:bottom w:val="single" w:sz="4" w:space="0" w:color="291427" w:themeColor="accent5" w:themeShade="80"/>
              <w:right w:val="nil"/>
            </w:tcBorders>
          </w:tcPr>
          <w:p w14:paraId="71BD294C" w14:textId="4DB69A3F" w:rsidR="002042CC" w:rsidRPr="00594D56" w:rsidRDefault="002042CC" w:rsidP="001C5B28">
            <w:pPr>
              <w:pStyle w:val="APVMATableText"/>
              <w:rPr>
                <w:sz w:val="18"/>
                <w:szCs w:val="18"/>
              </w:rPr>
            </w:pPr>
            <w:r w:rsidRPr="00594D56">
              <w:rPr>
                <w:sz w:val="18"/>
                <w:szCs w:val="18"/>
              </w:rPr>
              <w:t>Residue Definition</w:t>
            </w:r>
            <w:r w:rsidR="001C5B28">
              <w:rPr>
                <w:sz w:val="18"/>
                <w:szCs w:val="18"/>
              </w:rPr>
              <w:br/>
            </w:r>
            <w:r>
              <w:rPr>
                <w:sz w:val="18"/>
                <w:szCs w:val="18"/>
              </w:rPr>
              <w:t>(Enforcement)</w:t>
            </w:r>
          </w:p>
        </w:tc>
        <w:tc>
          <w:tcPr>
            <w:tcW w:w="867" w:type="pct"/>
            <w:tcBorders>
              <w:top w:val="single" w:sz="12" w:space="0" w:color="291427" w:themeColor="accent5" w:themeShade="80"/>
              <w:left w:val="nil"/>
              <w:bottom w:val="single" w:sz="4" w:space="0" w:color="291427" w:themeColor="accent5" w:themeShade="80"/>
              <w:right w:val="nil"/>
            </w:tcBorders>
          </w:tcPr>
          <w:p w14:paraId="00E64EF6" w14:textId="77777777" w:rsidR="002042CC" w:rsidRPr="00594D56" w:rsidRDefault="002042CC" w:rsidP="00FF6A75">
            <w:pPr>
              <w:pStyle w:val="APVMATableText"/>
              <w:rPr>
                <w:sz w:val="18"/>
                <w:szCs w:val="18"/>
              </w:rPr>
            </w:pPr>
          </w:p>
        </w:tc>
        <w:tc>
          <w:tcPr>
            <w:tcW w:w="510" w:type="pct"/>
            <w:tcBorders>
              <w:top w:val="single" w:sz="12" w:space="0" w:color="291427" w:themeColor="accent5" w:themeShade="80"/>
              <w:left w:val="nil"/>
              <w:bottom w:val="single" w:sz="4" w:space="0" w:color="291427" w:themeColor="accent5" w:themeShade="80"/>
              <w:right w:val="nil"/>
            </w:tcBorders>
          </w:tcPr>
          <w:p w14:paraId="1E6FE918" w14:textId="77777777" w:rsidR="002042CC" w:rsidRPr="00594D56" w:rsidRDefault="002042CC" w:rsidP="00FF6A75">
            <w:pPr>
              <w:pStyle w:val="APVMATableText"/>
              <w:rPr>
                <w:sz w:val="18"/>
                <w:szCs w:val="18"/>
              </w:rPr>
            </w:pPr>
            <w:r>
              <w:rPr>
                <w:sz w:val="18"/>
                <w:szCs w:val="18"/>
              </w:rPr>
              <w:t>Parent</w:t>
            </w:r>
          </w:p>
        </w:tc>
        <w:tc>
          <w:tcPr>
            <w:tcW w:w="311" w:type="pct"/>
            <w:tcBorders>
              <w:top w:val="single" w:sz="12" w:space="0" w:color="291427" w:themeColor="accent5" w:themeShade="80"/>
              <w:left w:val="nil"/>
              <w:bottom w:val="single" w:sz="4" w:space="0" w:color="291427" w:themeColor="accent5" w:themeShade="80"/>
              <w:right w:val="nil"/>
            </w:tcBorders>
          </w:tcPr>
          <w:p w14:paraId="464DFA43" w14:textId="77777777" w:rsidR="002042CC" w:rsidRPr="00594D56" w:rsidRDefault="002042CC" w:rsidP="00FF6A75">
            <w:pPr>
              <w:pStyle w:val="APVMATableText"/>
              <w:rPr>
                <w:sz w:val="18"/>
                <w:szCs w:val="18"/>
              </w:rPr>
            </w:pPr>
            <w:r>
              <w:rPr>
                <w:sz w:val="18"/>
                <w:szCs w:val="18"/>
              </w:rPr>
              <w:t>Parent</w:t>
            </w:r>
          </w:p>
        </w:tc>
        <w:tc>
          <w:tcPr>
            <w:tcW w:w="489" w:type="pct"/>
            <w:tcBorders>
              <w:top w:val="single" w:sz="12" w:space="0" w:color="291427" w:themeColor="accent5" w:themeShade="80"/>
              <w:left w:val="nil"/>
              <w:bottom w:val="single" w:sz="4" w:space="0" w:color="291427" w:themeColor="accent5" w:themeShade="80"/>
              <w:right w:val="nil"/>
            </w:tcBorders>
          </w:tcPr>
          <w:p w14:paraId="3886B8B1" w14:textId="77777777" w:rsidR="002042CC" w:rsidRPr="00594D56" w:rsidRDefault="002042CC" w:rsidP="00FF6A75">
            <w:pPr>
              <w:pStyle w:val="APVMATableText"/>
              <w:rPr>
                <w:sz w:val="18"/>
                <w:szCs w:val="18"/>
              </w:rPr>
            </w:pPr>
            <w:r>
              <w:rPr>
                <w:sz w:val="18"/>
                <w:szCs w:val="18"/>
              </w:rPr>
              <w:t>Parent</w:t>
            </w:r>
          </w:p>
        </w:tc>
        <w:tc>
          <w:tcPr>
            <w:tcW w:w="481" w:type="pct"/>
            <w:tcBorders>
              <w:top w:val="single" w:sz="12" w:space="0" w:color="291427" w:themeColor="accent5" w:themeShade="80"/>
              <w:left w:val="nil"/>
              <w:bottom w:val="single" w:sz="4" w:space="0" w:color="291427" w:themeColor="accent5" w:themeShade="80"/>
              <w:right w:val="nil"/>
            </w:tcBorders>
          </w:tcPr>
          <w:p w14:paraId="23682017" w14:textId="77777777" w:rsidR="002042CC" w:rsidRPr="00594D56" w:rsidRDefault="002042CC" w:rsidP="00FF6A75">
            <w:pPr>
              <w:pStyle w:val="APVMATableText"/>
              <w:rPr>
                <w:sz w:val="18"/>
                <w:szCs w:val="18"/>
              </w:rPr>
            </w:pPr>
            <w:r>
              <w:rPr>
                <w:sz w:val="18"/>
                <w:szCs w:val="18"/>
              </w:rPr>
              <w:t>-</w:t>
            </w:r>
          </w:p>
        </w:tc>
        <w:tc>
          <w:tcPr>
            <w:tcW w:w="555" w:type="pct"/>
            <w:tcBorders>
              <w:top w:val="single" w:sz="12" w:space="0" w:color="291427" w:themeColor="accent5" w:themeShade="80"/>
              <w:left w:val="nil"/>
              <w:bottom w:val="single" w:sz="4" w:space="0" w:color="291427" w:themeColor="accent5" w:themeShade="80"/>
              <w:right w:val="nil"/>
            </w:tcBorders>
          </w:tcPr>
          <w:p w14:paraId="6CA3D843" w14:textId="77777777" w:rsidR="002042CC" w:rsidRPr="00594D56" w:rsidRDefault="002042CC" w:rsidP="00FF6A75">
            <w:pPr>
              <w:pStyle w:val="APVMATableText"/>
              <w:rPr>
                <w:sz w:val="18"/>
                <w:szCs w:val="18"/>
              </w:rPr>
            </w:pPr>
            <w:r>
              <w:rPr>
                <w:sz w:val="18"/>
                <w:szCs w:val="18"/>
              </w:rPr>
              <w:t>-</w:t>
            </w:r>
          </w:p>
        </w:tc>
        <w:tc>
          <w:tcPr>
            <w:tcW w:w="602" w:type="pct"/>
            <w:tcBorders>
              <w:top w:val="single" w:sz="12" w:space="0" w:color="291427" w:themeColor="accent5" w:themeShade="80"/>
              <w:left w:val="nil"/>
              <w:bottom w:val="single" w:sz="4" w:space="0" w:color="291427" w:themeColor="accent5" w:themeShade="80"/>
              <w:right w:val="single" w:sz="4" w:space="0" w:color="auto"/>
            </w:tcBorders>
          </w:tcPr>
          <w:p w14:paraId="64AC6E3C" w14:textId="77777777" w:rsidR="002042CC" w:rsidRPr="00594D56" w:rsidRDefault="002042CC" w:rsidP="00FF6A75">
            <w:pPr>
              <w:pStyle w:val="APVMATableText"/>
              <w:rPr>
                <w:sz w:val="18"/>
                <w:szCs w:val="18"/>
              </w:rPr>
            </w:pPr>
            <w:r w:rsidRPr="00A13E63">
              <w:rPr>
                <w:sz w:val="18"/>
                <w:szCs w:val="18"/>
              </w:rPr>
              <w:t>Pyraclostrobin+ its</w:t>
            </w:r>
            <w:r>
              <w:rPr>
                <w:sz w:val="18"/>
                <w:szCs w:val="18"/>
              </w:rPr>
              <w:t xml:space="preserve"> </w:t>
            </w:r>
            <w:proofErr w:type="spellStart"/>
            <w:r w:rsidRPr="00A13E63">
              <w:rPr>
                <w:sz w:val="18"/>
                <w:szCs w:val="18"/>
              </w:rPr>
              <w:t>desmethoxy</w:t>
            </w:r>
            <w:proofErr w:type="spellEnd"/>
            <w:r w:rsidRPr="00A13E63">
              <w:rPr>
                <w:sz w:val="18"/>
                <w:szCs w:val="18"/>
              </w:rPr>
              <w:t xml:space="preserve"> metabolite</w:t>
            </w:r>
            <w:r>
              <w:rPr>
                <w:sz w:val="18"/>
                <w:szCs w:val="18"/>
              </w:rPr>
              <w:t xml:space="preserve"> </w:t>
            </w:r>
            <w:r w:rsidRPr="00A13E63">
              <w:rPr>
                <w:sz w:val="18"/>
                <w:szCs w:val="18"/>
              </w:rPr>
              <w:t>(methyl-N-[[[1-(4-chlorophenyl)-1H-pyrazol3-</w:t>
            </w:r>
            <w:r w:rsidRPr="00A13E63">
              <w:rPr>
                <w:sz w:val="18"/>
                <w:szCs w:val="18"/>
              </w:rPr>
              <w:lastRenderedPageBreak/>
              <w:t>yl]oxy]methyl]</w:t>
            </w:r>
            <w:r>
              <w:rPr>
                <w:sz w:val="18"/>
                <w:szCs w:val="18"/>
              </w:rPr>
              <w:t xml:space="preserve"> </w:t>
            </w:r>
            <w:proofErr w:type="spellStart"/>
            <w:r w:rsidRPr="00A13E63">
              <w:rPr>
                <w:sz w:val="18"/>
                <w:szCs w:val="18"/>
              </w:rPr>
              <w:t>phenylcarbamate</w:t>
            </w:r>
            <w:proofErr w:type="spellEnd"/>
            <w:r w:rsidRPr="00A13E63">
              <w:rPr>
                <w:sz w:val="18"/>
                <w:szCs w:val="18"/>
              </w:rPr>
              <w:t>)</w:t>
            </w:r>
          </w:p>
        </w:tc>
      </w:tr>
      <w:tr w:rsidR="002042CC" w:rsidRPr="004D3DFC" w14:paraId="5B9D378E" w14:textId="77777777" w:rsidTr="002042CC">
        <w:tc>
          <w:tcPr>
            <w:tcW w:w="1185" w:type="pct"/>
            <w:tcBorders>
              <w:top w:val="single" w:sz="4" w:space="0" w:color="291427" w:themeColor="accent5" w:themeShade="80"/>
              <w:left w:val="single" w:sz="4" w:space="0" w:color="auto"/>
              <w:bottom w:val="single" w:sz="4" w:space="0" w:color="291427" w:themeColor="accent5" w:themeShade="80"/>
              <w:right w:val="nil"/>
            </w:tcBorders>
          </w:tcPr>
          <w:p w14:paraId="3250795E" w14:textId="71484B7C" w:rsidR="002042CC" w:rsidRPr="00594D56" w:rsidRDefault="002042CC" w:rsidP="001C5B28">
            <w:pPr>
              <w:pStyle w:val="APVMATableText"/>
              <w:rPr>
                <w:sz w:val="18"/>
                <w:szCs w:val="18"/>
              </w:rPr>
            </w:pPr>
            <w:r w:rsidRPr="00594D56">
              <w:rPr>
                <w:sz w:val="18"/>
                <w:szCs w:val="18"/>
              </w:rPr>
              <w:lastRenderedPageBreak/>
              <w:t>Cotton seed</w:t>
            </w:r>
          </w:p>
        </w:tc>
        <w:tc>
          <w:tcPr>
            <w:tcW w:w="867" w:type="pct"/>
            <w:tcBorders>
              <w:top w:val="single" w:sz="4" w:space="0" w:color="291427" w:themeColor="accent5" w:themeShade="80"/>
              <w:left w:val="nil"/>
              <w:bottom w:val="single" w:sz="4" w:space="0" w:color="291427" w:themeColor="accent5" w:themeShade="80"/>
              <w:right w:val="nil"/>
            </w:tcBorders>
          </w:tcPr>
          <w:p w14:paraId="544CD22E" w14:textId="77777777" w:rsidR="002042CC" w:rsidRPr="00594D56" w:rsidRDefault="002042CC" w:rsidP="00FF6A75">
            <w:pPr>
              <w:pStyle w:val="APVMATableText"/>
              <w:rPr>
                <w:caps/>
                <w:sz w:val="18"/>
                <w:szCs w:val="18"/>
              </w:rPr>
            </w:pPr>
            <w:r>
              <w:rPr>
                <w:caps/>
                <w:sz w:val="18"/>
                <w:szCs w:val="18"/>
              </w:rPr>
              <w:t>T0.1 (</w:t>
            </w:r>
            <w:r>
              <w:rPr>
                <w:sz w:val="18"/>
                <w:szCs w:val="18"/>
              </w:rPr>
              <w:t>Proposed</w:t>
            </w:r>
            <w:r>
              <w:rPr>
                <w:caps/>
                <w:sz w:val="18"/>
                <w:szCs w:val="18"/>
              </w:rPr>
              <w:t>)</w:t>
            </w:r>
          </w:p>
        </w:tc>
        <w:tc>
          <w:tcPr>
            <w:tcW w:w="510" w:type="pct"/>
            <w:tcBorders>
              <w:top w:val="single" w:sz="4" w:space="0" w:color="291427" w:themeColor="accent5" w:themeShade="80"/>
              <w:left w:val="nil"/>
              <w:bottom w:val="single" w:sz="4" w:space="0" w:color="291427" w:themeColor="accent5" w:themeShade="80"/>
              <w:right w:val="nil"/>
            </w:tcBorders>
          </w:tcPr>
          <w:p w14:paraId="2228100C" w14:textId="77777777" w:rsidR="002042CC" w:rsidRPr="00594D56" w:rsidRDefault="002042CC" w:rsidP="00FF6A75">
            <w:pPr>
              <w:pStyle w:val="APVMATableText"/>
              <w:rPr>
                <w:sz w:val="18"/>
                <w:szCs w:val="18"/>
              </w:rPr>
            </w:pPr>
            <w:r w:rsidRPr="00FC2599">
              <w:rPr>
                <w:sz w:val="18"/>
                <w:szCs w:val="18"/>
              </w:rPr>
              <w:t>0.4 (oilseed except peanut)</w:t>
            </w:r>
          </w:p>
        </w:tc>
        <w:tc>
          <w:tcPr>
            <w:tcW w:w="311" w:type="pct"/>
            <w:tcBorders>
              <w:top w:val="single" w:sz="4" w:space="0" w:color="291427" w:themeColor="accent5" w:themeShade="80"/>
              <w:left w:val="nil"/>
              <w:bottom w:val="single" w:sz="4" w:space="0" w:color="291427" w:themeColor="accent5" w:themeShade="80"/>
              <w:right w:val="nil"/>
            </w:tcBorders>
          </w:tcPr>
          <w:p w14:paraId="75FC4DF5" w14:textId="77777777" w:rsidR="002042CC" w:rsidRPr="00594D56" w:rsidRDefault="002042CC" w:rsidP="00FF6A75">
            <w:pPr>
              <w:pStyle w:val="APVMATableText"/>
              <w:rPr>
                <w:sz w:val="18"/>
                <w:szCs w:val="18"/>
              </w:rPr>
            </w:pPr>
            <w:r>
              <w:rPr>
                <w:sz w:val="18"/>
                <w:szCs w:val="18"/>
              </w:rPr>
              <w:t>0.3</w:t>
            </w:r>
          </w:p>
        </w:tc>
        <w:tc>
          <w:tcPr>
            <w:tcW w:w="489" w:type="pct"/>
            <w:tcBorders>
              <w:top w:val="single" w:sz="4" w:space="0" w:color="291427" w:themeColor="accent5" w:themeShade="80"/>
              <w:left w:val="nil"/>
              <w:bottom w:val="single" w:sz="4" w:space="0" w:color="291427" w:themeColor="accent5" w:themeShade="80"/>
              <w:right w:val="nil"/>
            </w:tcBorders>
          </w:tcPr>
          <w:p w14:paraId="6B47B9A5" w14:textId="77777777" w:rsidR="002042CC" w:rsidRPr="00594D56" w:rsidRDefault="002042CC" w:rsidP="00FF6A75">
            <w:pPr>
              <w:pStyle w:val="APVMATableText"/>
              <w:rPr>
                <w:sz w:val="18"/>
                <w:szCs w:val="18"/>
              </w:rPr>
            </w:pPr>
            <w:r>
              <w:rPr>
                <w:sz w:val="18"/>
                <w:szCs w:val="18"/>
              </w:rPr>
              <w:t>0.4</w:t>
            </w:r>
          </w:p>
        </w:tc>
        <w:tc>
          <w:tcPr>
            <w:tcW w:w="481" w:type="pct"/>
            <w:tcBorders>
              <w:top w:val="single" w:sz="4" w:space="0" w:color="291427" w:themeColor="accent5" w:themeShade="80"/>
              <w:left w:val="nil"/>
              <w:bottom w:val="single" w:sz="4" w:space="0" w:color="291427" w:themeColor="accent5" w:themeShade="80"/>
              <w:right w:val="nil"/>
            </w:tcBorders>
          </w:tcPr>
          <w:p w14:paraId="39A9E2B5" w14:textId="77777777" w:rsidR="002042CC" w:rsidRPr="00594D56" w:rsidRDefault="002042CC" w:rsidP="00FF6A75">
            <w:pPr>
              <w:pStyle w:val="APVMATableText"/>
              <w:rPr>
                <w:sz w:val="18"/>
                <w:szCs w:val="18"/>
              </w:rPr>
            </w:pPr>
            <w:r>
              <w:rPr>
                <w:sz w:val="18"/>
                <w:szCs w:val="18"/>
              </w:rPr>
              <w:t>0.3</w:t>
            </w:r>
          </w:p>
        </w:tc>
        <w:tc>
          <w:tcPr>
            <w:tcW w:w="555" w:type="pct"/>
            <w:tcBorders>
              <w:top w:val="single" w:sz="4" w:space="0" w:color="291427" w:themeColor="accent5" w:themeShade="80"/>
              <w:left w:val="nil"/>
              <w:bottom w:val="single" w:sz="4" w:space="0" w:color="291427" w:themeColor="accent5" w:themeShade="80"/>
              <w:right w:val="nil"/>
            </w:tcBorders>
          </w:tcPr>
          <w:p w14:paraId="456B05A8" w14:textId="77777777" w:rsidR="002042CC" w:rsidRPr="00594D56" w:rsidRDefault="002042CC" w:rsidP="00FF6A75">
            <w:pPr>
              <w:pStyle w:val="APVMATableText"/>
              <w:rPr>
                <w:sz w:val="18"/>
                <w:szCs w:val="18"/>
              </w:rPr>
            </w:pPr>
            <w:r>
              <w:rPr>
                <w:sz w:val="18"/>
                <w:szCs w:val="18"/>
              </w:rPr>
              <w:t>-</w:t>
            </w:r>
          </w:p>
        </w:tc>
        <w:tc>
          <w:tcPr>
            <w:tcW w:w="602" w:type="pct"/>
            <w:tcBorders>
              <w:top w:val="single" w:sz="4" w:space="0" w:color="291427" w:themeColor="accent5" w:themeShade="80"/>
              <w:left w:val="nil"/>
              <w:bottom w:val="single" w:sz="4" w:space="0" w:color="291427" w:themeColor="accent5" w:themeShade="80"/>
              <w:right w:val="single" w:sz="4" w:space="0" w:color="auto"/>
            </w:tcBorders>
          </w:tcPr>
          <w:p w14:paraId="35C4D7F2" w14:textId="77777777" w:rsidR="002042CC" w:rsidRPr="00594D56" w:rsidRDefault="002042CC" w:rsidP="00FF6A75">
            <w:pPr>
              <w:pStyle w:val="APVMATableText"/>
              <w:rPr>
                <w:sz w:val="18"/>
                <w:szCs w:val="18"/>
              </w:rPr>
            </w:pPr>
            <w:r>
              <w:rPr>
                <w:sz w:val="18"/>
                <w:szCs w:val="18"/>
              </w:rPr>
              <w:t>0.45 (oilseed group 20)</w:t>
            </w:r>
          </w:p>
        </w:tc>
      </w:tr>
    </w:tbl>
    <w:p w14:paraId="0A16AAD7" w14:textId="77777777" w:rsidR="002042CC" w:rsidRDefault="002042CC" w:rsidP="006D36C8">
      <w:pPr>
        <w:pStyle w:val="APVMAText"/>
        <w:sectPr w:rsidR="002042CC" w:rsidSect="00BF6983">
          <w:headerReference w:type="even" r:id="rId26"/>
          <w:headerReference w:type="default" r:id="rId27"/>
          <w:pgSz w:w="16838" w:h="11906" w:orient="landscape" w:code="9"/>
          <w:pgMar w:top="2835" w:right="1134" w:bottom="1134" w:left="1134" w:header="1701" w:footer="680" w:gutter="0"/>
          <w:cols w:space="708"/>
          <w:docGrid w:linePitch="360"/>
        </w:sectPr>
      </w:pPr>
    </w:p>
    <w:p w14:paraId="506BD913" w14:textId="54310E1C" w:rsidR="006D36C8" w:rsidRDefault="002B56CB" w:rsidP="00BF3D89">
      <w:pPr>
        <w:pStyle w:val="Heading2"/>
      </w:pPr>
      <w:bookmarkStart w:id="51" w:name="_Toc231889750"/>
      <w:bookmarkStart w:id="52" w:name="_Toc2243853"/>
      <w:bookmarkStart w:id="53" w:name="_Toc180576105"/>
      <w:bookmarkStart w:id="54" w:name="_Toc181887235"/>
      <w:r>
        <w:lastRenderedPageBreak/>
        <w:t>P</w:t>
      </w:r>
      <w:r w:rsidR="006D36C8">
        <w:t xml:space="preserve">roposed Australian MRLs for </w:t>
      </w:r>
      <w:bookmarkEnd w:id="51"/>
      <w:bookmarkEnd w:id="52"/>
      <w:r>
        <w:t>fluxapyroxad and pyraclostrobin</w:t>
      </w:r>
      <w:bookmarkEnd w:id="53"/>
      <w:bookmarkEnd w:id="54"/>
    </w:p>
    <w:p w14:paraId="54739A9F" w14:textId="451683F5" w:rsidR="006D36C8" w:rsidRDefault="00063A19" w:rsidP="006D36C8">
      <w:pPr>
        <w:pStyle w:val="Caption"/>
      </w:pPr>
      <w:bookmarkStart w:id="55" w:name="_Toc252955170"/>
      <w:bookmarkStart w:id="56" w:name="_Toc181887262"/>
      <w:r w:rsidRPr="007051D9">
        <w:t xml:space="preserve">Table </w:t>
      </w:r>
      <w:r w:rsidR="008C6117">
        <w:fldChar w:fldCharType="begin"/>
      </w:r>
      <w:r w:rsidR="008C6117">
        <w:instrText xml:space="preserve"> SEQ Table \* ARABIC </w:instrText>
      </w:r>
      <w:r w:rsidR="008C6117">
        <w:fldChar w:fldCharType="separate"/>
      </w:r>
      <w:r>
        <w:rPr>
          <w:noProof/>
        </w:rPr>
        <w:t>3</w:t>
      </w:r>
      <w:r w:rsidR="008C6117">
        <w:rPr>
          <w:noProof/>
        </w:rPr>
        <w:fldChar w:fldCharType="end"/>
      </w:r>
      <w:r w:rsidRPr="007051D9">
        <w:t>:</w:t>
      </w:r>
      <w:r w:rsidR="00383003">
        <w:tab/>
      </w:r>
      <w:r w:rsidR="002B56CB">
        <w:t>proposed</w:t>
      </w:r>
      <w:r w:rsidR="00383003">
        <w:t xml:space="preserve"> MRL </w:t>
      </w:r>
      <w:r w:rsidR="00696A51">
        <w:t xml:space="preserve">– </w:t>
      </w:r>
      <w:r w:rsidR="006D36C8">
        <w:t>Table1</w:t>
      </w:r>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6C88FBE1" w:rsidR="006D36C8" w:rsidRDefault="002B56CB" w:rsidP="00BA67F0">
            <w:pPr>
              <w:pStyle w:val="MRLActiveName"/>
            </w:pPr>
            <w:r>
              <w:t>Fluxapyroxad</w:t>
            </w:r>
          </w:p>
        </w:tc>
      </w:tr>
      <w:tr w:rsidR="006D36C8" w14:paraId="715F5C64" w14:textId="77777777" w:rsidTr="00E63AC3">
        <w:tc>
          <w:tcPr>
            <w:tcW w:w="1613" w:type="pct"/>
            <w:tcBorders>
              <w:top w:val="single" w:sz="4" w:space="0" w:color="auto"/>
              <w:left w:val="nil"/>
              <w:bottom w:val="single" w:sz="4" w:space="0" w:color="auto"/>
              <w:right w:val="nil"/>
            </w:tcBorders>
          </w:tcPr>
          <w:p w14:paraId="28A95230" w14:textId="73920789" w:rsidR="006D36C8" w:rsidRDefault="00BF3D89" w:rsidP="007368E2">
            <w:pPr>
              <w:pStyle w:val="APVMATableText"/>
            </w:pPr>
            <w:r>
              <w:t xml:space="preserve">SO </w:t>
            </w:r>
            <w:r w:rsidR="006D36C8">
              <w:tab/>
            </w:r>
            <w:r>
              <w:t>0</w:t>
            </w:r>
            <w:r w:rsidR="002B56CB">
              <w:t>691</w:t>
            </w:r>
          </w:p>
        </w:tc>
        <w:tc>
          <w:tcPr>
            <w:tcW w:w="2392" w:type="pct"/>
            <w:tcBorders>
              <w:top w:val="single" w:sz="4" w:space="0" w:color="auto"/>
              <w:left w:val="nil"/>
              <w:bottom w:val="single" w:sz="4" w:space="0" w:color="auto"/>
              <w:right w:val="nil"/>
            </w:tcBorders>
          </w:tcPr>
          <w:p w14:paraId="02C2C240" w14:textId="766B47A5" w:rsidR="006D36C8" w:rsidRDefault="002B56CB" w:rsidP="007368E2">
            <w:pPr>
              <w:pStyle w:val="APVMATableText"/>
            </w:pPr>
            <w:r>
              <w:t>Cotton seed</w:t>
            </w:r>
          </w:p>
        </w:tc>
        <w:tc>
          <w:tcPr>
            <w:tcW w:w="995" w:type="pct"/>
            <w:tcBorders>
              <w:top w:val="single" w:sz="4" w:space="0" w:color="auto"/>
              <w:left w:val="nil"/>
              <w:bottom w:val="single" w:sz="4" w:space="0" w:color="auto"/>
              <w:right w:val="nil"/>
            </w:tcBorders>
          </w:tcPr>
          <w:p w14:paraId="04A2B751" w14:textId="74B4C328" w:rsidR="006D36C8" w:rsidRDefault="00BF3D89" w:rsidP="00790A8E">
            <w:pPr>
              <w:pStyle w:val="APVMATableTextRight"/>
            </w:pPr>
            <w:r>
              <w:t>T</w:t>
            </w:r>
            <w:r w:rsidR="006D36C8">
              <w:t>0.</w:t>
            </w:r>
            <w:r w:rsidR="002B56CB">
              <w:t>3</w:t>
            </w:r>
          </w:p>
        </w:tc>
      </w:tr>
    </w:tbl>
    <w:p w14:paraId="670E5BD5" w14:textId="0BD120E1" w:rsidR="006D36C8" w:rsidRDefault="00063A19" w:rsidP="006D36C8">
      <w:pPr>
        <w:pStyle w:val="Caption"/>
      </w:pPr>
      <w:bookmarkStart w:id="57" w:name="_Toc252955171"/>
      <w:bookmarkStart w:id="58" w:name="_Toc181887263"/>
      <w:r w:rsidRPr="007051D9">
        <w:t xml:space="preserve">Table </w:t>
      </w:r>
      <w:r w:rsidR="008C6117">
        <w:fldChar w:fldCharType="begin"/>
      </w:r>
      <w:r w:rsidR="008C6117">
        <w:instrText xml:space="preserve"> SEQ Table \* ARABIC </w:instrText>
      </w:r>
      <w:r w:rsidR="008C6117">
        <w:fldChar w:fldCharType="separate"/>
      </w:r>
      <w:r>
        <w:rPr>
          <w:noProof/>
        </w:rPr>
        <w:t>4</w:t>
      </w:r>
      <w:r w:rsidR="008C6117">
        <w:rPr>
          <w:noProof/>
        </w:rPr>
        <w:fldChar w:fldCharType="end"/>
      </w:r>
      <w:r w:rsidRPr="007051D9">
        <w:t>:</w:t>
      </w:r>
      <w:r w:rsidR="00383003">
        <w:tab/>
        <w:t xml:space="preserve">Proposed MRL </w:t>
      </w:r>
      <w:r w:rsidR="00696A51">
        <w:t xml:space="preserve">– </w:t>
      </w:r>
      <w:r w:rsidR="006D36C8">
        <w:t>Table1</w:t>
      </w:r>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55C9AF7B" w:rsidR="006D36C8" w:rsidRDefault="002B56CB" w:rsidP="00BA67F0">
            <w:pPr>
              <w:pStyle w:val="MRLActiveName"/>
            </w:pPr>
            <w:r>
              <w:t>Pyraclostrobin</w:t>
            </w:r>
          </w:p>
        </w:tc>
      </w:tr>
      <w:tr w:rsidR="006D36C8" w14:paraId="10ABB81C" w14:textId="77777777" w:rsidTr="00E63AC3">
        <w:trPr>
          <w:cantSplit/>
        </w:trPr>
        <w:tc>
          <w:tcPr>
            <w:tcW w:w="1613" w:type="pct"/>
            <w:tcBorders>
              <w:top w:val="single" w:sz="4" w:space="0" w:color="auto"/>
              <w:left w:val="nil"/>
              <w:bottom w:val="single" w:sz="4" w:space="0" w:color="auto"/>
              <w:right w:val="nil"/>
            </w:tcBorders>
          </w:tcPr>
          <w:p w14:paraId="16B2FC12" w14:textId="261B2615" w:rsidR="006D36C8" w:rsidRDefault="00BF3D89" w:rsidP="007368E2">
            <w:pPr>
              <w:pStyle w:val="APVMATableText"/>
            </w:pPr>
            <w:r>
              <w:t>SO</w:t>
            </w:r>
            <w:r w:rsidR="006D36C8">
              <w:tab/>
              <w:t>0</w:t>
            </w:r>
            <w:r>
              <w:t>691</w:t>
            </w:r>
          </w:p>
        </w:tc>
        <w:tc>
          <w:tcPr>
            <w:tcW w:w="2392" w:type="pct"/>
            <w:tcBorders>
              <w:top w:val="single" w:sz="4" w:space="0" w:color="auto"/>
              <w:left w:val="nil"/>
              <w:bottom w:val="single" w:sz="4" w:space="0" w:color="auto"/>
              <w:right w:val="nil"/>
            </w:tcBorders>
          </w:tcPr>
          <w:p w14:paraId="6B7CF77B" w14:textId="7A90BFAE" w:rsidR="006D36C8" w:rsidRDefault="00BF3D89" w:rsidP="007368E2">
            <w:pPr>
              <w:pStyle w:val="APVMATableText"/>
            </w:pPr>
            <w:r>
              <w:t>Cotton seed</w:t>
            </w:r>
          </w:p>
        </w:tc>
        <w:tc>
          <w:tcPr>
            <w:tcW w:w="995" w:type="pct"/>
            <w:tcBorders>
              <w:top w:val="single" w:sz="4" w:space="0" w:color="auto"/>
              <w:left w:val="nil"/>
              <w:bottom w:val="single" w:sz="4" w:space="0" w:color="auto"/>
              <w:right w:val="nil"/>
            </w:tcBorders>
          </w:tcPr>
          <w:p w14:paraId="342F2BAF" w14:textId="534BBA34" w:rsidR="006D36C8" w:rsidRDefault="00BF3D89" w:rsidP="00790A8E">
            <w:pPr>
              <w:pStyle w:val="APVMATableTextRight"/>
            </w:pPr>
            <w:r>
              <w:t>T0.</w:t>
            </w:r>
            <w:r w:rsidR="002B56CB">
              <w:t>1</w:t>
            </w:r>
          </w:p>
        </w:tc>
      </w:tr>
    </w:tbl>
    <w:p w14:paraId="41970C0B" w14:textId="77777777" w:rsidR="006D36C8" w:rsidRDefault="006D36C8" w:rsidP="007B1953">
      <w:pPr>
        <w:pStyle w:val="Heading2"/>
      </w:pPr>
      <w:bookmarkStart w:id="59" w:name="_Toc231889751"/>
      <w:bookmarkStart w:id="60" w:name="_Toc2243854"/>
      <w:bookmarkStart w:id="61" w:name="_Toc180576106"/>
      <w:bookmarkStart w:id="62" w:name="_Toc181887236"/>
      <w:r w:rsidRPr="00032787">
        <w:t>Potential</w:t>
      </w:r>
      <w:r>
        <w:t xml:space="preserve"> risk to trade</w:t>
      </w:r>
      <w:bookmarkEnd w:id="59"/>
      <w:bookmarkEnd w:id="60"/>
      <w:bookmarkEnd w:id="61"/>
      <w:bookmarkEnd w:id="62"/>
    </w:p>
    <w:p w14:paraId="0F2DFB0B" w14:textId="77777777" w:rsidR="002B56CB" w:rsidRDefault="002B56CB" w:rsidP="00BF3D89">
      <w:pPr>
        <w:pStyle w:val="APVMAText"/>
      </w:pPr>
      <w:r w:rsidRPr="002B56CB">
        <w:t>Export of treated produce containing finite (measurable) residues of fluxapyroxad and pyraclostrobin may pose a risk to Australian trade in situations where (</w:t>
      </w:r>
      <w:proofErr w:type="spellStart"/>
      <w:r w:rsidRPr="002B56CB">
        <w:t>i</w:t>
      </w:r>
      <w:proofErr w:type="spellEnd"/>
      <w:r w:rsidRPr="002B56CB">
        <w:t>) no residue tolerance (import tolerance) is established in the importing country or (ii) where residues in Australian produce are likely to exceed a residue tolerance (import tolerance) established in the importing country.</w:t>
      </w:r>
    </w:p>
    <w:p w14:paraId="4E793528" w14:textId="068AA022" w:rsidR="00BF3D89" w:rsidRDefault="00BF3D89" w:rsidP="00BF3D89">
      <w:pPr>
        <w:pStyle w:val="APVMAText"/>
      </w:pPr>
      <w:r>
        <w:t xml:space="preserve">The overall risk to export trade in animal commodities </w:t>
      </w:r>
      <w:proofErr w:type="gramStart"/>
      <w:r>
        <w:t>is considered to be</w:t>
      </w:r>
      <w:proofErr w:type="gramEnd"/>
      <w:r>
        <w:t xml:space="preserve"> unaffected by the proposed use in cotton seed. Therefore, no changes are required to the current animal commodity MRLs, and an ESI is not required.</w:t>
      </w:r>
    </w:p>
    <w:p w14:paraId="65B75AD9" w14:textId="7D84C3C3" w:rsidR="002B56CB" w:rsidRDefault="002B56CB" w:rsidP="002B56CB">
      <w:pPr>
        <w:pStyle w:val="APVMAText"/>
      </w:pPr>
      <w:bookmarkStart w:id="63" w:name="_Hlk155170419"/>
      <w:r>
        <w:t xml:space="preserve">All major markets including Codex have MRLs for fluxapyroxad for cotton seed at higher or at the same levels as the proposed Australian MRL. The risk to trade from the proposed use of fluxapyroxad on cotton </w:t>
      </w:r>
      <w:proofErr w:type="gramStart"/>
      <w:r>
        <w:t>is considered to be</w:t>
      </w:r>
      <w:proofErr w:type="gramEnd"/>
      <w:r>
        <w:t xml:space="preserve"> low.</w:t>
      </w:r>
    </w:p>
    <w:p w14:paraId="462520B5" w14:textId="69570972" w:rsidR="002B56CB" w:rsidRDefault="002B56CB" w:rsidP="002B56CB">
      <w:pPr>
        <w:pStyle w:val="APVMAText"/>
      </w:pPr>
      <w:r>
        <w:t>The proposed Australian MRL of T0.1 mg/kg for pyraclostrobin in cotton seed is lower than MRLs established by Codex (0.4 mg/kg), EU (0.3 mg/kg), Japan (0.4 mg/kg), Korea (0.3 mg/kg) and USA (0.45 mg/kg). Taiwanese MRLs for pyraclostrobin on cotton have not been established.</w:t>
      </w:r>
    </w:p>
    <w:p w14:paraId="19648C7C" w14:textId="68249A15" w:rsidR="002B56CB" w:rsidRDefault="002B56CB" w:rsidP="00C7593E">
      <w:pPr>
        <w:pStyle w:val="Heading3"/>
      </w:pPr>
      <w:bookmarkStart w:id="64" w:name="_Toc181887237"/>
      <w:r>
        <w:t>Spray Drift</w:t>
      </w:r>
      <w:bookmarkEnd w:id="64"/>
    </w:p>
    <w:p w14:paraId="089003B6" w14:textId="4B0C63A6" w:rsidR="00706FCE" w:rsidRDefault="00C61821" w:rsidP="00A87145">
      <w:pPr>
        <w:pStyle w:val="APVMAText"/>
      </w:pPr>
      <w:r>
        <w:t xml:space="preserve">The </w:t>
      </w:r>
      <w:r w:rsidR="002B56CB">
        <w:t xml:space="preserve">proposed use involves </w:t>
      </w:r>
      <w:r>
        <w:t xml:space="preserve">aerial </w:t>
      </w:r>
      <w:r w:rsidR="002B56CB">
        <w:t>and ground application</w:t>
      </w:r>
      <w:r>
        <w:t xml:space="preserve">. </w:t>
      </w:r>
      <w:r w:rsidR="00A87145">
        <w:t xml:space="preserve">The no spray buffer zones are estimated for both actives and will be driven by pyraclostrobin. The no spray </w:t>
      </w:r>
      <w:r>
        <w:t xml:space="preserve">buffer zones for ground </w:t>
      </w:r>
      <w:r w:rsidR="00A87145">
        <w:t>boom and aerial applications fo</w:t>
      </w:r>
      <w:r>
        <w:t>r the protection of international trade</w:t>
      </w:r>
      <w:r w:rsidR="00A87145">
        <w:t xml:space="preserve"> are presented below</w:t>
      </w:r>
      <w:r>
        <w:t>.</w:t>
      </w:r>
      <w:bookmarkEnd w:id="63"/>
    </w:p>
    <w:p w14:paraId="28601784" w14:textId="5506FFCB" w:rsidR="00A87145" w:rsidRDefault="00A87145" w:rsidP="00C7593E">
      <w:pPr>
        <w:pStyle w:val="Heading3"/>
      </w:pPr>
      <w:bookmarkStart w:id="65" w:name="_Toc181887238"/>
      <w:r>
        <w:lastRenderedPageBreak/>
        <w:t>Regulatory Acceptable Limit (RAL)</w:t>
      </w:r>
      <w:bookmarkEnd w:id="65"/>
    </w:p>
    <w:p w14:paraId="0972EA5D" w14:textId="77777777" w:rsidR="00A87145" w:rsidRDefault="00A87145" w:rsidP="00A87145">
      <w:pPr>
        <w:pStyle w:val="APVMAText"/>
      </w:pPr>
      <w:r>
        <w:t>In a lactating cow feeding study evaluated by the 2004 JMPR , feeding at 7 ppm gave highest residues of 0.20 mg/kg in liver tissue. For residues in liver to be at the LOQ (0.05 mg/kg), the maximum feeding level is 1.75 ppm (RAL).</w:t>
      </w:r>
    </w:p>
    <w:p w14:paraId="1895A93C" w14:textId="77777777" w:rsidR="00A87145" w:rsidRDefault="00A87145" w:rsidP="00A87145">
      <w:pPr>
        <w:pStyle w:val="APVMAText"/>
      </w:pPr>
      <w:r>
        <w:t>The following label statements were generated using the APVMA spray drift risk assessment tool and an RAL of 1.75 ppm for protection of international trade:</w:t>
      </w:r>
    </w:p>
    <w:p w14:paraId="408A2628" w14:textId="4B125320" w:rsidR="00A87145" w:rsidRDefault="00A87145" w:rsidP="00A87145">
      <w:pPr>
        <w:pStyle w:val="APVMAText"/>
      </w:pPr>
      <w:r>
        <w:t>The buffer zones for boom (medium droplet) and aerial application (coarse) droplet size are determined by the APVMA spray drift risk assessment tool should be added to the permit based.</w:t>
      </w:r>
    </w:p>
    <w:p w14:paraId="796F57E9" w14:textId="3B51EEF3" w:rsidR="00A87145" w:rsidRDefault="00C7593E" w:rsidP="00806517">
      <w:pPr>
        <w:pStyle w:val="Heading3"/>
      </w:pPr>
      <w:bookmarkStart w:id="66" w:name="_Toc181887239"/>
      <w:r w:rsidRPr="006E74B0">
        <w:rPr>
          <w:noProof/>
        </w:rPr>
        <w:drawing>
          <wp:anchor distT="0" distB="0" distL="114300" distR="114300" simplePos="0" relativeHeight="251659264" behindDoc="0" locked="0" layoutInCell="1" allowOverlap="1" wp14:anchorId="2405D5C5" wp14:editId="48FA758B">
            <wp:simplePos x="0" y="0"/>
            <wp:positionH relativeFrom="column">
              <wp:posOffset>-27940</wp:posOffset>
            </wp:positionH>
            <wp:positionV relativeFrom="paragraph">
              <wp:posOffset>2092840</wp:posOffset>
            </wp:positionV>
            <wp:extent cx="5731510" cy="1703070"/>
            <wp:effectExtent l="0" t="0" r="2540" b="0"/>
            <wp:wrapNone/>
            <wp:docPr id="1545564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1F9E8CB" wp14:editId="34AB94F0">
            <wp:simplePos x="0" y="0"/>
            <wp:positionH relativeFrom="column">
              <wp:posOffset>-27305</wp:posOffset>
            </wp:positionH>
            <wp:positionV relativeFrom="paragraph">
              <wp:posOffset>245470</wp:posOffset>
            </wp:positionV>
            <wp:extent cx="5762625" cy="1685925"/>
            <wp:effectExtent l="0" t="0" r="9525" b="9525"/>
            <wp:wrapNone/>
            <wp:docPr id="1178017633" name="Picture 1" descr="A close-up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7633" name="Picture 1" descr="A close-up of a survey&#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762625" cy="1685925"/>
                    </a:xfrm>
                    <a:prstGeom prst="rect">
                      <a:avLst/>
                    </a:prstGeom>
                  </pic:spPr>
                </pic:pic>
              </a:graphicData>
            </a:graphic>
            <wp14:sizeRelH relativeFrom="page">
              <wp14:pctWidth>0</wp14:pctWidth>
            </wp14:sizeRelH>
            <wp14:sizeRelV relativeFrom="page">
              <wp14:pctHeight>0</wp14:pctHeight>
            </wp14:sizeRelV>
          </wp:anchor>
        </w:drawing>
      </w:r>
      <w:r w:rsidR="00A87145">
        <w:t>Pyraclostrobin</w:t>
      </w:r>
      <w:bookmarkEnd w:id="66"/>
    </w:p>
    <w:p w14:paraId="7284FBDC" w14:textId="77777777" w:rsidR="001C5B28" w:rsidRDefault="001C5B28" w:rsidP="001C5B28">
      <w:pPr>
        <w:pStyle w:val="APVMAText"/>
      </w:pPr>
      <w:bookmarkStart w:id="67" w:name="_Toc180576107"/>
    </w:p>
    <w:p w14:paraId="66150D10" w14:textId="190BBE01" w:rsidR="002E20AC" w:rsidRDefault="007B1953" w:rsidP="007B1953">
      <w:pPr>
        <w:pStyle w:val="Heading1"/>
      </w:pPr>
      <w:bookmarkStart w:id="68" w:name="_Toc181887240"/>
      <w:r>
        <w:lastRenderedPageBreak/>
        <w:t>C</w:t>
      </w:r>
      <w:r w:rsidR="006D36C8">
        <w:t>onclusion</w:t>
      </w:r>
      <w:bookmarkEnd w:id="67"/>
      <w:bookmarkEnd w:id="68"/>
    </w:p>
    <w:p w14:paraId="1A9C68A4" w14:textId="23EB8551" w:rsidR="009D452E" w:rsidRDefault="00AC0684" w:rsidP="009D452E">
      <w:pPr>
        <w:pStyle w:val="NormalText"/>
      </w:pPr>
      <w:r>
        <w:t>Cotton Australian Limited</w:t>
      </w:r>
      <w:r w:rsidRPr="0034195B">
        <w:rPr>
          <w:color w:val="BD3632" w:themeColor="accent6"/>
        </w:rPr>
        <w:t xml:space="preserve"> </w:t>
      </w:r>
      <w:r w:rsidRPr="0034195B">
        <w:t xml:space="preserve">has applied for </w:t>
      </w:r>
      <w:r>
        <w:t xml:space="preserve">the </w:t>
      </w:r>
      <w:r w:rsidRPr="00C13A4C">
        <w:t>use</w:t>
      </w:r>
      <w:r w:rsidRPr="0034195B">
        <w:rPr>
          <w:color w:val="BD3632" w:themeColor="accent6"/>
        </w:rPr>
        <w:t xml:space="preserve"> </w:t>
      </w:r>
      <w:r w:rsidRPr="0034195B">
        <w:t xml:space="preserve">of </w:t>
      </w:r>
      <w:proofErr w:type="spellStart"/>
      <w:r w:rsidR="000455EB">
        <w:t>Merivon</w:t>
      </w:r>
      <w:proofErr w:type="spellEnd"/>
      <w:r w:rsidR="000455EB">
        <w:t xml:space="preserve"> </w:t>
      </w:r>
      <w:r>
        <w:t xml:space="preserve">Fungicide </w:t>
      </w:r>
      <w:r w:rsidR="000455EB" w:rsidRPr="0034195B">
        <w:t xml:space="preserve">containing </w:t>
      </w:r>
      <w:r w:rsidR="000455EB">
        <w:t xml:space="preserve">250 g/L of pyraclostrobin and fluxapyroxad </w:t>
      </w:r>
      <w:r w:rsidR="000455EB" w:rsidRPr="0034195B">
        <w:t>on</w:t>
      </w:r>
      <w:r w:rsidR="000455EB">
        <w:t xml:space="preserve"> cotton</w:t>
      </w:r>
      <w:r>
        <w:t>. Comment is sough</w:t>
      </w:r>
      <w:r w:rsidR="00867F4A">
        <w:t>t</w:t>
      </w:r>
      <w:r>
        <w:t xml:space="preserve"> on the potential for the proposed use to pose a risk to Australian trade.</w:t>
      </w:r>
    </w:p>
    <w:sectPr w:rsidR="009D452E">
      <w:headerReference w:type="even" r:id="rId30"/>
      <w:headerReference w:type="default" r:id="rId3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87361" w14:textId="77777777" w:rsidR="00C6294A" w:rsidRDefault="00C6294A">
      <w:r>
        <w:separator/>
      </w:r>
    </w:p>
    <w:p w14:paraId="10CF29C8" w14:textId="77777777" w:rsidR="00C6294A" w:rsidRDefault="00C6294A"/>
    <w:p w14:paraId="76829374" w14:textId="77777777" w:rsidR="00C6294A" w:rsidRDefault="00C6294A"/>
  </w:endnote>
  <w:endnote w:type="continuationSeparator" w:id="0">
    <w:p w14:paraId="14636D42" w14:textId="77777777" w:rsidR="00C6294A" w:rsidRDefault="00C6294A">
      <w:r>
        <w:continuationSeparator/>
      </w:r>
    </w:p>
    <w:p w14:paraId="4563376C" w14:textId="77777777" w:rsidR="00C6294A" w:rsidRDefault="00C6294A"/>
    <w:p w14:paraId="0A51F7CA" w14:textId="77777777" w:rsidR="00C6294A" w:rsidRDefault="00C62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6DC93" w14:textId="77777777" w:rsidR="00C6294A" w:rsidRDefault="00C6294A">
      <w:r>
        <w:separator/>
      </w:r>
    </w:p>
  </w:footnote>
  <w:footnote w:type="continuationSeparator" w:id="0">
    <w:p w14:paraId="2A239A5F" w14:textId="77777777" w:rsidR="00C6294A" w:rsidRDefault="00C6294A">
      <w:pPr>
        <w:spacing w:line="180" w:lineRule="exact"/>
        <w:rPr>
          <w:sz w:val="16"/>
        </w:rPr>
      </w:pPr>
      <w:r>
        <w:rPr>
          <w:sz w:val="16"/>
        </w:rPr>
        <w:continuationSeparator/>
      </w:r>
    </w:p>
    <w:p w14:paraId="32E5ECEE" w14:textId="77777777" w:rsidR="00C6294A" w:rsidRDefault="00C6294A"/>
    <w:p w14:paraId="39BF25B3" w14:textId="77777777" w:rsidR="00C6294A" w:rsidRDefault="00C6294A"/>
  </w:footnote>
  <w:footnote w:type="continuationNotice" w:id="1">
    <w:p w14:paraId="6E450B25" w14:textId="77777777" w:rsidR="00C6294A" w:rsidRDefault="00C6294A"/>
    <w:p w14:paraId="69C96D45" w14:textId="77777777" w:rsidR="00C6294A" w:rsidRDefault="00C6294A"/>
    <w:p w14:paraId="6F71E062" w14:textId="77777777" w:rsidR="00C6294A" w:rsidRDefault="00C6294A"/>
  </w:footnote>
  <w:footnote w:id="2">
    <w:p w14:paraId="2F644008" w14:textId="77777777" w:rsidR="00204739" w:rsidRPr="003D29F4" w:rsidRDefault="00204739" w:rsidP="00AC35AB">
      <w:pPr>
        <w:pStyle w:val="FootnoteText"/>
        <w:spacing w:after="240" w:line="280" w:lineRule="exact"/>
        <w:rPr>
          <w:sz w:val="18"/>
          <w:szCs w:val="18"/>
        </w:rPr>
      </w:pPr>
      <w:r>
        <w:rPr>
          <w:rStyle w:val="FootnoteReference"/>
        </w:rPr>
        <w:footnoteRef/>
      </w:r>
      <w:r>
        <w:t xml:space="preserve"> </w:t>
      </w:r>
      <w:r w:rsidRPr="00985E58">
        <w:t>APVMA Regulatory Guidelines – Data Guidelines: Agricultural - Overseas trade (Part 5B)</w:t>
      </w:r>
    </w:p>
  </w:footnote>
  <w:footnote w:id="3">
    <w:p w14:paraId="061F5A91" w14:textId="6A1ABB86" w:rsidR="007C7483" w:rsidRPr="00BD7AA1" w:rsidRDefault="007C7483" w:rsidP="007C7483">
      <w:pPr>
        <w:pStyle w:val="FootnoteText"/>
        <w:spacing w:after="240" w:line="280" w:lineRule="exact"/>
        <w:rPr>
          <w:szCs w:val="16"/>
        </w:rPr>
      </w:pPr>
      <w:r w:rsidRPr="003D29F4">
        <w:rPr>
          <w:rStyle w:val="FootnoteReference"/>
          <w:szCs w:val="18"/>
        </w:rPr>
        <w:footnoteRef/>
      </w:r>
      <w:r w:rsidRPr="003D29F4">
        <w:rPr>
          <w:sz w:val="18"/>
          <w:szCs w:val="18"/>
        </w:rPr>
        <w:t xml:space="preserve"> </w:t>
      </w:r>
      <w:r w:rsidRPr="00BF6983">
        <w:t xml:space="preserve">Australian Bureau of Agricultural and Resource Economics – </w:t>
      </w:r>
      <w:hyperlink r:id="rId1" w:anchor="agricultural-commodities" w:history="1">
        <w:r w:rsidRPr="00466A5C">
          <w:rPr>
            <w:rStyle w:val="Hyperlink"/>
            <w:szCs w:val="16"/>
          </w:rPr>
          <w:t>Agricultural Commodity Statistics</w:t>
        </w:r>
      </w:hyperlink>
      <w:r w:rsidRPr="00466A5C">
        <w:rPr>
          <w:szCs w:val="16"/>
        </w:rPr>
        <w:t xml:space="preserve">, </w:t>
      </w:r>
      <w:r w:rsidRPr="00BD7AA1">
        <w:rPr>
          <w:szCs w:val="16"/>
        </w:rPr>
        <w:t xml:space="preserve">website accessed  </w:t>
      </w:r>
      <w:r w:rsidR="0019700F">
        <w:rPr>
          <w:szCs w:val="16"/>
        </w:rPr>
        <w:t>November</w:t>
      </w:r>
      <w:r w:rsidRPr="00BD7AA1">
        <w:rPr>
          <w:szCs w:val="16"/>
        </w:rPr>
        <w:t xml:space="preserve"> 2024.</w:t>
      </w:r>
    </w:p>
  </w:footnote>
  <w:footnote w:id="4">
    <w:p w14:paraId="62161315" w14:textId="6D429D46" w:rsidR="008D5557" w:rsidRDefault="008D5557">
      <w:pPr>
        <w:pStyle w:val="FootnoteText"/>
      </w:pPr>
      <w:r>
        <w:rPr>
          <w:rStyle w:val="FootnoteReference"/>
        </w:rPr>
        <w:footnoteRef/>
      </w:r>
      <w:r>
        <w:t xml:space="preserve"> World bank Trade Figures- </w:t>
      </w:r>
      <w:hyperlink r:id="rId2" w:history="1">
        <w:r w:rsidRPr="007D6606">
          <w:rPr>
            <w:rStyle w:val="Hyperlink"/>
          </w:rPr>
          <w:t>Cotton seed export markets</w:t>
        </w:r>
      </w:hyperlink>
      <w:r>
        <w:t xml:space="preserve">, date accessed </w:t>
      </w:r>
      <w:r w:rsidR="0019700F">
        <w:t xml:space="preserve">November </w:t>
      </w:r>
      <w:r>
        <w:t>2024</w:t>
      </w:r>
    </w:p>
  </w:footnote>
  <w:footnote w:id="5">
    <w:p w14:paraId="7D1B5EC9" w14:textId="7E1513B8" w:rsidR="002042CC" w:rsidRDefault="002042CC" w:rsidP="002042CC">
      <w:pPr>
        <w:pStyle w:val="FootnoteText"/>
      </w:pPr>
      <w:r>
        <w:rPr>
          <w:rStyle w:val="FootnoteReference"/>
        </w:rPr>
        <w:footnoteRef/>
      </w:r>
      <w:r>
        <w:t xml:space="preserve"> Food and Agriculture Organisation of the United Nations, </w:t>
      </w:r>
      <w:hyperlink r:id="rId3" w:history="1">
        <w:r w:rsidRPr="00FD3FA5">
          <w:rPr>
            <w:rStyle w:val="Hyperlink"/>
            <w:i/>
          </w:rPr>
          <w:t>Codex Alimentarius, International Food Standards</w:t>
        </w:r>
        <w:r w:rsidRPr="00FD3FA5">
          <w:rPr>
            <w:rStyle w:val="Hyperlink"/>
          </w:rPr>
          <w:t>,</w:t>
        </w:r>
      </w:hyperlink>
      <w:r>
        <w:t xml:space="preserve"> FAO website, accessed </w:t>
      </w:r>
      <w:r w:rsidR="006D6C11">
        <w:t>November</w:t>
      </w:r>
      <w:r>
        <w:t xml:space="preserve"> 2024.</w:t>
      </w:r>
    </w:p>
  </w:footnote>
  <w:footnote w:id="6">
    <w:p w14:paraId="1E104D77" w14:textId="609AA4C5" w:rsidR="002042CC" w:rsidRDefault="002042CC" w:rsidP="006D6C11">
      <w:pPr>
        <w:pStyle w:val="FootnoteText"/>
        <w:jc w:val="both"/>
      </w:pPr>
      <w:r>
        <w:rPr>
          <w:rStyle w:val="FootnoteReference"/>
        </w:rPr>
        <w:footnoteRef/>
      </w:r>
      <w:r>
        <w:t xml:space="preserve"> European Commission, </w:t>
      </w:r>
      <w:hyperlink r:id="rId4" w:history="1">
        <w:r w:rsidRPr="00FD3FA5">
          <w:rPr>
            <w:rStyle w:val="Hyperlink"/>
            <w:i/>
          </w:rPr>
          <w:t>EU Pesticide residue(s) and maximum residue levels (mg/kg)</w:t>
        </w:r>
        <w:r w:rsidRPr="00FD3FA5">
          <w:rPr>
            <w:rStyle w:val="Hyperlink"/>
          </w:rPr>
          <w:t>,</w:t>
        </w:r>
      </w:hyperlink>
      <w:r>
        <w:t xml:space="preserve"> European Commission website, accessed </w:t>
      </w:r>
      <w:r w:rsidR="006D6C11">
        <w:t>November</w:t>
      </w:r>
      <w:r>
        <w:t xml:space="preserve"> 2024.</w:t>
      </w:r>
    </w:p>
  </w:footnote>
  <w:footnote w:id="7">
    <w:p w14:paraId="72789F3A" w14:textId="23DC755F" w:rsidR="002042CC" w:rsidRDefault="002042CC" w:rsidP="002042CC">
      <w:pPr>
        <w:pStyle w:val="FootnoteText"/>
      </w:pPr>
      <w:r>
        <w:rPr>
          <w:rStyle w:val="FootnoteReference"/>
        </w:rPr>
        <w:footnoteRef/>
      </w:r>
      <w:r>
        <w:t xml:space="preserve"> Japanese Food Chemistry Research Foundation, </w:t>
      </w:r>
      <w:hyperlink r:id="rId5" w:history="1">
        <w:r w:rsidRPr="00FD3FA5">
          <w:rPr>
            <w:rStyle w:val="Hyperlink"/>
            <w:i/>
          </w:rPr>
          <w:t>Table of MRLs for Agricultural Chemicals,</w:t>
        </w:r>
      </w:hyperlink>
      <w:r>
        <w:rPr>
          <w:i/>
        </w:rPr>
        <w:t xml:space="preserve"> </w:t>
      </w:r>
      <w:r>
        <w:t xml:space="preserve">JFCRPF website, accessed </w:t>
      </w:r>
      <w:r w:rsidR="006D6C11">
        <w:t>November</w:t>
      </w:r>
      <w:r>
        <w:t xml:space="preserve"> 2024</w:t>
      </w:r>
    </w:p>
  </w:footnote>
  <w:footnote w:id="8">
    <w:p w14:paraId="18815B79" w14:textId="2B6C8EE0" w:rsidR="002042CC" w:rsidRDefault="002042CC" w:rsidP="002042CC">
      <w:pPr>
        <w:pStyle w:val="FootnoteText"/>
      </w:pPr>
      <w:r>
        <w:rPr>
          <w:rStyle w:val="FootnoteReference"/>
        </w:rPr>
        <w:footnoteRef/>
      </w:r>
      <w:r>
        <w:t xml:space="preserve"> Ministry of Food and Drug Safety, Korea, </w:t>
      </w:r>
      <w:hyperlink r:id="rId6" w:history="1">
        <w:r w:rsidRPr="004A2FE9">
          <w:rPr>
            <w:rStyle w:val="Hyperlink"/>
            <w:i/>
            <w:iCs/>
          </w:rPr>
          <w:t>MRLs in Pesticides</w:t>
        </w:r>
      </w:hyperlink>
      <w:r>
        <w:t xml:space="preserve">, accessed </w:t>
      </w:r>
      <w:r w:rsidR="006D6C11">
        <w:t>November</w:t>
      </w:r>
      <w:r>
        <w:t xml:space="preserve"> 2024</w:t>
      </w:r>
    </w:p>
  </w:footnote>
  <w:footnote w:id="9">
    <w:p w14:paraId="359EFDE9" w14:textId="2C801C51" w:rsidR="002042CC" w:rsidRDefault="002042CC" w:rsidP="002042CC">
      <w:pPr>
        <w:pStyle w:val="FootnoteText"/>
      </w:pPr>
      <w:r>
        <w:rPr>
          <w:rStyle w:val="FootnoteReference"/>
        </w:rPr>
        <w:footnoteRef/>
      </w:r>
      <w:r>
        <w:t xml:space="preserve"> Taiwan Food and Drug Administration, </w:t>
      </w:r>
      <w:hyperlink r:id="rId7" w:history="1">
        <w:r w:rsidRPr="004A2FE9">
          <w:rPr>
            <w:rStyle w:val="Hyperlink"/>
            <w:i/>
            <w:iCs/>
          </w:rPr>
          <w:t>Standards for Pesticide Residue Limits in Foods</w:t>
        </w:r>
      </w:hyperlink>
      <w:r>
        <w:t xml:space="preserve">, accessed </w:t>
      </w:r>
      <w:r w:rsidR="006D6C11">
        <w:t xml:space="preserve">November </w:t>
      </w:r>
      <w:r>
        <w:t>2024</w:t>
      </w:r>
    </w:p>
  </w:footnote>
  <w:footnote w:id="10">
    <w:p w14:paraId="2F7F9C07" w14:textId="109F1707" w:rsidR="002042CC" w:rsidRDefault="002042CC" w:rsidP="002042CC">
      <w:pPr>
        <w:pStyle w:val="FootnoteText"/>
      </w:pPr>
      <w:r>
        <w:rPr>
          <w:rStyle w:val="FootnoteReference"/>
        </w:rPr>
        <w:footnoteRef/>
      </w:r>
      <w:r>
        <w:t xml:space="preserve"> Electronic Code of Federal Regulations,</w:t>
      </w:r>
      <w:r w:rsidRPr="00FD3FA5">
        <w:rPr>
          <w:i/>
        </w:rPr>
        <w:t xml:space="preserve"> </w:t>
      </w:r>
      <w:hyperlink r:id="rId8" w:history="1">
        <w:r w:rsidRPr="00FD3FA5">
          <w:rPr>
            <w:rStyle w:val="Hyperlink"/>
            <w:i/>
          </w:rPr>
          <w:t>USA Electronic Code of Federal Regulations,</w:t>
        </w:r>
      </w:hyperlink>
      <w:r>
        <w:rPr>
          <w:i/>
        </w:rPr>
        <w:t xml:space="preserve"> </w:t>
      </w:r>
      <w:r w:rsidRPr="00FD3FA5">
        <w:t>eCFR</w:t>
      </w:r>
      <w:r>
        <w:t xml:space="preserve"> website, accessed </w:t>
      </w:r>
      <w:r w:rsidR="006D6C11">
        <w:t>November</w:t>
      </w:r>
      <w: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3D1A" w14:textId="37295D8E" w:rsidR="007B1953" w:rsidRDefault="007B1953" w:rsidP="007B1953">
    <w:pPr>
      <w:pStyle w:val="APVMAOddHeader"/>
    </w:pPr>
    <w:r>
      <w:tab/>
    </w:r>
    <w:r w:rsidR="00BF6983">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5641" w14:textId="10CBA3F4"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w:t>
    </w:r>
    <w:r w:rsidR="000D4F34" w:rsidRPr="000D4F34">
      <w:t>for use of pyraclostrobin and fluxapyroxad on cotton</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C073" w14:textId="0AE65013" w:rsidR="00696A51" w:rsidRDefault="00696A51" w:rsidP="007B1953">
    <w:pPr>
      <w:pStyle w:val="APVMAOddHeader"/>
    </w:pPr>
    <w:r>
      <w:tab/>
    </w:r>
    <w:r w:rsidR="00CB42F1" w:rsidRPr="00CB42F1">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53E4F" w14:textId="77777777" w:rsidR="001C5B28" w:rsidRDefault="001C5B28" w:rsidP="001C5B28">
    <w:pPr>
      <w:pStyle w:val="APVMAOddHeader"/>
      <w:jc w:val="right"/>
    </w:pPr>
    <w:r>
      <w:tab/>
    </w:r>
    <w:r w:rsidRPr="00CB42F1">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4063D" w14:textId="09F36B52" w:rsidR="00007E23" w:rsidRDefault="00007E23" w:rsidP="00BF6983">
    <w:pPr>
      <w:pStyle w:val="APVMAEvenHeader"/>
      <w:pBdr>
        <w:bottom w:val="single" w:sz="4" w:space="6"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noProof/>
        <w:szCs w:val="24"/>
      </w:rPr>
      <w:t>1</w:t>
    </w:r>
    <w:r>
      <w:rPr>
        <w:rStyle w:val="PageNumber"/>
        <w:b/>
        <w:caps/>
        <w:szCs w:val="24"/>
      </w:rPr>
      <w:fldChar w:fldCharType="end"/>
    </w:r>
    <w:r>
      <w:tab/>
    </w:r>
    <w:r w:rsidR="002042CC">
      <w:t xml:space="preserve">Trade Advice Notice </w:t>
    </w:r>
    <w:r w:rsidR="002042CC" w:rsidRPr="000D4F34">
      <w:t>for use of pyraclostrobin and fluxapyroxad on cotton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C0578" w14:textId="3AF1E437" w:rsidR="00BF6983" w:rsidRDefault="00BF6983" w:rsidP="007B1953">
    <w:pPr>
      <w:pStyle w:val="APVMAOddHeader"/>
    </w:pPr>
    <w:r>
      <w:tab/>
    </w:r>
    <w:r w:rsidR="00CB42F1">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9EE6B" w14:textId="77777777" w:rsidR="00274EBF" w:rsidRDefault="00274EBF" w:rsidP="00274EBF">
    <w:pPr>
      <w:pStyle w:val="APVMAEvenHeader"/>
      <w:pBdr>
        <w:bottom w:val="single" w:sz="4" w:space="6"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szCs w:val="24"/>
      </w:rPr>
      <w:t>7</w:t>
    </w:r>
    <w:r>
      <w:rPr>
        <w:rStyle w:val="PageNumber"/>
        <w:b/>
        <w:caps/>
        <w:szCs w:val="24"/>
      </w:rPr>
      <w:fldChar w:fldCharType="end"/>
    </w:r>
    <w:r>
      <w:tab/>
      <w:t xml:space="preserve">Trade Advice Notice </w:t>
    </w:r>
    <w:r w:rsidRPr="000D4F34">
      <w:t>for use of pyraclostrobin and fluxapyroxad on cotton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C5CFF"/>
    <w:multiLevelType w:val="hybridMultilevel"/>
    <w:tmpl w:val="CD7CC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3D31C35"/>
    <w:multiLevelType w:val="hybridMultilevel"/>
    <w:tmpl w:val="F10855C0"/>
    <w:lvl w:ilvl="0" w:tplc="5BC2A1F0">
      <w:start w:val="14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CCA0DC4"/>
    <w:multiLevelType w:val="hybridMultilevel"/>
    <w:tmpl w:val="BFEC3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470D7"/>
    <w:multiLevelType w:val="hybridMultilevel"/>
    <w:tmpl w:val="F964F8E4"/>
    <w:lvl w:ilvl="0" w:tplc="F848AC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9"/>
  </w:num>
  <w:num w:numId="8" w16cid:durableId="405340983">
    <w:abstractNumId w:val="3"/>
  </w:num>
  <w:num w:numId="9" w16cid:durableId="1528519882">
    <w:abstractNumId w:val="12"/>
  </w:num>
  <w:num w:numId="10" w16cid:durableId="668873478">
    <w:abstractNumId w:val="8"/>
  </w:num>
  <w:num w:numId="11" w16cid:durableId="493692028">
    <w:abstractNumId w:val="10"/>
  </w:num>
  <w:num w:numId="12" w16cid:durableId="1452898925">
    <w:abstractNumId w:val="7"/>
  </w:num>
  <w:num w:numId="13" w16cid:durableId="80258109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5039"/>
    <w:rsid w:val="00007E23"/>
    <w:rsid w:val="000124F2"/>
    <w:rsid w:val="00013D06"/>
    <w:rsid w:val="00021A6A"/>
    <w:rsid w:val="00023268"/>
    <w:rsid w:val="00032787"/>
    <w:rsid w:val="000455EB"/>
    <w:rsid w:val="000523B7"/>
    <w:rsid w:val="00063A19"/>
    <w:rsid w:val="000642F7"/>
    <w:rsid w:val="00067828"/>
    <w:rsid w:val="000765C1"/>
    <w:rsid w:val="0008350E"/>
    <w:rsid w:val="00096163"/>
    <w:rsid w:val="000A7EF6"/>
    <w:rsid w:val="000C2C1B"/>
    <w:rsid w:val="000C56C2"/>
    <w:rsid w:val="000C5EB1"/>
    <w:rsid w:val="000D49ED"/>
    <w:rsid w:val="000D4F34"/>
    <w:rsid w:val="000E59AC"/>
    <w:rsid w:val="001004E6"/>
    <w:rsid w:val="00116540"/>
    <w:rsid w:val="00120E00"/>
    <w:rsid w:val="001232C2"/>
    <w:rsid w:val="0012391B"/>
    <w:rsid w:val="00125B8E"/>
    <w:rsid w:val="0013090E"/>
    <w:rsid w:val="001534D8"/>
    <w:rsid w:val="00160692"/>
    <w:rsid w:val="0016652E"/>
    <w:rsid w:val="00167BB3"/>
    <w:rsid w:val="00170F07"/>
    <w:rsid w:val="00174E15"/>
    <w:rsid w:val="00184190"/>
    <w:rsid w:val="00193533"/>
    <w:rsid w:val="0019700F"/>
    <w:rsid w:val="001B335C"/>
    <w:rsid w:val="001B7360"/>
    <w:rsid w:val="001C5B28"/>
    <w:rsid w:val="001C6607"/>
    <w:rsid w:val="001D3257"/>
    <w:rsid w:val="001F0620"/>
    <w:rsid w:val="002042CC"/>
    <w:rsid w:val="00204739"/>
    <w:rsid w:val="00216C49"/>
    <w:rsid w:val="0024289A"/>
    <w:rsid w:val="0026493F"/>
    <w:rsid w:val="002676EE"/>
    <w:rsid w:val="00273344"/>
    <w:rsid w:val="00274EBF"/>
    <w:rsid w:val="00277C7C"/>
    <w:rsid w:val="00280720"/>
    <w:rsid w:val="00282A32"/>
    <w:rsid w:val="002A1B32"/>
    <w:rsid w:val="002A69DD"/>
    <w:rsid w:val="002B4618"/>
    <w:rsid w:val="002B56CB"/>
    <w:rsid w:val="002B5703"/>
    <w:rsid w:val="002D7779"/>
    <w:rsid w:val="002E20AC"/>
    <w:rsid w:val="002E49F4"/>
    <w:rsid w:val="002E4E23"/>
    <w:rsid w:val="002F4591"/>
    <w:rsid w:val="0030255E"/>
    <w:rsid w:val="00305965"/>
    <w:rsid w:val="003071D7"/>
    <w:rsid w:val="0031487D"/>
    <w:rsid w:val="003207F2"/>
    <w:rsid w:val="00332412"/>
    <w:rsid w:val="003437B8"/>
    <w:rsid w:val="00347883"/>
    <w:rsid w:val="003506C5"/>
    <w:rsid w:val="00364192"/>
    <w:rsid w:val="00381544"/>
    <w:rsid w:val="00382B7C"/>
    <w:rsid w:val="00383003"/>
    <w:rsid w:val="003A1BD7"/>
    <w:rsid w:val="003A2363"/>
    <w:rsid w:val="003A558F"/>
    <w:rsid w:val="003A72B5"/>
    <w:rsid w:val="003B277E"/>
    <w:rsid w:val="003C0891"/>
    <w:rsid w:val="003F2FCE"/>
    <w:rsid w:val="00404649"/>
    <w:rsid w:val="004070E1"/>
    <w:rsid w:val="00407597"/>
    <w:rsid w:val="0041228F"/>
    <w:rsid w:val="00437A9B"/>
    <w:rsid w:val="00444045"/>
    <w:rsid w:val="004616C8"/>
    <w:rsid w:val="00461D26"/>
    <w:rsid w:val="00466A5C"/>
    <w:rsid w:val="00470304"/>
    <w:rsid w:val="004A2FE9"/>
    <w:rsid w:val="004D2C4F"/>
    <w:rsid w:val="004D48AF"/>
    <w:rsid w:val="004E1991"/>
    <w:rsid w:val="004E4CD7"/>
    <w:rsid w:val="004F66B0"/>
    <w:rsid w:val="005033A8"/>
    <w:rsid w:val="005064D5"/>
    <w:rsid w:val="005148C0"/>
    <w:rsid w:val="00520963"/>
    <w:rsid w:val="00522E27"/>
    <w:rsid w:val="00541125"/>
    <w:rsid w:val="00542A51"/>
    <w:rsid w:val="00542E65"/>
    <w:rsid w:val="00545A0A"/>
    <w:rsid w:val="005527B9"/>
    <w:rsid w:val="00556804"/>
    <w:rsid w:val="00560E83"/>
    <w:rsid w:val="00563297"/>
    <w:rsid w:val="005637ED"/>
    <w:rsid w:val="00563894"/>
    <w:rsid w:val="005645E9"/>
    <w:rsid w:val="00566590"/>
    <w:rsid w:val="00596F1D"/>
    <w:rsid w:val="005D00D1"/>
    <w:rsid w:val="005D075B"/>
    <w:rsid w:val="005D1A47"/>
    <w:rsid w:val="005D54E8"/>
    <w:rsid w:val="005F4701"/>
    <w:rsid w:val="00606E79"/>
    <w:rsid w:val="00607E30"/>
    <w:rsid w:val="006110AE"/>
    <w:rsid w:val="0062057B"/>
    <w:rsid w:val="0062466B"/>
    <w:rsid w:val="00634450"/>
    <w:rsid w:val="00637AB9"/>
    <w:rsid w:val="00641B1B"/>
    <w:rsid w:val="00643052"/>
    <w:rsid w:val="00657A28"/>
    <w:rsid w:val="0066107B"/>
    <w:rsid w:val="00662168"/>
    <w:rsid w:val="00671A31"/>
    <w:rsid w:val="00696A51"/>
    <w:rsid w:val="006C08BC"/>
    <w:rsid w:val="006D36C8"/>
    <w:rsid w:val="006D48B9"/>
    <w:rsid w:val="006D6C11"/>
    <w:rsid w:val="006E33F7"/>
    <w:rsid w:val="00700C27"/>
    <w:rsid w:val="00702B7D"/>
    <w:rsid w:val="00704C88"/>
    <w:rsid w:val="00706FCE"/>
    <w:rsid w:val="007275CF"/>
    <w:rsid w:val="00731659"/>
    <w:rsid w:val="007368E2"/>
    <w:rsid w:val="00753ED8"/>
    <w:rsid w:val="00770B96"/>
    <w:rsid w:val="0077234E"/>
    <w:rsid w:val="00772D8F"/>
    <w:rsid w:val="00783B12"/>
    <w:rsid w:val="00790A8E"/>
    <w:rsid w:val="0079772A"/>
    <w:rsid w:val="007B17B2"/>
    <w:rsid w:val="007B1953"/>
    <w:rsid w:val="007B2C31"/>
    <w:rsid w:val="007C7483"/>
    <w:rsid w:val="007E73BD"/>
    <w:rsid w:val="007F0146"/>
    <w:rsid w:val="007F6C64"/>
    <w:rsid w:val="00801090"/>
    <w:rsid w:val="00806517"/>
    <w:rsid w:val="00814579"/>
    <w:rsid w:val="00832996"/>
    <w:rsid w:val="00832D38"/>
    <w:rsid w:val="00834ACA"/>
    <w:rsid w:val="008362F6"/>
    <w:rsid w:val="00836556"/>
    <w:rsid w:val="008366A3"/>
    <w:rsid w:val="00847050"/>
    <w:rsid w:val="00860B66"/>
    <w:rsid w:val="00862E63"/>
    <w:rsid w:val="00867F4A"/>
    <w:rsid w:val="008836D1"/>
    <w:rsid w:val="00892292"/>
    <w:rsid w:val="008B2E83"/>
    <w:rsid w:val="008C4F1C"/>
    <w:rsid w:val="008C5C0D"/>
    <w:rsid w:val="008C6117"/>
    <w:rsid w:val="008C64FE"/>
    <w:rsid w:val="008C6B9D"/>
    <w:rsid w:val="008D01CF"/>
    <w:rsid w:val="008D1A7E"/>
    <w:rsid w:val="008D5557"/>
    <w:rsid w:val="008F14C4"/>
    <w:rsid w:val="00900321"/>
    <w:rsid w:val="009054A8"/>
    <w:rsid w:val="0095647E"/>
    <w:rsid w:val="00957A91"/>
    <w:rsid w:val="00962C66"/>
    <w:rsid w:val="0096305B"/>
    <w:rsid w:val="00966603"/>
    <w:rsid w:val="00972247"/>
    <w:rsid w:val="00985E58"/>
    <w:rsid w:val="009970A0"/>
    <w:rsid w:val="009A4448"/>
    <w:rsid w:val="009A7614"/>
    <w:rsid w:val="009B3A86"/>
    <w:rsid w:val="009B6ACE"/>
    <w:rsid w:val="009D0E59"/>
    <w:rsid w:val="009D452E"/>
    <w:rsid w:val="009F16FF"/>
    <w:rsid w:val="00A03801"/>
    <w:rsid w:val="00A11221"/>
    <w:rsid w:val="00A1629F"/>
    <w:rsid w:val="00A16D13"/>
    <w:rsid w:val="00A23729"/>
    <w:rsid w:val="00A2448D"/>
    <w:rsid w:val="00A25290"/>
    <w:rsid w:val="00A41DBE"/>
    <w:rsid w:val="00A5136D"/>
    <w:rsid w:val="00A57638"/>
    <w:rsid w:val="00A60905"/>
    <w:rsid w:val="00A60E06"/>
    <w:rsid w:val="00A6283D"/>
    <w:rsid w:val="00A70D77"/>
    <w:rsid w:val="00A714E1"/>
    <w:rsid w:val="00A75F34"/>
    <w:rsid w:val="00A77CE7"/>
    <w:rsid w:val="00A81500"/>
    <w:rsid w:val="00A82202"/>
    <w:rsid w:val="00A87101"/>
    <w:rsid w:val="00A87145"/>
    <w:rsid w:val="00AB1B07"/>
    <w:rsid w:val="00AB659C"/>
    <w:rsid w:val="00AC0684"/>
    <w:rsid w:val="00AC2B29"/>
    <w:rsid w:val="00AC35AB"/>
    <w:rsid w:val="00AE64C1"/>
    <w:rsid w:val="00AF1ED4"/>
    <w:rsid w:val="00AF232A"/>
    <w:rsid w:val="00B061D3"/>
    <w:rsid w:val="00B0749D"/>
    <w:rsid w:val="00B15647"/>
    <w:rsid w:val="00B22F9F"/>
    <w:rsid w:val="00B27425"/>
    <w:rsid w:val="00B27675"/>
    <w:rsid w:val="00B32E0B"/>
    <w:rsid w:val="00B50074"/>
    <w:rsid w:val="00B561F3"/>
    <w:rsid w:val="00BA5C3F"/>
    <w:rsid w:val="00BA67F0"/>
    <w:rsid w:val="00BC5423"/>
    <w:rsid w:val="00BD021C"/>
    <w:rsid w:val="00BD0287"/>
    <w:rsid w:val="00BD2289"/>
    <w:rsid w:val="00BD55DB"/>
    <w:rsid w:val="00BD62F9"/>
    <w:rsid w:val="00BD70E8"/>
    <w:rsid w:val="00BD7AA1"/>
    <w:rsid w:val="00BD7C8B"/>
    <w:rsid w:val="00BF0C7F"/>
    <w:rsid w:val="00BF3D89"/>
    <w:rsid w:val="00BF4E15"/>
    <w:rsid w:val="00BF6983"/>
    <w:rsid w:val="00C01FCE"/>
    <w:rsid w:val="00C17806"/>
    <w:rsid w:val="00C2197D"/>
    <w:rsid w:val="00C27330"/>
    <w:rsid w:val="00C31FE0"/>
    <w:rsid w:val="00C323E9"/>
    <w:rsid w:val="00C33683"/>
    <w:rsid w:val="00C3498F"/>
    <w:rsid w:val="00C53C96"/>
    <w:rsid w:val="00C61821"/>
    <w:rsid w:val="00C6294A"/>
    <w:rsid w:val="00C6743D"/>
    <w:rsid w:val="00C67A8C"/>
    <w:rsid w:val="00C73D24"/>
    <w:rsid w:val="00C7593E"/>
    <w:rsid w:val="00C93B2D"/>
    <w:rsid w:val="00C95323"/>
    <w:rsid w:val="00C9656F"/>
    <w:rsid w:val="00CA17DC"/>
    <w:rsid w:val="00CB42F1"/>
    <w:rsid w:val="00CD6650"/>
    <w:rsid w:val="00CE3E56"/>
    <w:rsid w:val="00CE456A"/>
    <w:rsid w:val="00CE6C51"/>
    <w:rsid w:val="00D10F59"/>
    <w:rsid w:val="00D11CAA"/>
    <w:rsid w:val="00D21536"/>
    <w:rsid w:val="00D22CCB"/>
    <w:rsid w:val="00D22F83"/>
    <w:rsid w:val="00D4143D"/>
    <w:rsid w:val="00D46019"/>
    <w:rsid w:val="00D505AD"/>
    <w:rsid w:val="00D67788"/>
    <w:rsid w:val="00D70A54"/>
    <w:rsid w:val="00D82474"/>
    <w:rsid w:val="00D874AA"/>
    <w:rsid w:val="00D9318E"/>
    <w:rsid w:val="00D942C8"/>
    <w:rsid w:val="00DB3BF5"/>
    <w:rsid w:val="00DF200F"/>
    <w:rsid w:val="00E15940"/>
    <w:rsid w:val="00E203CD"/>
    <w:rsid w:val="00E318E3"/>
    <w:rsid w:val="00E34D65"/>
    <w:rsid w:val="00E35DE7"/>
    <w:rsid w:val="00E41FED"/>
    <w:rsid w:val="00E42DF6"/>
    <w:rsid w:val="00E63AC3"/>
    <w:rsid w:val="00E70840"/>
    <w:rsid w:val="00E830F0"/>
    <w:rsid w:val="00E84BA9"/>
    <w:rsid w:val="00E97570"/>
    <w:rsid w:val="00EA1757"/>
    <w:rsid w:val="00EC3EE8"/>
    <w:rsid w:val="00EE0D34"/>
    <w:rsid w:val="00EE297E"/>
    <w:rsid w:val="00EE5B09"/>
    <w:rsid w:val="00EE6B92"/>
    <w:rsid w:val="00F30BA1"/>
    <w:rsid w:val="00F30BDA"/>
    <w:rsid w:val="00F34959"/>
    <w:rsid w:val="00F453FE"/>
    <w:rsid w:val="00F51AA7"/>
    <w:rsid w:val="00F56C76"/>
    <w:rsid w:val="00F6733A"/>
    <w:rsid w:val="00F74FA6"/>
    <w:rsid w:val="00F81727"/>
    <w:rsid w:val="00FB1BE1"/>
    <w:rsid w:val="00FB728F"/>
    <w:rsid w:val="00FC09D2"/>
    <w:rsid w:val="00FC198C"/>
    <w:rsid w:val="00FD344F"/>
    <w:rsid w:val="00FD40DF"/>
    <w:rsid w:val="00FE54CA"/>
    <w:rsid w:val="00FE5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o,o + Links,! Q"/>
    <w:basedOn w:val="Normal"/>
    <w:next w:val="NormalText"/>
    <w:uiPriority w:val="35"/>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w:basedOn w:val="DefaultParagraphFont"/>
    <w:link w:val="FootnoteText"/>
    <w:uiPriority w:val="99"/>
    <w:rsid w:val="00204739"/>
    <w:rPr>
      <w:rFonts w:ascii="Arial" w:hAnsi="Arial" w:cs="Arial"/>
      <w:spacing w:val="6"/>
      <w:kern w:val="20"/>
      <w:sz w:val="16"/>
      <w:u w:color="000000"/>
      <w:lang w:eastAsia="en-US"/>
    </w:rPr>
  </w:style>
  <w:style w:type="paragraph" w:customStyle="1" w:styleId="BODYTEXT">
    <w:name w:val="BODYTEXT"/>
    <w:link w:val="BODYTEXTChar"/>
    <w:rsid w:val="00204739"/>
    <w:rPr>
      <w:sz w:val="24"/>
      <w:lang w:eastAsia="en-US"/>
    </w:rPr>
  </w:style>
  <w:style w:type="paragraph" w:customStyle="1" w:styleId="MRLTableHeading">
    <w:name w:val="MRL Table Heading"/>
    <w:basedOn w:val="Normal"/>
    <w:rsid w:val="00204739"/>
    <w:pPr>
      <w:spacing w:before="60" w:after="60" w:line="240" w:lineRule="auto"/>
    </w:pPr>
    <w:rPr>
      <w:rFonts w:ascii="Times New Roman" w:hAnsi="Times New Roman"/>
      <w:b/>
      <w:sz w:val="22"/>
    </w:rPr>
  </w:style>
  <w:style w:type="character" w:customStyle="1" w:styleId="BODYTEXTChar">
    <w:name w:val="BODYTEXT Char"/>
    <w:basedOn w:val="DefaultParagraphFont"/>
    <w:link w:val="BODYTEXT"/>
    <w:rsid w:val="00204739"/>
    <w:rPr>
      <w:sz w:val="24"/>
      <w:lang w:eastAsia="en-US"/>
    </w:rPr>
  </w:style>
  <w:style w:type="paragraph" w:styleId="ListParagraph">
    <w:name w:val="List Paragraph"/>
    <w:basedOn w:val="Normal"/>
    <w:uiPriority w:val="34"/>
    <w:qFormat/>
    <w:rsid w:val="00BF3D89"/>
    <w:pPr>
      <w:spacing w:after="120" w:line="240" w:lineRule="auto"/>
      <w:ind w:left="720"/>
      <w:contextualSpacing/>
    </w:pPr>
    <w:rPr>
      <w:rFonts w:ascii="Times New Roman" w:hAnsi="Times New Roman"/>
      <w:sz w:val="24"/>
    </w:rPr>
  </w:style>
  <w:style w:type="character" w:styleId="UnresolvedMention">
    <w:name w:val="Unresolved Mention"/>
    <w:basedOn w:val="DefaultParagraphFont"/>
    <w:uiPriority w:val="99"/>
    <w:semiHidden/>
    <w:unhideWhenUsed/>
    <w:rsid w:val="00607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7673">
      <w:bodyDiv w:val="1"/>
      <w:marLeft w:val="0"/>
      <w:marRight w:val="0"/>
      <w:marTop w:val="0"/>
      <w:marBottom w:val="0"/>
      <w:divBdr>
        <w:top w:val="none" w:sz="0" w:space="0" w:color="auto"/>
        <w:left w:val="none" w:sz="0" w:space="0" w:color="auto"/>
        <w:bottom w:val="none" w:sz="0" w:space="0" w:color="auto"/>
        <w:right w:val="none" w:sz="0" w:space="0" w:color="auto"/>
      </w:divBdr>
    </w:div>
    <w:div w:id="12188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image" Target="media/image6.png" Id="rId29"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image" Target="media/image5.emf"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header" Target="header8.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6.xml" Id="rId27" /><Relationship Type="http://schemas.openxmlformats.org/officeDocument/2006/relationships/header" Target="header7.xml" Id="rId30" /><Relationship Type="http://schemas.openxmlformats.org/officeDocument/2006/relationships/endnotes" Target="endnotes.xml" Id="rId8" /><Relationship Type="http://schemas.openxmlformats.org/officeDocument/2006/relationships/customXml" Target="/customXML/item3.xml" Id="R22245b696b5b4b6d" /></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40/chapter-I/subchapter-E/part-180" TargetMode="External"/><Relationship Id="rId3" Type="http://schemas.openxmlformats.org/officeDocument/2006/relationships/hyperlink" Target="https://www.fao.org/fao-who-codexalimentarius/codex-texts/dbs/pestres/pesticides/en/" TargetMode="External"/><Relationship Id="rId7" Type="http://schemas.openxmlformats.org/officeDocument/2006/relationships/hyperlink" Target="https://consumer.fda.gov.tw/Law/Detail.aspx?nodeID=518&amp;lang=1&amp;lawid=127" TargetMode="External"/><Relationship Id="rId2" Type="http://schemas.openxmlformats.org/officeDocument/2006/relationships/hyperlink" Target="https://wits.worldbank.org/trade/comtrade/en/country/AUS/year/2023/tradeflow/Exports/partner/ALL/product/120720" TargetMode="External"/><Relationship Id="rId1" Type="http://schemas.openxmlformats.org/officeDocument/2006/relationships/hyperlink" Target="https://www.agriculture.gov.au/abares/research-topics/agricultural-outlook/data" TargetMode="External"/><Relationship Id="rId6" Type="http://schemas.openxmlformats.org/officeDocument/2006/relationships/hyperlink" Target="http://www.foodsafetykorea.go.kr/residue/prd/info/list.do?menuKey=1&amp;subMenuKey=9" TargetMode="External"/><Relationship Id="rId5" Type="http://schemas.openxmlformats.org/officeDocument/2006/relationships/hyperlink" Target="https://jpn-pesticides-database.jp/prdb/en/index_en.pl" TargetMode="External"/><Relationship Id="rId4" Type="http://schemas.openxmlformats.org/officeDocument/2006/relationships/hyperlink" Target="https://ec.europa.eu/food/plant/pesticides/eu-pesticides-database/start/screen/mrls/search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A3393096</value>
    </field>
    <field name="Objective-Title">
      <value order="0">Trade Advice Notice for use of Merivon Fungicide (pyraclostrobin and fluxapyroxad) on cotton</value>
    </field>
    <field name="Objective-Description">
      <value order="0"/>
    </field>
    <field name="Objective-CreationStamp">
      <value order="0">2024-10-30T20:04:52Z</value>
    </field>
    <field name="Objective-IsApproved">
      <value order="0">false</value>
    </field>
    <field name="Objective-IsPublished">
      <value order="0">false</value>
    </field>
    <field name="Objective-DatePublished">
      <value order="0"/>
    </field>
    <field name="Objective-ModificationStamp">
      <value order="0">2024-11-11T06:14:52Z</value>
    </field>
    <field name="Objective-Owner">
      <value order="0">Sameer Tiwari</value>
    </field>
    <field name="Objective-Path">
      <value order="0">APVMA:SCIENTIFIC ASSESSMENT:Scientific Assessment - Residues and Trade:Scientific Assessment - Residues and Trade - Evaluations:Scientific Assessment - Residues and Trade - Evaluations - K-R:SA - R&amp;T - Evaluations - Pyraclostrobin:3.Residues - Pyraclostrobin - fluxapyroxad - cotton - 95142 -144790</value>
    </field>
    <field name="Objective-Parent">
      <value order="0">3.Residues - Pyraclostrobin - fluxapyroxad - cotton - 95142 -144790</value>
    </field>
    <field name="Objective-State">
      <value order="0">Being Drafted</value>
    </field>
    <field name="Objective-VersionId">
      <value order="0">vA5090630</value>
    </field>
    <field name="Objective-Version">
      <value order="0">0.12</value>
    </field>
    <field name="Objective-VersionNumber">
      <value order="0">12</value>
    </field>
    <field name="Objective-VersionComment">
      <value order="0"/>
    </field>
    <field name="Objective-FileNumber">
      <value order="0">2024\5317</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2008</TotalTime>
  <Pages>15</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Trade Advice Notice on mefentrifluconazole in the product Belanty Fungicide for use on cotton</vt:lpstr>
    </vt:vector>
  </TitlesOfParts>
  <Manager/>
  <Company>Australian Pesticides and Veterinary Medicines Authority</Company>
  <LinksUpToDate>false</LinksUpToDate>
  <CharactersWithSpaces>16594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mefentrifluconazole in the product Belanty Fungicide for use on cotton</dc:title>
  <dc:subject/>
  <dc:creator>APVMA</dc:creator>
  <cp:keywords/>
  <dc:description/>
  <cp:lastModifiedBy>WARDLE, Jocelyn</cp:lastModifiedBy>
  <cp:revision>28</cp:revision>
  <cp:lastPrinted>2019-04-25T12:55:00Z</cp:lastPrinted>
  <dcterms:created xsi:type="dcterms:W3CDTF">2024-10-22T22:07:00Z</dcterms:created>
  <dcterms:modified xsi:type="dcterms:W3CDTF">2024-11-11T05:53:00Z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A3393096</vt:lpwstr>
  </property>
  <property fmtid="{D5CDD505-2E9C-101B-9397-08002B2CF9AE}" pid="4" name="Objective-Title">
    <vt:lpwstr>Trade Advice Notice for use of Merivon Fungicide (pyraclostrobin and fluxapyroxad) on cotton</vt:lpwstr>
  </property>
  <property fmtid="{D5CDD505-2E9C-101B-9397-08002B2CF9AE}" pid="5" name="Objective-Comment">
    <vt:lpwstr/>
  </property>
  <property fmtid="{D5CDD505-2E9C-101B-9397-08002B2CF9AE}" pid="6" name="Objective-CreationStamp">
    <vt:filetime>2024-10-30T20:04:52Z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2024-11-11T06:14:52Z</vt:filetime>
  </property>
  <property fmtid="{D5CDD505-2E9C-101B-9397-08002B2CF9AE}" pid="11" name="Objective-Owner">
    <vt:lpwstr>Sameer Tiwari</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Pyraclostrobin:3.Residues - Pyraclostrobin - fluxapyroxad - cotton - 95142 -144790:</vt:lpwstr>
  </property>
  <property fmtid="{D5CDD505-2E9C-101B-9397-08002B2CF9AE}" pid="13" name="Objective-Parent">
    <vt:lpwstr>3.Residues - Pyraclostrobin - fluxapyroxad - cotton - 95142 -144790</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vA5090630</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