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AF71C" w14:textId="77777777" w:rsidR="002F4591" w:rsidRDefault="002F4591" w:rsidP="002C1082">
      <w:pPr>
        <w:pStyle w:val="CoverTitle"/>
        <w:spacing w:before="1440"/>
        <w:jc w:val="center"/>
      </w:pPr>
      <w:bookmarkStart w:id="0" w:name="_Toc168724484"/>
      <w:r w:rsidRPr="005D1A47">
        <w:rPr>
          <w:noProof/>
        </w:rPr>
        <w:drawing>
          <wp:inline distT="0" distB="0" distL="0" distR="0" wp14:anchorId="404176CA" wp14:editId="6F57E22C">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FF6999C" w14:textId="77777777" w:rsidR="002F4591" w:rsidRDefault="00193533" w:rsidP="00C9656F">
      <w:pPr>
        <w:pStyle w:val="CoverTitle"/>
        <w:spacing w:before="6000"/>
        <w:jc w:val="center"/>
      </w:pPr>
      <w:r w:rsidRPr="005D1A47">
        <w:rPr>
          <w:i/>
          <w:noProof/>
          <w:sz w:val="28"/>
          <w:szCs w:val="28"/>
          <w:lang w:eastAsia="en-AU"/>
        </w:rPr>
        <w:drawing>
          <wp:inline distT="0" distB="0" distL="0" distR="0" wp14:anchorId="31562B75" wp14:editId="51CE02C4">
            <wp:extent cx="2752725" cy="2507056"/>
            <wp:effectExtent l="0" t="0" r="0" b="7620"/>
            <wp:docPr id="13" name="Picture 1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10">
                      <a:extLst>
                        <a:ext uri="{28A0092B-C50C-407E-A947-70E740481C1C}">
                          <a14:useLocalDpi xmlns:a14="http://schemas.microsoft.com/office/drawing/2010/main" val="0"/>
                        </a:ext>
                      </a:extLst>
                    </a:blip>
                    <a:stretch>
                      <a:fillRect/>
                    </a:stretch>
                  </pic:blipFill>
                  <pic:spPr>
                    <a:xfrm>
                      <a:off x="0" y="0"/>
                      <a:ext cx="2752725" cy="2507056"/>
                    </a:xfrm>
                    <a:prstGeom prst="rect">
                      <a:avLst/>
                    </a:prstGeom>
                  </pic:spPr>
                </pic:pic>
              </a:graphicData>
            </a:graphic>
          </wp:inline>
        </w:drawing>
      </w:r>
    </w:p>
    <w:p w14:paraId="026F9E23" w14:textId="50AB7D49" w:rsidR="00193533" w:rsidRPr="00193533" w:rsidRDefault="007772C2" w:rsidP="002F4591">
      <w:pPr>
        <w:pStyle w:val="CoverTitle"/>
        <w:spacing w:before="2640"/>
        <w:jc w:val="center"/>
      </w:pPr>
      <w:r>
        <w:t xml:space="preserve">Draft </w:t>
      </w:r>
      <w:r w:rsidR="008432B4">
        <w:t xml:space="preserve">– </w:t>
      </w:r>
      <w:r w:rsidR="004F0EAA">
        <w:t xml:space="preserve">Guideline for the evaluation of the efficacy of </w:t>
      </w:r>
      <w:r w:rsidR="008368AD">
        <w:br/>
      </w:r>
      <w:r w:rsidR="004F0EAA">
        <w:t>non-steroidal anti-inflammatory drugs (NSAIDs), with respect to anti-inflammatory, analgesic and anti-pyretic effects</w:t>
      </w:r>
    </w:p>
    <w:p w14:paraId="0F125B7E" w14:textId="26485574" w:rsidR="003C0891" w:rsidRDefault="003C0891" w:rsidP="00193533">
      <w:pPr>
        <w:pStyle w:val="CoverSubtitle"/>
        <w:jc w:val="center"/>
      </w:pPr>
      <w:r w:rsidRPr="0008350E">
        <w:t>Public</w:t>
      </w:r>
      <w:r w:rsidR="007772C2">
        <w:t xml:space="preserve"> Consultation</w:t>
      </w:r>
    </w:p>
    <w:p w14:paraId="4E4C9BC9" w14:textId="424AF631" w:rsidR="00193533" w:rsidRPr="00E41FED" w:rsidRDefault="007772C2" w:rsidP="008B550C">
      <w:pPr>
        <w:pStyle w:val="Coverdate"/>
        <w:sectPr w:rsidR="00193533" w:rsidRPr="00E41FED" w:rsidSect="008C5C0D">
          <w:pgSz w:w="11906" w:h="16838" w:code="9"/>
          <w:pgMar w:top="2127" w:right="1134" w:bottom="1134" w:left="1134" w:header="1701" w:footer="450" w:gutter="0"/>
          <w:pgNumType w:fmt="lowerRoman"/>
          <w:cols w:space="708"/>
          <w:docGrid w:linePitch="360"/>
        </w:sectPr>
      </w:pPr>
      <w:r>
        <w:t>November 2024</w:t>
      </w:r>
    </w:p>
    <w:p w14:paraId="6C014289" w14:textId="536647CC" w:rsidR="00862E63" w:rsidRPr="005C0ACC" w:rsidRDefault="00862E63" w:rsidP="008B550C">
      <w:pPr>
        <w:rPr>
          <w:lang w:eastAsia="en-AU"/>
        </w:rPr>
      </w:pPr>
      <w:r w:rsidRPr="005C0ACC">
        <w:rPr>
          <w:lang w:eastAsia="en-AU"/>
        </w:rPr>
        <w:lastRenderedPageBreak/>
        <w:t xml:space="preserve">© Australian Pesticides and Veterinary Medicines Authority </w:t>
      </w:r>
      <w:r w:rsidR="007772C2" w:rsidRPr="00072698">
        <w:rPr>
          <w:rFonts w:cs="Arial"/>
          <w:color w:val="auto"/>
          <w:szCs w:val="16"/>
          <w:lang w:eastAsia="en-AU"/>
        </w:rPr>
        <w:t>2024</w:t>
      </w:r>
    </w:p>
    <w:p w14:paraId="12842460" w14:textId="77777777" w:rsidR="00862E63" w:rsidRPr="005C0ACC" w:rsidRDefault="00862E63" w:rsidP="008B550C">
      <w:pPr>
        <w:rPr>
          <w:b/>
          <w:bCs/>
          <w:lang w:eastAsia="en-AU"/>
        </w:rPr>
      </w:pPr>
      <w:r w:rsidRPr="005C0ACC">
        <w:rPr>
          <w:b/>
          <w:bCs/>
          <w:lang w:eastAsia="en-AU"/>
        </w:rPr>
        <w:t>Ownership of intellectual property rights in this publication</w:t>
      </w:r>
    </w:p>
    <w:p w14:paraId="72742BFF" w14:textId="77777777" w:rsidR="00862E63" w:rsidRPr="005C0ACC" w:rsidRDefault="00862E63" w:rsidP="008B550C">
      <w:pPr>
        <w:rPr>
          <w:lang w:eastAsia="en-AU"/>
        </w:rPr>
      </w:pPr>
      <w:r w:rsidRPr="005C0ACC">
        <w:rPr>
          <w:lang w:eastAsia="en-AU"/>
        </w:rPr>
        <w:t>Unless otherwise noted, copyright (and any other intellectual property rights, if any) in this publication is owned by the Australian Pesticides and Veterinary Medicines Authority (APVMA).</w:t>
      </w:r>
    </w:p>
    <w:p w14:paraId="6DC8CD85" w14:textId="77777777" w:rsidR="008366A3" w:rsidRPr="005C0ACC" w:rsidRDefault="008366A3" w:rsidP="008B550C">
      <w:pPr>
        <w:rPr>
          <w:b/>
          <w:bCs/>
          <w:lang w:eastAsia="en-AU"/>
        </w:rPr>
      </w:pPr>
      <w:r w:rsidRPr="005C0ACC">
        <w:rPr>
          <w:b/>
          <w:bCs/>
          <w:lang w:eastAsia="en-AU"/>
        </w:rPr>
        <w:t>Creative Commons licence</w:t>
      </w:r>
    </w:p>
    <w:p w14:paraId="4B815922" w14:textId="77777777" w:rsidR="002F4591" w:rsidRDefault="008366A3" w:rsidP="008B550C">
      <w:pPr>
        <w:rPr>
          <w:lang w:eastAsia="en-AU"/>
        </w:rPr>
      </w:pPr>
      <w:proofErr w:type="gramStart"/>
      <w:r w:rsidRPr="005C0ACC">
        <w:rPr>
          <w:lang w:eastAsia="en-AU"/>
        </w:rPr>
        <w:t>With the exception of</w:t>
      </w:r>
      <w:proofErr w:type="gramEnd"/>
      <w:r w:rsidRPr="005C0ACC">
        <w:rPr>
          <w:lang w:eastAsia="en-AU"/>
        </w:rPr>
        <w:t xml:space="preserve"> the Coat of Arms and other elements specifically identified, this publication is licensed under a Creative Commons Attribution </w:t>
      </w:r>
      <w:r>
        <w:rPr>
          <w:lang w:eastAsia="en-AU"/>
        </w:rPr>
        <w:t>4</w:t>
      </w:r>
      <w:r w:rsidRPr="005C0ACC">
        <w:rPr>
          <w:lang w:eastAsia="en-AU"/>
        </w:rPr>
        <w:t xml:space="preserve">.0 Licence. This is a standard form agreement that allows you to copy, distribute, transmit and adapt this publication </w:t>
      </w:r>
      <w:proofErr w:type="gramStart"/>
      <w:r w:rsidRPr="005C0ACC">
        <w:rPr>
          <w:lang w:eastAsia="en-AU"/>
        </w:rPr>
        <w:t>provided that</w:t>
      </w:r>
      <w:proofErr w:type="gramEnd"/>
      <w:r w:rsidRPr="005C0ACC">
        <w:rPr>
          <w:lang w:eastAsia="en-AU"/>
        </w:rPr>
        <w:t xml:space="preserve"> you attribute the work.</w:t>
      </w:r>
    </w:p>
    <w:p w14:paraId="3C4543E5" w14:textId="77777777" w:rsidR="002F4591" w:rsidRDefault="002F4591" w:rsidP="008B550C">
      <w:pPr>
        <w:autoSpaceDE w:val="0"/>
        <w:autoSpaceDN w:val="0"/>
        <w:adjustRightInd w:val="0"/>
        <w:spacing w:after="240"/>
        <w:ind w:left="-284" w:right="-329" w:firstLine="284"/>
        <w:rPr>
          <w:rFonts w:cs="Arial"/>
          <w:szCs w:val="16"/>
          <w:lang w:eastAsia="en-AU"/>
        </w:rPr>
      </w:pPr>
      <w:r w:rsidRPr="005C0ACC">
        <w:rPr>
          <w:rFonts w:ascii="Times New Roman" w:hAnsi="Times New Roman"/>
          <w:noProof/>
          <w:szCs w:val="16"/>
          <w:lang w:eastAsia="en-AU"/>
        </w:rPr>
        <w:drawing>
          <wp:inline distT="0" distB="0" distL="0" distR="0" wp14:anchorId="674CFC2E" wp14:editId="0F736EE5">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szCs w:val="16"/>
          <w:lang w:eastAsia="en-AU"/>
        </w:rPr>
        <w:drawing>
          <wp:inline distT="0" distB="0" distL="0" distR="0" wp14:anchorId="5A71F62C" wp14:editId="60FDCB8D">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484A7A2A" w14:textId="7EE2DB4D" w:rsidR="008366A3" w:rsidRPr="005C0ACC" w:rsidRDefault="008366A3" w:rsidP="008B550C">
      <w:pPr>
        <w:rPr>
          <w:rFonts w:cs="Arial"/>
          <w:szCs w:val="16"/>
          <w:lang w:eastAsia="en-AU"/>
        </w:rPr>
      </w:pPr>
      <w:r w:rsidRPr="005C0ACC">
        <w:rPr>
          <w:rFonts w:cs="Arial"/>
          <w:szCs w:val="16"/>
          <w:lang w:eastAsia="en-AU"/>
        </w:rPr>
        <w:t xml:space="preserve">A </w:t>
      </w:r>
      <w:hyperlink r:id="rId13" w:history="1">
        <w:r w:rsidRPr="008545E1">
          <w:rPr>
            <w:rStyle w:val="Hyperlink"/>
            <w:rFonts w:cs="Arial"/>
            <w:szCs w:val="16"/>
            <w:lang w:eastAsia="en-AU"/>
          </w:rPr>
          <w:t>summary of</w:t>
        </w:r>
        <w:r w:rsidR="008545E1" w:rsidRPr="008545E1">
          <w:rPr>
            <w:rStyle w:val="Hyperlink"/>
            <w:rFonts w:cs="Arial"/>
            <w:szCs w:val="16"/>
            <w:lang w:eastAsia="en-AU"/>
          </w:rPr>
          <w:t xml:space="preserve"> the licence terms</w:t>
        </w:r>
      </w:hyperlink>
      <w:r w:rsidR="008545E1">
        <w:rPr>
          <w:rFonts w:cs="Arial"/>
          <w:szCs w:val="16"/>
          <w:lang w:eastAsia="en-AU"/>
        </w:rPr>
        <w:t xml:space="preserve"> and </w:t>
      </w:r>
      <w:hyperlink r:id="rId14" w:history="1">
        <w:r w:rsidR="008545E1" w:rsidRPr="008545E1">
          <w:rPr>
            <w:rStyle w:val="Hyperlink"/>
            <w:rFonts w:cs="Arial"/>
            <w:szCs w:val="16"/>
            <w:lang w:eastAsia="en-AU"/>
          </w:rPr>
          <w:t>full</w:t>
        </w:r>
        <w:r w:rsidRPr="008545E1">
          <w:rPr>
            <w:rStyle w:val="Hyperlink"/>
            <w:rFonts w:cs="Arial"/>
            <w:szCs w:val="16"/>
            <w:lang w:eastAsia="en-AU"/>
          </w:rPr>
          <w:t xml:space="preserve"> licence terms</w:t>
        </w:r>
      </w:hyperlink>
      <w:r w:rsidR="008545E1">
        <w:rPr>
          <w:rFonts w:cs="Arial"/>
          <w:szCs w:val="16"/>
          <w:lang w:eastAsia="en-AU"/>
        </w:rPr>
        <w:t xml:space="preserve"> are</w:t>
      </w:r>
      <w:r w:rsidRPr="005C0ACC">
        <w:rPr>
          <w:rFonts w:cs="Arial"/>
          <w:szCs w:val="16"/>
          <w:lang w:eastAsia="en-AU"/>
        </w:rPr>
        <w:t xml:space="preserve"> available from</w:t>
      </w:r>
      <w:r w:rsidR="008545E1">
        <w:rPr>
          <w:rFonts w:cs="Arial"/>
          <w:szCs w:val="16"/>
          <w:lang w:eastAsia="en-AU"/>
        </w:rPr>
        <w:t xml:space="preserve"> Creative Commons.</w:t>
      </w:r>
    </w:p>
    <w:p w14:paraId="6C3D6C28" w14:textId="77777777" w:rsidR="008366A3" w:rsidRPr="005C0ACC" w:rsidRDefault="008366A3" w:rsidP="008B550C">
      <w:pPr>
        <w:rPr>
          <w:rFonts w:cs="Arial"/>
          <w:i/>
          <w:iCs/>
          <w:szCs w:val="16"/>
          <w:lang w:eastAsia="en-AU"/>
        </w:rPr>
      </w:pPr>
      <w:r w:rsidRPr="005C0ACC">
        <w:rPr>
          <w:rFonts w:cs="Arial"/>
          <w:szCs w:val="16"/>
          <w:lang w:eastAsia="en-AU"/>
        </w:rPr>
        <w:t>The APVMA’s preference is that you attribute this publication (and any approved material sourced from it) using the following wording:</w:t>
      </w:r>
    </w:p>
    <w:p w14:paraId="0B6B1EA4" w14:textId="0AE10597" w:rsidR="008366A3" w:rsidRPr="005C0ACC" w:rsidRDefault="008366A3" w:rsidP="008B550C">
      <w:pPr>
        <w:rPr>
          <w:rFonts w:cs="Arial"/>
          <w:i/>
          <w:iCs/>
          <w:szCs w:val="16"/>
          <w:lang w:eastAsia="en-AU"/>
        </w:rPr>
      </w:pPr>
      <w:r w:rsidRPr="005C0ACC">
        <w:rPr>
          <w:rFonts w:cs="Arial"/>
          <w:i/>
          <w:iCs/>
          <w:szCs w:val="16"/>
          <w:lang w:eastAsia="en-AU"/>
        </w:rPr>
        <w:t xml:space="preserve">Source: Licensed from the Australian Pesticides and Veterinary Medicines Authority (APVMA) under a Creative Commons Attribution </w:t>
      </w:r>
      <w:r>
        <w:rPr>
          <w:rFonts w:cs="Arial"/>
          <w:i/>
          <w:iCs/>
          <w:szCs w:val="16"/>
          <w:lang w:eastAsia="en-AU"/>
        </w:rPr>
        <w:t>4</w:t>
      </w:r>
      <w:r w:rsidRPr="005C0ACC">
        <w:rPr>
          <w:rFonts w:cs="Arial"/>
          <w:i/>
          <w:iCs/>
          <w:szCs w:val="16"/>
          <w:lang w:eastAsia="en-AU"/>
        </w:rPr>
        <w:t>.0 Australia Licence.</w:t>
      </w:r>
      <w:r w:rsidR="008B550C">
        <w:rPr>
          <w:rFonts w:cs="Arial"/>
          <w:i/>
          <w:iCs/>
          <w:szCs w:val="16"/>
          <w:lang w:eastAsia="en-AU"/>
        </w:rPr>
        <w:t xml:space="preserve"> </w:t>
      </w:r>
      <w:r w:rsidR="008B550C" w:rsidRPr="008B550C">
        <w:rPr>
          <w:rFonts w:cs="Arial"/>
          <w:i/>
          <w:iCs/>
          <w:szCs w:val="16"/>
          <w:lang w:eastAsia="en-AU"/>
        </w:rPr>
        <w:t>The APVMA does not necessarily endorse the content of this publication.</w:t>
      </w:r>
    </w:p>
    <w:p w14:paraId="27832078" w14:textId="77777777" w:rsidR="008366A3" w:rsidRPr="005C0ACC" w:rsidRDefault="008366A3" w:rsidP="008B550C">
      <w:pPr>
        <w:rPr>
          <w:rFonts w:cs="Arial"/>
          <w:szCs w:val="16"/>
          <w:lang w:eastAsia="en-AU"/>
        </w:rPr>
      </w:pPr>
      <w:r w:rsidRPr="005C0ACC">
        <w:rPr>
          <w:rFonts w:cs="Arial"/>
          <w:szCs w:val="16"/>
          <w:lang w:eastAsia="en-AU"/>
        </w:rPr>
        <w:t xml:space="preserve">In referencing this </w:t>
      </w:r>
      <w:proofErr w:type="gramStart"/>
      <w:r w:rsidRPr="005C0ACC">
        <w:rPr>
          <w:rFonts w:cs="Arial"/>
          <w:szCs w:val="16"/>
          <w:lang w:eastAsia="en-AU"/>
        </w:rPr>
        <w:t>document</w:t>
      </w:r>
      <w:proofErr w:type="gramEnd"/>
      <w:r w:rsidRPr="005C0ACC">
        <w:rPr>
          <w:rFonts w:cs="Arial"/>
          <w:szCs w:val="16"/>
          <w:lang w:eastAsia="en-AU"/>
        </w:rPr>
        <w:t xml:space="preserve"> the Australian Pesticides and Veterinary Medicines Authority should be cited as the author, publisher and copyright owner.</w:t>
      </w:r>
    </w:p>
    <w:p w14:paraId="1CDB5F1A" w14:textId="77777777" w:rsidR="00862E63" w:rsidRPr="005C0ACC" w:rsidRDefault="00862E63" w:rsidP="008B550C">
      <w:pPr>
        <w:rPr>
          <w:rFonts w:cs="Arial"/>
          <w:b/>
          <w:bCs/>
          <w:szCs w:val="16"/>
          <w:lang w:eastAsia="en-AU"/>
        </w:rPr>
      </w:pPr>
      <w:r w:rsidRPr="005C0ACC">
        <w:rPr>
          <w:rFonts w:cs="Arial"/>
          <w:b/>
          <w:bCs/>
          <w:szCs w:val="16"/>
          <w:lang w:eastAsia="en-AU"/>
        </w:rPr>
        <w:t>Use of the Coat of Arms</w:t>
      </w:r>
    </w:p>
    <w:p w14:paraId="26DC34CD" w14:textId="5421AA35" w:rsidR="00862E63" w:rsidRPr="005C0ACC" w:rsidRDefault="00862E63" w:rsidP="008B550C">
      <w:pPr>
        <w:rPr>
          <w:rFonts w:cs="Arial"/>
          <w:szCs w:val="16"/>
          <w:lang w:eastAsia="en-AU"/>
        </w:rPr>
      </w:pPr>
      <w:r w:rsidRPr="005C0ACC">
        <w:rPr>
          <w:rFonts w:cs="Arial"/>
          <w:szCs w:val="16"/>
          <w:lang w:eastAsia="en-AU"/>
        </w:rPr>
        <w:t xml:space="preserve">The terms under which the Coat of Arms can be used are set out on the </w:t>
      </w:r>
      <w:hyperlink r:id="rId15" w:history="1">
        <w:r w:rsidRPr="008545E1">
          <w:rPr>
            <w:rStyle w:val="Hyperlink"/>
            <w:rFonts w:cs="Arial"/>
            <w:szCs w:val="16"/>
            <w:lang w:eastAsia="en-AU"/>
          </w:rPr>
          <w:t xml:space="preserve">Department of the Prime Minister and </w:t>
        </w:r>
        <w:r w:rsidR="008545E1" w:rsidRPr="008545E1">
          <w:rPr>
            <w:rStyle w:val="Hyperlink"/>
            <w:rFonts w:cs="Arial"/>
            <w:szCs w:val="16"/>
            <w:lang w:eastAsia="en-AU"/>
          </w:rPr>
          <w:t>Cabinet website</w:t>
        </w:r>
      </w:hyperlink>
      <w:r w:rsidRPr="005C0ACC">
        <w:rPr>
          <w:rFonts w:cs="Arial"/>
          <w:szCs w:val="16"/>
          <w:lang w:eastAsia="en-AU"/>
        </w:rPr>
        <w:t>.</w:t>
      </w:r>
    </w:p>
    <w:p w14:paraId="4DA908DF" w14:textId="77777777" w:rsidR="00862E63" w:rsidRPr="005C0ACC" w:rsidRDefault="00862E63" w:rsidP="008B550C">
      <w:pPr>
        <w:rPr>
          <w:rFonts w:cs="Arial"/>
          <w:b/>
          <w:bCs/>
          <w:szCs w:val="16"/>
          <w:lang w:eastAsia="en-AU"/>
        </w:rPr>
      </w:pPr>
      <w:r w:rsidRPr="005C0ACC">
        <w:rPr>
          <w:rFonts w:cs="Arial"/>
          <w:b/>
          <w:bCs/>
          <w:szCs w:val="16"/>
          <w:lang w:eastAsia="en-AU"/>
        </w:rPr>
        <w:t>Disclaimer</w:t>
      </w:r>
    </w:p>
    <w:p w14:paraId="68C62A87" w14:textId="77777777" w:rsidR="00862E63" w:rsidRPr="009A7614" w:rsidRDefault="00862E63" w:rsidP="008B550C">
      <w:pPr>
        <w:rPr>
          <w:lang w:eastAsia="en-AU"/>
        </w:rPr>
      </w:pPr>
      <w:r w:rsidRPr="005C0ACC">
        <w:rPr>
          <w:lang w:eastAsia="en-AU"/>
        </w:rPr>
        <w:t xml:space="preserve">The material in or linking from this report may contain the views or recommendations of third parties. Third party material does not necessarily reflect the views of the </w:t>
      </w:r>
      <w:proofErr w:type="gramStart"/>
      <w:r w:rsidRPr="005C0ACC">
        <w:rPr>
          <w:lang w:eastAsia="en-AU"/>
        </w:rPr>
        <w:t>APVMA, or</w:t>
      </w:r>
      <w:proofErr w:type="gramEnd"/>
      <w:r w:rsidRPr="005C0ACC">
        <w:rPr>
          <w:lang w:eastAsia="en-AU"/>
        </w:rPr>
        <w:t xml:space="preserve"> indicate a commitment to</w:t>
      </w:r>
      <w:r w:rsidR="009A7614">
        <w:rPr>
          <w:lang w:eastAsia="en-AU"/>
        </w:rPr>
        <w:t xml:space="preserve"> a particular course of action. </w:t>
      </w:r>
      <w:r w:rsidRPr="005C0ACC">
        <w:rPr>
          <w:bCs/>
          <w:lang w:eastAsia="en-AU"/>
        </w:rPr>
        <w:t>There may be links in this document that will transfer you to external websites. The APVMA does not have responsibility for these websites, nor does linking to or from this document constitute any form of endorsement.</w:t>
      </w:r>
      <w:r w:rsidR="009A7614">
        <w:rPr>
          <w:lang w:eastAsia="en-AU"/>
        </w:rPr>
        <w:t xml:space="preserve"> </w:t>
      </w:r>
      <w:r w:rsidRPr="005C0ACC">
        <w:rPr>
          <w:bCs/>
          <w:lang w:eastAsia="en-AU"/>
        </w:rPr>
        <w:t>The APVMA is not responsible for any errors, omissions or matters of interpretation in any third-party information contained within this document.</w:t>
      </w:r>
    </w:p>
    <w:p w14:paraId="155A5CE1" w14:textId="77777777" w:rsidR="00862E63" w:rsidRPr="005C0ACC" w:rsidRDefault="00862E63" w:rsidP="008B550C">
      <w:pPr>
        <w:rPr>
          <w:rFonts w:cs="Arial"/>
          <w:b/>
          <w:bCs/>
          <w:szCs w:val="16"/>
          <w:lang w:eastAsia="en-AU"/>
        </w:rPr>
      </w:pPr>
      <w:r w:rsidRPr="005C0ACC">
        <w:rPr>
          <w:rFonts w:cs="Arial"/>
          <w:b/>
          <w:bCs/>
          <w:szCs w:val="16"/>
          <w:lang w:eastAsia="en-AU"/>
        </w:rPr>
        <w:t>Comments and enquiries regarding copyright:</w:t>
      </w:r>
    </w:p>
    <w:p w14:paraId="46A9E36D" w14:textId="607B6436" w:rsidR="00862E63" w:rsidRPr="005C0ACC" w:rsidRDefault="00D23D6A" w:rsidP="008B550C">
      <w:pPr>
        <w:rPr>
          <w:rFonts w:cs="Arial"/>
          <w:szCs w:val="16"/>
          <w:lang w:eastAsia="en-AU"/>
        </w:rPr>
      </w:pPr>
      <w:r>
        <w:rPr>
          <w:rFonts w:cs="Arial"/>
          <w:szCs w:val="16"/>
          <w:lang w:eastAsia="en-AU"/>
        </w:rPr>
        <w:t>Assistant Director, Communications</w:t>
      </w:r>
      <w:r w:rsidR="008B550C">
        <w:rPr>
          <w:rFonts w:cs="Arial"/>
          <w:szCs w:val="16"/>
          <w:lang w:eastAsia="en-AU"/>
        </w:rPr>
        <w:br/>
      </w:r>
      <w:r w:rsidR="00862E63" w:rsidRPr="005C0ACC">
        <w:rPr>
          <w:rFonts w:cs="Arial"/>
          <w:szCs w:val="16"/>
          <w:lang w:eastAsia="en-AU"/>
        </w:rPr>
        <w:t>Australian Pesticides and Veterinary Medicines Authority</w:t>
      </w:r>
      <w:r w:rsidR="008B550C">
        <w:rPr>
          <w:rFonts w:cs="Arial"/>
          <w:szCs w:val="16"/>
          <w:lang w:eastAsia="en-AU"/>
        </w:rPr>
        <w:br/>
      </w:r>
      <w:r w:rsidR="00FB0015">
        <w:rPr>
          <w:rFonts w:cs="Arial"/>
          <w:szCs w:val="16"/>
          <w:lang w:eastAsia="en-AU"/>
        </w:rPr>
        <w:t xml:space="preserve">GPO Box </w:t>
      </w:r>
      <w:r w:rsidR="00C97AC8">
        <w:rPr>
          <w:rFonts w:cs="Arial"/>
          <w:szCs w:val="16"/>
          <w:lang w:eastAsia="en-AU"/>
        </w:rPr>
        <w:t>574</w:t>
      </w:r>
      <w:r w:rsidR="008B550C">
        <w:rPr>
          <w:rFonts w:cs="Arial"/>
          <w:szCs w:val="16"/>
          <w:lang w:eastAsia="en-AU"/>
        </w:rPr>
        <w:br/>
      </w:r>
      <w:r w:rsidR="00C97AC8">
        <w:rPr>
          <w:rFonts w:cs="Arial"/>
          <w:szCs w:val="16"/>
          <w:lang w:eastAsia="en-AU"/>
        </w:rPr>
        <w:t xml:space="preserve">Canberra ACT </w:t>
      </w:r>
      <w:r w:rsidR="00FB0015">
        <w:rPr>
          <w:rFonts w:cs="Arial"/>
          <w:szCs w:val="16"/>
          <w:lang w:eastAsia="en-AU"/>
        </w:rPr>
        <w:t>2</w:t>
      </w:r>
      <w:r w:rsidR="00C97AC8">
        <w:rPr>
          <w:rFonts w:cs="Arial"/>
          <w:szCs w:val="16"/>
          <w:lang w:eastAsia="en-AU"/>
        </w:rPr>
        <w:t>6</w:t>
      </w:r>
      <w:r w:rsidR="00FB0015">
        <w:rPr>
          <w:rFonts w:cs="Arial"/>
          <w:szCs w:val="16"/>
          <w:lang w:eastAsia="en-AU"/>
        </w:rPr>
        <w:t>01</w:t>
      </w:r>
      <w:r w:rsidR="00862E63" w:rsidRPr="005C0ACC">
        <w:rPr>
          <w:rFonts w:cs="Arial"/>
          <w:szCs w:val="16"/>
          <w:lang w:eastAsia="en-AU"/>
        </w:rPr>
        <w:t xml:space="preserve"> Australia</w:t>
      </w:r>
    </w:p>
    <w:p w14:paraId="10F08E3D" w14:textId="2A1536B8" w:rsidR="00862E63" w:rsidRPr="005C0ACC" w:rsidRDefault="006110AE" w:rsidP="008B550C">
      <w:pPr>
        <w:rPr>
          <w:rFonts w:cs="Arial"/>
          <w:color w:val="0000FF"/>
          <w:szCs w:val="16"/>
          <w:u w:val="single"/>
          <w:lang w:eastAsia="en-AU"/>
        </w:rPr>
      </w:pPr>
      <w:r>
        <w:rPr>
          <w:rFonts w:cs="Arial"/>
          <w:szCs w:val="16"/>
          <w:lang w:eastAsia="en-AU"/>
        </w:rPr>
        <w:t xml:space="preserve">Telephone: +61 2 </w:t>
      </w:r>
      <w:r w:rsidR="008545E1">
        <w:rPr>
          <w:rFonts w:cs="Arial"/>
          <w:szCs w:val="16"/>
          <w:lang w:eastAsia="en-AU"/>
        </w:rPr>
        <w:t>6770 2300</w:t>
      </w:r>
      <w:r w:rsidR="008432B4">
        <w:rPr>
          <w:rFonts w:cs="Arial"/>
          <w:szCs w:val="16"/>
          <w:lang w:eastAsia="en-AU"/>
        </w:rPr>
        <w:br/>
      </w:r>
      <w:r w:rsidR="00862E63" w:rsidRPr="005C0ACC">
        <w:rPr>
          <w:rFonts w:cs="Arial"/>
          <w:szCs w:val="16"/>
          <w:lang w:eastAsia="en-AU"/>
        </w:rPr>
        <w:t xml:space="preserve">Email: </w:t>
      </w:r>
      <w:hyperlink r:id="rId16" w:history="1">
        <w:r w:rsidR="00862E63" w:rsidRPr="005C0ACC">
          <w:rPr>
            <w:rFonts w:cs="Arial"/>
            <w:color w:val="0000FF"/>
            <w:szCs w:val="16"/>
            <w:u w:val="single"/>
            <w:lang w:eastAsia="en-AU"/>
          </w:rPr>
          <w:t>communications@apvma.gov.au</w:t>
        </w:r>
      </w:hyperlink>
      <w:r w:rsidR="00862E63">
        <w:rPr>
          <w:rFonts w:cs="Arial"/>
          <w:color w:val="0000FF"/>
          <w:szCs w:val="16"/>
          <w:u w:val="single"/>
          <w:lang w:eastAsia="en-AU"/>
        </w:rPr>
        <w:t>.</w:t>
      </w:r>
    </w:p>
    <w:p w14:paraId="778D78B9" w14:textId="77777777" w:rsidR="002E20AC" w:rsidRPr="008B550C" w:rsidRDefault="00862E63" w:rsidP="008B550C">
      <w:pPr>
        <w:rPr>
          <w:szCs w:val="16"/>
        </w:rPr>
        <w:sectPr w:rsidR="002E20AC" w:rsidRPr="008B550C" w:rsidSect="008C5C0D">
          <w:pgSz w:w="11906" w:h="16838" w:code="9"/>
          <w:pgMar w:top="2127" w:right="1134" w:bottom="1134" w:left="1134" w:header="1701" w:footer="450" w:gutter="0"/>
          <w:pgNumType w:fmt="lowerRoman"/>
          <w:cols w:space="708"/>
          <w:docGrid w:linePitch="360"/>
        </w:sectPr>
      </w:pPr>
      <w:r w:rsidRPr="005C0ACC">
        <w:rPr>
          <w:szCs w:val="16"/>
          <w:lang w:eastAsia="en-AU"/>
        </w:rPr>
        <w:t xml:space="preserve">This publication is available from the </w:t>
      </w:r>
      <w:hyperlink r:id="rId17" w:history="1">
        <w:r w:rsidRPr="00D23D6A">
          <w:rPr>
            <w:rStyle w:val="Hyperlink"/>
            <w:szCs w:val="16"/>
            <w:lang w:eastAsia="en-AU"/>
          </w:rPr>
          <w:t>APVMA website</w:t>
        </w:r>
      </w:hyperlink>
      <w:r w:rsidRPr="005C0ACC">
        <w:rPr>
          <w:szCs w:val="16"/>
          <w:lang w:eastAsia="en-AU"/>
        </w:rPr>
        <w:t>.</w:t>
      </w:r>
      <w:bookmarkEnd w:id="0"/>
    </w:p>
    <w:p w14:paraId="0E9E7E2A" w14:textId="77777777" w:rsidR="00B05454" w:rsidRPr="002A3239" w:rsidRDefault="00B05454" w:rsidP="00B05454">
      <w:pPr>
        <w:pStyle w:val="TOCH1"/>
        <w:rPr>
          <w:rFonts w:ascii="Arial" w:hAnsi="Arial"/>
          <w:sz w:val="18"/>
        </w:rPr>
      </w:pPr>
      <w:r w:rsidRPr="00FB0015">
        <w:lastRenderedPageBreak/>
        <w:t>Contents</w:t>
      </w:r>
    </w:p>
    <w:p w14:paraId="0B22ED49" w14:textId="172E51D3" w:rsidR="00273A8E" w:rsidRDefault="00B05454">
      <w:pPr>
        <w:pStyle w:val="TOC1"/>
        <w:rPr>
          <w:rFonts w:asciiTheme="minorHAnsi" w:eastAsiaTheme="minorEastAsia" w:hAnsiTheme="minorHAnsi" w:cstheme="minorBidi"/>
          <w:bCs w:val="0"/>
          <w:color w:val="auto"/>
          <w:kern w:val="2"/>
          <w:sz w:val="24"/>
          <w:szCs w:val="24"/>
          <w:lang w:eastAsia="en-AU"/>
          <w14:ligatures w14:val="standardContextual"/>
        </w:rPr>
      </w:pPr>
      <w:r>
        <w:rPr>
          <w:bCs w:val="0"/>
          <w:color w:val="53284F"/>
        </w:rPr>
        <w:fldChar w:fldCharType="begin"/>
      </w:r>
      <w:r>
        <w:rPr>
          <w:bCs w:val="0"/>
        </w:rPr>
        <w:instrText xml:space="preserve"> TOC \o "1-3" \h \z \u </w:instrText>
      </w:r>
      <w:r>
        <w:rPr>
          <w:bCs w:val="0"/>
          <w:color w:val="53284F"/>
        </w:rPr>
        <w:fldChar w:fldCharType="separate"/>
      </w:r>
      <w:hyperlink w:anchor="_Toc181283288" w:history="1">
        <w:r w:rsidR="00273A8E" w:rsidRPr="008125C5">
          <w:rPr>
            <w:rStyle w:val="Hyperlink"/>
          </w:rPr>
          <w:t>Preface</w:t>
        </w:r>
        <w:r w:rsidR="00273A8E">
          <w:rPr>
            <w:webHidden/>
          </w:rPr>
          <w:tab/>
        </w:r>
        <w:r w:rsidR="00273A8E">
          <w:rPr>
            <w:webHidden/>
          </w:rPr>
          <w:fldChar w:fldCharType="begin"/>
        </w:r>
        <w:r w:rsidR="00273A8E">
          <w:rPr>
            <w:webHidden/>
          </w:rPr>
          <w:instrText xml:space="preserve"> PAGEREF _Toc181283288 \h </w:instrText>
        </w:r>
        <w:r w:rsidR="00273A8E">
          <w:rPr>
            <w:webHidden/>
          </w:rPr>
        </w:r>
        <w:r w:rsidR="00273A8E">
          <w:rPr>
            <w:webHidden/>
          </w:rPr>
          <w:fldChar w:fldCharType="separate"/>
        </w:r>
        <w:r w:rsidR="00273A8E">
          <w:rPr>
            <w:webHidden/>
          </w:rPr>
          <w:t>1</w:t>
        </w:r>
        <w:r w:rsidR="00273A8E">
          <w:rPr>
            <w:webHidden/>
          </w:rPr>
          <w:fldChar w:fldCharType="end"/>
        </w:r>
      </w:hyperlink>
    </w:p>
    <w:p w14:paraId="55F5AFA8" w14:textId="40F053F8" w:rsidR="00273A8E" w:rsidRDefault="00995088">
      <w:pPr>
        <w:pStyle w:val="TOC2"/>
        <w:rPr>
          <w:rFonts w:asciiTheme="minorHAnsi" w:eastAsiaTheme="minorEastAsia" w:hAnsiTheme="minorHAnsi" w:cstheme="minorBidi"/>
          <w:b w:val="0"/>
          <w:color w:val="auto"/>
          <w:kern w:val="2"/>
          <w:sz w:val="24"/>
          <w:lang w:eastAsia="en-AU"/>
          <w14:ligatures w14:val="standardContextual"/>
        </w:rPr>
      </w:pPr>
      <w:hyperlink w:anchor="_Toc181283289" w:history="1">
        <w:r w:rsidR="00273A8E" w:rsidRPr="008125C5">
          <w:rPr>
            <w:rStyle w:val="Hyperlink"/>
          </w:rPr>
          <w:t>Next steps/consultation</w:t>
        </w:r>
        <w:r w:rsidR="00273A8E">
          <w:rPr>
            <w:webHidden/>
          </w:rPr>
          <w:tab/>
        </w:r>
        <w:r w:rsidR="00273A8E">
          <w:rPr>
            <w:webHidden/>
          </w:rPr>
          <w:fldChar w:fldCharType="begin"/>
        </w:r>
        <w:r w:rsidR="00273A8E">
          <w:rPr>
            <w:webHidden/>
          </w:rPr>
          <w:instrText xml:space="preserve"> PAGEREF _Toc181283289 \h </w:instrText>
        </w:r>
        <w:r w:rsidR="00273A8E">
          <w:rPr>
            <w:webHidden/>
          </w:rPr>
        </w:r>
        <w:r w:rsidR="00273A8E">
          <w:rPr>
            <w:webHidden/>
          </w:rPr>
          <w:fldChar w:fldCharType="separate"/>
        </w:r>
        <w:r w:rsidR="00273A8E">
          <w:rPr>
            <w:webHidden/>
          </w:rPr>
          <w:t>1</w:t>
        </w:r>
        <w:r w:rsidR="00273A8E">
          <w:rPr>
            <w:webHidden/>
          </w:rPr>
          <w:fldChar w:fldCharType="end"/>
        </w:r>
      </w:hyperlink>
    </w:p>
    <w:p w14:paraId="4D60AB54" w14:textId="085B6FB7" w:rsidR="00273A8E" w:rsidRDefault="00995088">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81283290" w:history="1">
        <w:r w:rsidR="00273A8E" w:rsidRPr="008125C5">
          <w:rPr>
            <w:rStyle w:val="Hyperlink"/>
          </w:rPr>
          <w:t>Guideline for the evaluation of the efficacy of non-steroidal anti-inflammatory drugs (NSAIDs), with respect to anti-inflammatory, analgesic and anti-pyretic effects</w:t>
        </w:r>
        <w:r w:rsidR="00273A8E">
          <w:rPr>
            <w:webHidden/>
          </w:rPr>
          <w:tab/>
        </w:r>
        <w:r w:rsidR="00273A8E">
          <w:rPr>
            <w:webHidden/>
          </w:rPr>
          <w:fldChar w:fldCharType="begin"/>
        </w:r>
        <w:r w:rsidR="00273A8E">
          <w:rPr>
            <w:webHidden/>
          </w:rPr>
          <w:instrText xml:space="preserve"> PAGEREF _Toc181283290 \h </w:instrText>
        </w:r>
        <w:r w:rsidR="00273A8E">
          <w:rPr>
            <w:webHidden/>
          </w:rPr>
        </w:r>
        <w:r w:rsidR="00273A8E">
          <w:rPr>
            <w:webHidden/>
          </w:rPr>
          <w:fldChar w:fldCharType="separate"/>
        </w:r>
        <w:r w:rsidR="00273A8E">
          <w:rPr>
            <w:webHidden/>
          </w:rPr>
          <w:t>2</w:t>
        </w:r>
        <w:r w:rsidR="00273A8E">
          <w:rPr>
            <w:webHidden/>
          </w:rPr>
          <w:fldChar w:fldCharType="end"/>
        </w:r>
      </w:hyperlink>
    </w:p>
    <w:p w14:paraId="1099938E" w14:textId="32E9FE23" w:rsidR="00273A8E" w:rsidRDefault="00995088">
      <w:pPr>
        <w:pStyle w:val="TOC2"/>
        <w:rPr>
          <w:rFonts w:asciiTheme="minorHAnsi" w:eastAsiaTheme="minorEastAsia" w:hAnsiTheme="minorHAnsi" w:cstheme="minorBidi"/>
          <w:b w:val="0"/>
          <w:color w:val="auto"/>
          <w:kern w:val="2"/>
          <w:sz w:val="24"/>
          <w:lang w:eastAsia="en-AU"/>
          <w14:ligatures w14:val="standardContextual"/>
        </w:rPr>
      </w:pPr>
      <w:hyperlink w:anchor="_Toc181283291" w:history="1">
        <w:r w:rsidR="00273A8E" w:rsidRPr="008125C5">
          <w:rPr>
            <w:rStyle w:val="Hyperlink"/>
          </w:rPr>
          <w:t>1. Scope</w:t>
        </w:r>
        <w:r w:rsidR="00273A8E">
          <w:rPr>
            <w:webHidden/>
          </w:rPr>
          <w:tab/>
        </w:r>
        <w:r w:rsidR="00273A8E">
          <w:rPr>
            <w:webHidden/>
          </w:rPr>
          <w:fldChar w:fldCharType="begin"/>
        </w:r>
        <w:r w:rsidR="00273A8E">
          <w:rPr>
            <w:webHidden/>
          </w:rPr>
          <w:instrText xml:space="preserve"> PAGEREF _Toc181283291 \h </w:instrText>
        </w:r>
        <w:r w:rsidR="00273A8E">
          <w:rPr>
            <w:webHidden/>
          </w:rPr>
        </w:r>
        <w:r w:rsidR="00273A8E">
          <w:rPr>
            <w:webHidden/>
          </w:rPr>
          <w:fldChar w:fldCharType="separate"/>
        </w:r>
        <w:r w:rsidR="00273A8E">
          <w:rPr>
            <w:webHidden/>
          </w:rPr>
          <w:t>2</w:t>
        </w:r>
        <w:r w:rsidR="00273A8E">
          <w:rPr>
            <w:webHidden/>
          </w:rPr>
          <w:fldChar w:fldCharType="end"/>
        </w:r>
      </w:hyperlink>
    </w:p>
    <w:p w14:paraId="6EBE607C" w14:textId="5B4678C6" w:rsidR="00273A8E" w:rsidRDefault="00995088">
      <w:pPr>
        <w:pStyle w:val="TOC2"/>
        <w:rPr>
          <w:rFonts w:asciiTheme="minorHAnsi" w:eastAsiaTheme="minorEastAsia" w:hAnsiTheme="minorHAnsi" w:cstheme="minorBidi"/>
          <w:b w:val="0"/>
          <w:color w:val="auto"/>
          <w:kern w:val="2"/>
          <w:sz w:val="24"/>
          <w:lang w:eastAsia="en-AU"/>
          <w14:ligatures w14:val="standardContextual"/>
        </w:rPr>
      </w:pPr>
      <w:hyperlink w:anchor="_Toc181283292" w:history="1">
        <w:r w:rsidR="00273A8E" w:rsidRPr="008125C5">
          <w:rPr>
            <w:rStyle w:val="Hyperlink"/>
          </w:rPr>
          <w:t>2. Additional guidance material</w:t>
        </w:r>
        <w:r w:rsidR="00273A8E">
          <w:rPr>
            <w:webHidden/>
          </w:rPr>
          <w:tab/>
        </w:r>
        <w:r w:rsidR="00273A8E">
          <w:rPr>
            <w:webHidden/>
          </w:rPr>
          <w:fldChar w:fldCharType="begin"/>
        </w:r>
        <w:r w:rsidR="00273A8E">
          <w:rPr>
            <w:webHidden/>
          </w:rPr>
          <w:instrText xml:space="preserve"> PAGEREF _Toc181283292 \h </w:instrText>
        </w:r>
        <w:r w:rsidR="00273A8E">
          <w:rPr>
            <w:webHidden/>
          </w:rPr>
        </w:r>
        <w:r w:rsidR="00273A8E">
          <w:rPr>
            <w:webHidden/>
          </w:rPr>
          <w:fldChar w:fldCharType="separate"/>
        </w:r>
        <w:r w:rsidR="00273A8E">
          <w:rPr>
            <w:webHidden/>
          </w:rPr>
          <w:t>3</w:t>
        </w:r>
        <w:r w:rsidR="00273A8E">
          <w:rPr>
            <w:webHidden/>
          </w:rPr>
          <w:fldChar w:fldCharType="end"/>
        </w:r>
      </w:hyperlink>
    </w:p>
    <w:p w14:paraId="18887434" w14:textId="7D3A7A8B" w:rsidR="00273A8E" w:rsidRDefault="00995088">
      <w:pPr>
        <w:pStyle w:val="TOC2"/>
        <w:rPr>
          <w:rFonts w:asciiTheme="minorHAnsi" w:eastAsiaTheme="minorEastAsia" w:hAnsiTheme="minorHAnsi" w:cstheme="minorBidi"/>
          <w:b w:val="0"/>
          <w:color w:val="auto"/>
          <w:kern w:val="2"/>
          <w:sz w:val="24"/>
          <w:lang w:eastAsia="en-AU"/>
          <w14:ligatures w14:val="standardContextual"/>
        </w:rPr>
      </w:pPr>
      <w:hyperlink w:anchor="_Toc181283293" w:history="1">
        <w:r w:rsidR="00273A8E" w:rsidRPr="008125C5">
          <w:rPr>
            <w:rStyle w:val="Hyperlink"/>
          </w:rPr>
          <w:t>3. General requirements</w:t>
        </w:r>
        <w:r w:rsidR="00273A8E">
          <w:rPr>
            <w:webHidden/>
          </w:rPr>
          <w:tab/>
        </w:r>
        <w:r w:rsidR="00273A8E">
          <w:rPr>
            <w:webHidden/>
          </w:rPr>
          <w:fldChar w:fldCharType="begin"/>
        </w:r>
        <w:r w:rsidR="00273A8E">
          <w:rPr>
            <w:webHidden/>
          </w:rPr>
          <w:instrText xml:space="preserve"> PAGEREF _Toc181283293 \h </w:instrText>
        </w:r>
        <w:r w:rsidR="00273A8E">
          <w:rPr>
            <w:webHidden/>
          </w:rPr>
        </w:r>
        <w:r w:rsidR="00273A8E">
          <w:rPr>
            <w:webHidden/>
          </w:rPr>
          <w:fldChar w:fldCharType="separate"/>
        </w:r>
        <w:r w:rsidR="00273A8E">
          <w:rPr>
            <w:webHidden/>
          </w:rPr>
          <w:t>3</w:t>
        </w:r>
        <w:r w:rsidR="00273A8E">
          <w:rPr>
            <w:webHidden/>
          </w:rPr>
          <w:fldChar w:fldCharType="end"/>
        </w:r>
      </w:hyperlink>
    </w:p>
    <w:p w14:paraId="45DEABCF" w14:textId="400D122B" w:rsidR="00273A8E" w:rsidRDefault="00995088">
      <w:pPr>
        <w:pStyle w:val="TOC2"/>
        <w:rPr>
          <w:rFonts w:asciiTheme="minorHAnsi" w:eastAsiaTheme="minorEastAsia" w:hAnsiTheme="minorHAnsi" w:cstheme="minorBidi"/>
          <w:b w:val="0"/>
          <w:color w:val="auto"/>
          <w:kern w:val="2"/>
          <w:sz w:val="24"/>
          <w:lang w:eastAsia="en-AU"/>
          <w14:ligatures w14:val="standardContextual"/>
        </w:rPr>
      </w:pPr>
      <w:hyperlink w:anchor="_Toc181283294" w:history="1">
        <w:r w:rsidR="00273A8E" w:rsidRPr="008125C5">
          <w:rPr>
            <w:rStyle w:val="Hyperlink"/>
          </w:rPr>
          <w:t>4. Pre-clinical studies</w:t>
        </w:r>
        <w:r w:rsidR="00273A8E">
          <w:rPr>
            <w:webHidden/>
          </w:rPr>
          <w:tab/>
        </w:r>
        <w:r w:rsidR="00273A8E">
          <w:rPr>
            <w:webHidden/>
          </w:rPr>
          <w:fldChar w:fldCharType="begin"/>
        </w:r>
        <w:r w:rsidR="00273A8E">
          <w:rPr>
            <w:webHidden/>
          </w:rPr>
          <w:instrText xml:space="preserve"> PAGEREF _Toc181283294 \h </w:instrText>
        </w:r>
        <w:r w:rsidR="00273A8E">
          <w:rPr>
            <w:webHidden/>
          </w:rPr>
        </w:r>
        <w:r w:rsidR="00273A8E">
          <w:rPr>
            <w:webHidden/>
          </w:rPr>
          <w:fldChar w:fldCharType="separate"/>
        </w:r>
        <w:r w:rsidR="00273A8E">
          <w:rPr>
            <w:webHidden/>
          </w:rPr>
          <w:t>4</w:t>
        </w:r>
        <w:r w:rsidR="00273A8E">
          <w:rPr>
            <w:webHidden/>
          </w:rPr>
          <w:fldChar w:fldCharType="end"/>
        </w:r>
      </w:hyperlink>
    </w:p>
    <w:p w14:paraId="0A71F187" w14:textId="0BF4A32D" w:rsidR="00273A8E" w:rsidRDefault="00995088">
      <w:pPr>
        <w:pStyle w:val="TOC3"/>
        <w:rPr>
          <w:rFonts w:asciiTheme="minorHAnsi" w:eastAsiaTheme="minorEastAsia" w:hAnsiTheme="minorHAnsi" w:cstheme="minorBidi"/>
          <w:color w:val="auto"/>
          <w:kern w:val="2"/>
          <w:sz w:val="24"/>
          <w:lang w:eastAsia="en-AU"/>
          <w14:ligatures w14:val="standardContextual"/>
        </w:rPr>
      </w:pPr>
      <w:hyperlink w:anchor="_Toc181283295" w:history="1">
        <w:r w:rsidR="00273A8E" w:rsidRPr="008125C5">
          <w:rPr>
            <w:rStyle w:val="Hyperlink"/>
          </w:rPr>
          <w:t>4.1. Pharmacodynamics</w:t>
        </w:r>
        <w:r w:rsidR="00273A8E">
          <w:rPr>
            <w:webHidden/>
          </w:rPr>
          <w:tab/>
        </w:r>
        <w:r w:rsidR="00273A8E">
          <w:rPr>
            <w:webHidden/>
          </w:rPr>
          <w:fldChar w:fldCharType="begin"/>
        </w:r>
        <w:r w:rsidR="00273A8E">
          <w:rPr>
            <w:webHidden/>
          </w:rPr>
          <w:instrText xml:space="preserve"> PAGEREF _Toc181283295 \h </w:instrText>
        </w:r>
        <w:r w:rsidR="00273A8E">
          <w:rPr>
            <w:webHidden/>
          </w:rPr>
        </w:r>
        <w:r w:rsidR="00273A8E">
          <w:rPr>
            <w:webHidden/>
          </w:rPr>
          <w:fldChar w:fldCharType="separate"/>
        </w:r>
        <w:r w:rsidR="00273A8E">
          <w:rPr>
            <w:webHidden/>
          </w:rPr>
          <w:t>4</w:t>
        </w:r>
        <w:r w:rsidR="00273A8E">
          <w:rPr>
            <w:webHidden/>
          </w:rPr>
          <w:fldChar w:fldCharType="end"/>
        </w:r>
      </w:hyperlink>
    </w:p>
    <w:p w14:paraId="504B8CE7" w14:textId="05B84102" w:rsidR="00273A8E" w:rsidRDefault="00995088">
      <w:pPr>
        <w:pStyle w:val="TOC3"/>
        <w:rPr>
          <w:rFonts w:asciiTheme="minorHAnsi" w:eastAsiaTheme="minorEastAsia" w:hAnsiTheme="minorHAnsi" w:cstheme="minorBidi"/>
          <w:color w:val="auto"/>
          <w:kern w:val="2"/>
          <w:sz w:val="24"/>
          <w:lang w:eastAsia="en-AU"/>
          <w14:ligatures w14:val="standardContextual"/>
        </w:rPr>
      </w:pPr>
      <w:hyperlink w:anchor="_Toc181283296" w:history="1">
        <w:r w:rsidR="00273A8E" w:rsidRPr="008125C5">
          <w:rPr>
            <w:rStyle w:val="Hyperlink"/>
          </w:rPr>
          <w:t>4.2. Pharmacokinetics</w:t>
        </w:r>
        <w:r w:rsidR="00273A8E">
          <w:rPr>
            <w:webHidden/>
          </w:rPr>
          <w:tab/>
        </w:r>
        <w:r w:rsidR="00273A8E">
          <w:rPr>
            <w:webHidden/>
          </w:rPr>
          <w:fldChar w:fldCharType="begin"/>
        </w:r>
        <w:r w:rsidR="00273A8E">
          <w:rPr>
            <w:webHidden/>
          </w:rPr>
          <w:instrText xml:space="preserve"> PAGEREF _Toc181283296 \h </w:instrText>
        </w:r>
        <w:r w:rsidR="00273A8E">
          <w:rPr>
            <w:webHidden/>
          </w:rPr>
        </w:r>
        <w:r w:rsidR="00273A8E">
          <w:rPr>
            <w:webHidden/>
          </w:rPr>
          <w:fldChar w:fldCharType="separate"/>
        </w:r>
        <w:r w:rsidR="00273A8E">
          <w:rPr>
            <w:webHidden/>
          </w:rPr>
          <w:t>5</w:t>
        </w:r>
        <w:r w:rsidR="00273A8E">
          <w:rPr>
            <w:webHidden/>
          </w:rPr>
          <w:fldChar w:fldCharType="end"/>
        </w:r>
      </w:hyperlink>
    </w:p>
    <w:p w14:paraId="7D6950FB" w14:textId="5BDD18E3" w:rsidR="00273A8E" w:rsidRDefault="00995088">
      <w:pPr>
        <w:pStyle w:val="TOC3"/>
        <w:rPr>
          <w:rFonts w:asciiTheme="minorHAnsi" w:eastAsiaTheme="minorEastAsia" w:hAnsiTheme="minorHAnsi" w:cstheme="minorBidi"/>
          <w:color w:val="auto"/>
          <w:kern w:val="2"/>
          <w:sz w:val="24"/>
          <w:lang w:eastAsia="en-AU"/>
          <w14:ligatures w14:val="standardContextual"/>
        </w:rPr>
      </w:pPr>
      <w:hyperlink w:anchor="_Toc181283297" w:history="1">
        <w:r w:rsidR="00273A8E" w:rsidRPr="008125C5">
          <w:rPr>
            <w:rStyle w:val="Hyperlink"/>
          </w:rPr>
          <w:t>4.3. Dose determination</w:t>
        </w:r>
        <w:r w:rsidR="00273A8E">
          <w:rPr>
            <w:webHidden/>
          </w:rPr>
          <w:tab/>
        </w:r>
        <w:r w:rsidR="00273A8E">
          <w:rPr>
            <w:webHidden/>
          </w:rPr>
          <w:fldChar w:fldCharType="begin"/>
        </w:r>
        <w:r w:rsidR="00273A8E">
          <w:rPr>
            <w:webHidden/>
          </w:rPr>
          <w:instrText xml:space="preserve"> PAGEREF _Toc181283297 \h </w:instrText>
        </w:r>
        <w:r w:rsidR="00273A8E">
          <w:rPr>
            <w:webHidden/>
          </w:rPr>
        </w:r>
        <w:r w:rsidR="00273A8E">
          <w:rPr>
            <w:webHidden/>
          </w:rPr>
          <w:fldChar w:fldCharType="separate"/>
        </w:r>
        <w:r w:rsidR="00273A8E">
          <w:rPr>
            <w:webHidden/>
          </w:rPr>
          <w:t>5</w:t>
        </w:r>
        <w:r w:rsidR="00273A8E">
          <w:rPr>
            <w:webHidden/>
          </w:rPr>
          <w:fldChar w:fldCharType="end"/>
        </w:r>
      </w:hyperlink>
    </w:p>
    <w:p w14:paraId="4C54AFEF" w14:textId="2CB47405" w:rsidR="00273A8E" w:rsidRDefault="00995088">
      <w:pPr>
        <w:pStyle w:val="TOC3"/>
        <w:rPr>
          <w:rFonts w:asciiTheme="minorHAnsi" w:eastAsiaTheme="minorEastAsia" w:hAnsiTheme="minorHAnsi" w:cstheme="minorBidi"/>
          <w:color w:val="auto"/>
          <w:kern w:val="2"/>
          <w:sz w:val="24"/>
          <w:lang w:eastAsia="en-AU"/>
          <w14:ligatures w14:val="standardContextual"/>
        </w:rPr>
      </w:pPr>
      <w:hyperlink w:anchor="_Toc181283298" w:history="1">
        <w:r w:rsidR="00273A8E" w:rsidRPr="008125C5">
          <w:rPr>
            <w:rStyle w:val="Hyperlink"/>
          </w:rPr>
          <w:t>4.4. Dose confirmation</w:t>
        </w:r>
        <w:r w:rsidR="00273A8E">
          <w:rPr>
            <w:webHidden/>
          </w:rPr>
          <w:tab/>
        </w:r>
        <w:r w:rsidR="00273A8E">
          <w:rPr>
            <w:webHidden/>
          </w:rPr>
          <w:fldChar w:fldCharType="begin"/>
        </w:r>
        <w:r w:rsidR="00273A8E">
          <w:rPr>
            <w:webHidden/>
          </w:rPr>
          <w:instrText xml:space="preserve"> PAGEREF _Toc181283298 \h </w:instrText>
        </w:r>
        <w:r w:rsidR="00273A8E">
          <w:rPr>
            <w:webHidden/>
          </w:rPr>
        </w:r>
        <w:r w:rsidR="00273A8E">
          <w:rPr>
            <w:webHidden/>
          </w:rPr>
          <w:fldChar w:fldCharType="separate"/>
        </w:r>
        <w:r w:rsidR="00273A8E">
          <w:rPr>
            <w:webHidden/>
          </w:rPr>
          <w:t>6</w:t>
        </w:r>
        <w:r w:rsidR="00273A8E">
          <w:rPr>
            <w:webHidden/>
          </w:rPr>
          <w:fldChar w:fldCharType="end"/>
        </w:r>
      </w:hyperlink>
    </w:p>
    <w:p w14:paraId="67EE3C50" w14:textId="1CC58E2C" w:rsidR="00273A8E" w:rsidRDefault="00995088">
      <w:pPr>
        <w:pStyle w:val="TOC2"/>
        <w:rPr>
          <w:rFonts w:asciiTheme="minorHAnsi" w:eastAsiaTheme="minorEastAsia" w:hAnsiTheme="minorHAnsi" w:cstheme="minorBidi"/>
          <w:b w:val="0"/>
          <w:color w:val="auto"/>
          <w:kern w:val="2"/>
          <w:sz w:val="24"/>
          <w:lang w:eastAsia="en-AU"/>
          <w14:ligatures w14:val="standardContextual"/>
        </w:rPr>
      </w:pPr>
      <w:hyperlink w:anchor="_Toc181283299" w:history="1">
        <w:r w:rsidR="00273A8E" w:rsidRPr="008125C5">
          <w:rPr>
            <w:rStyle w:val="Hyperlink"/>
          </w:rPr>
          <w:t>5. Clinical Studies</w:t>
        </w:r>
        <w:r w:rsidR="00273A8E">
          <w:rPr>
            <w:webHidden/>
          </w:rPr>
          <w:tab/>
        </w:r>
        <w:r w:rsidR="00273A8E">
          <w:rPr>
            <w:webHidden/>
          </w:rPr>
          <w:fldChar w:fldCharType="begin"/>
        </w:r>
        <w:r w:rsidR="00273A8E">
          <w:rPr>
            <w:webHidden/>
          </w:rPr>
          <w:instrText xml:space="preserve"> PAGEREF _Toc181283299 \h </w:instrText>
        </w:r>
        <w:r w:rsidR="00273A8E">
          <w:rPr>
            <w:webHidden/>
          </w:rPr>
        </w:r>
        <w:r w:rsidR="00273A8E">
          <w:rPr>
            <w:webHidden/>
          </w:rPr>
          <w:fldChar w:fldCharType="separate"/>
        </w:r>
        <w:r w:rsidR="00273A8E">
          <w:rPr>
            <w:webHidden/>
          </w:rPr>
          <w:t>7</w:t>
        </w:r>
        <w:r w:rsidR="00273A8E">
          <w:rPr>
            <w:webHidden/>
          </w:rPr>
          <w:fldChar w:fldCharType="end"/>
        </w:r>
      </w:hyperlink>
    </w:p>
    <w:p w14:paraId="398CB6C2" w14:textId="6BABCD85" w:rsidR="00273A8E" w:rsidRDefault="00995088">
      <w:pPr>
        <w:pStyle w:val="TOC3"/>
        <w:rPr>
          <w:rFonts w:asciiTheme="minorHAnsi" w:eastAsiaTheme="minorEastAsia" w:hAnsiTheme="minorHAnsi" w:cstheme="minorBidi"/>
          <w:color w:val="auto"/>
          <w:kern w:val="2"/>
          <w:sz w:val="24"/>
          <w:lang w:eastAsia="en-AU"/>
          <w14:ligatures w14:val="standardContextual"/>
        </w:rPr>
      </w:pPr>
      <w:hyperlink w:anchor="_Toc181283300" w:history="1">
        <w:r w:rsidR="00273A8E" w:rsidRPr="008125C5">
          <w:rPr>
            <w:rStyle w:val="Hyperlink"/>
          </w:rPr>
          <w:t>5.1. Selection of primary and secondary outcome measures</w:t>
        </w:r>
        <w:r w:rsidR="00273A8E">
          <w:rPr>
            <w:webHidden/>
          </w:rPr>
          <w:tab/>
        </w:r>
        <w:r w:rsidR="00273A8E">
          <w:rPr>
            <w:webHidden/>
          </w:rPr>
          <w:fldChar w:fldCharType="begin"/>
        </w:r>
        <w:r w:rsidR="00273A8E">
          <w:rPr>
            <w:webHidden/>
          </w:rPr>
          <w:instrText xml:space="preserve"> PAGEREF _Toc181283300 \h </w:instrText>
        </w:r>
        <w:r w:rsidR="00273A8E">
          <w:rPr>
            <w:webHidden/>
          </w:rPr>
        </w:r>
        <w:r w:rsidR="00273A8E">
          <w:rPr>
            <w:webHidden/>
          </w:rPr>
          <w:fldChar w:fldCharType="separate"/>
        </w:r>
        <w:r w:rsidR="00273A8E">
          <w:rPr>
            <w:webHidden/>
          </w:rPr>
          <w:t>7</w:t>
        </w:r>
        <w:r w:rsidR="00273A8E">
          <w:rPr>
            <w:webHidden/>
          </w:rPr>
          <w:fldChar w:fldCharType="end"/>
        </w:r>
      </w:hyperlink>
    </w:p>
    <w:p w14:paraId="664C0751" w14:textId="00513909" w:rsidR="00273A8E" w:rsidRDefault="00995088">
      <w:pPr>
        <w:pStyle w:val="TOC3"/>
        <w:rPr>
          <w:rFonts w:asciiTheme="minorHAnsi" w:eastAsiaTheme="minorEastAsia" w:hAnsiTheme="minorHAnsi" w:cstheme="minorBidi"/>
          <w:color w:val="auto"/>
          <w:kern w:val="2"/>
          <w:sz w:val="24"/>
          <w:lang w:eastAsia="en-AU"/>
          <w14:ligatures w14:val="standardContextual"/>
        </w:rPr>
      </w:pPr>
      <w:hyperlink w:anchor="_Toc181283301" w:history="1">
        <w:r w:rsidR="00273A8E" w:rsidRPr="008125C5">
          <w:rPr>
            <w:rStyle w:val="Hyperlink"/>
          </w:rPr>
          <w:t>5.2. Ensuring clinical studies are relevant to proposed label claims and uses</w:t>
        </w:r>
        <w:r w:rsidR="00273A8E">
          <w:rPr>
            <w:webHidden/>
          </w:rPr>
          <w:tab/>
        </w:r>
        <w:r w:rsidR="00273A8E">
          <w:rPr>
            <w:webHidden/>
          </w:rPr>
          <w:fldChar w:fldCharType="begin"/>
        </w:r>
        <w:r w:rsidR="00273A8E">
          <w:rPr>
            <w:webHidden/>
          </w:rPr>
          <w:instrText xml:space="preserve"> PAGEREF _Toc181283301 \h </w:instrText>
        </w:r>
        <w:r w:rsidR="00273A8E">
          <w:rPr>
            <w:webHidden/>
          </w:rPr>
        </w:r>
        <w:r w:rsidR="00273A8E">
          <w:rPr>
            <w:webHidden/>
          </w:rPr>
          <w:fldChar w:fldCharType="separate"/>
        </w:r>
        <w:r w:rsidR="00273A8E">
          <w:rPr>
            <w:webHidden/>
          </w:rPr>
          <w:t>7</w:t>
        </w:r>
        <w:r w:rsidR="00273A8E">
          <w:rPr>
            <w:webHidden/>
          </w:rPr>
          <w:fldChar w:fldCharType="end"/>
        </w:r>
      </w:hyperlink>
    </w:p>
    <w:p w14:paraId="0DC19C46" w14:textId="6C5AA393" w:rsidR="00273A8E" w:rsidRDefault="00995088">
      <w:pPr>
        <w:pStyle w:val="TOC3"/>
        <w:rPr>
          <w:rFonts w:asciiTheme="minorHAnsi" w:eastAsiaTheme="minorEastAsia" w:hAnsiTheme="minorHAnsi" w:cstheme="minorBidi"/>
          <w:color w:val="auto"/>
          <w:kern w:val="2"/>
          <w:sz w:val="24"/>
          <w:lang w:eastAsia="en-AU"/>
          <w14:ligatures w14:val="standardContextual"/>
        </w:rPr>
      </w:pPr>
      <w:hyperlink w:anchor="_Toc181283302" w:history="1">
        <w:r w:rsidR="00273A8E" w:rsidRPr="008125C5">
          <w:rPr>
            <w:rStyle w:val="Hyperlink"/>
          </w:rPr>
          <w:t>5.3. Rating scales</w:t>
        </w:r>
        <w:r w:rsidR="00273A8E">
          <w:rPr>
            <w:webHidden/>
          </w:rPr>
          <w:tab/>
        </w:r>
        <w:r w:rsidR="00273A8E">
          <w:rPr>
            <w:webHidden/>
          </w:rPr>
          <w:fldChar w:fldCharType="begin"/>
        </w:r>
        <w:r w:rsidR="00273A8E">
          <w:rPr>
            <w:webHidden/>
          </w:rPr>
          <w:instrText xml:space="preserve"> PAGEREF _Toc181283302 \h </w:instrText>
        </w:r>
        <w:r w:rsidR="00273A8E">
          <w:rPr>
            <w:webHidden/>
          </w:rPr>
        </w:r>
        <w:r w:rsidR="00273A8E">
          <w:rPr>
            <w:webHidden/>
          </w:rPr>
          <w:fldChar w:fldCharType="separate"/>
        </w:r>
        <w:r w:rsidR="00273A8E">
          <w:rPr>
            <w:webHidden/>
          </w:rPr>
          <w:t>9</w:t>
        </w:r>
        <w:r w:rsidR="00273A8E">
          <w:rPr>
            <w:webHidden/>
          </w:rPr>
          <w:fldChar w:fldCharType="end"/>
        </w:r>
      </w:hyperlink>
    </w:p>
    <w:p w14:paraId="5794E7D8" w14:textId="7F243D0C" w:rsidR="00273A8E" w:rsidRDefault="00995088">
      <w:pPr>
        <w:pStyle w:val="TOC3"/>
        <w:rPr>
          <w:rFonts w:asciiTheme="minorHAnsi" w:eastAsiaTheme="minorEastAsia" w:hAnsiTheme="minorHAnsi" w:cstheme="minorBidi"/>
          <w:color w:val="auto"/>
          <w:kern w:val="2"/>
          <w:sz w:val="24"/>
          <w:lang w:eastAsia="en-AU"/>
          <w14:ligatures w14:val="standardContextual"/>
        </w:rPr>
      </w:pPr>
      <w:hyperlink w:anchor="_Toc181283303" w:history="1">
        <w:r w:rsidR="00273A8E" w:rsidRPr="008125C5">
          <w:rPr>
            <w:rStyle w:val="Hyperlink"/>
          </w:rPr>
          <w:t>5.4. Validation of rating scales</w:t>
        </w:r>
        <w:r w:rsidR="00273A8E">
          <w:rPr>
            <w:webHidden/>
          </w:rPr>
          <w:tab/>
        </w:r>
        <w:r w:rsidR="00273A8E">
          <w:rPr>
            <w:webHidden/>
          </w:rPr>
          <w:fldChar w:fldCharType="begin"/>
        </w:r>
        <w:r w:rsidR="00273A8E">
          <w:rPr>
            <w:webHidden/>
          </w:rPr>
          <w:instrText xml:space="preserve"> PAGEREF _Toc181283303 \h </w:instrText>
        </w:r>
        <w:r w:rsidR="00273A8E">
          <w:rPr>
            <w:webHidden/>
          </w:rPr>
        </w:r>
        <w:r w:rsidR="00273A8E">
          <w:rPr>
            <w:webHidden/>
          </w:rPr>
          <w:fldChar w:fldCharType="separate"/>
        </w:r>
        <w:r w:rsidR="00273A8E">
          <w:rPr>
            <w:webHidden/>
          </w:rPr>
          <w:t>10</w:t>
        </w:r>
        <w:r w:rsidR="00273A8E">
          <w:rPr>
            <w:webHidden/>
          </w:rPr>
          <w:fldChar w:fldCharType="end"/>
        </w:r>
      </w:hyperlink>
    </w:p>
    <w:p w14:paraId="068F2F13" w14:textId="28875DDB" w:rsidR="00273A8E" w:rsidRDefault="00995088">
      <w:pPr>
        <w:pStyle w:val="TOC3"/>
        <w:rPr>
          <w:rFonts w:asciiTheme="minorHAnsi" w:eastAsiaTheme="minorEastAsia" w:hAnsiTheme="minorHAnsi" w:cstheme="minorBidi"/>
          <w:color w:val="auto"/>
          <w:kern w:val="2"/>
          <w:sz w:val="24"/>
          <w:lang w:eastAsia="en-AU"/>
          <w14:ligatures w14:val="standardContextual"/>
        </w:rPr>
      </w:pPr>
      <w:hyperlink w:anchor="_Toc181283304" w:history="1">
        <w:r w:rsidR="00273A8E" w:rsidRPr="008125C5">
          <w:rPr>
            <w:rStyle w:val="Hyperlink"/>
          </w:rPr>
          <w:t>5.5. Control groups</w:t>
        </w:r>
        <w:r w:rsidR="00273A8E">
          <w:rPr>
            <w:webHidden/>
          </w:rPr>
          <w:tab/>
        </w:r>
        <w:r w:rsidR="00273A8E">
          <w:rPr>
            <w:webHidden/>
          </w:rPr>
          <w:fldChar w:fldCharType="begin"/>
        </w:r>
        <w:r w:rsidR="00273A8E">
          <w:rPr>
            <w:webHidden/>
          </w:rPr>
          <w:instrText xml:space="preserve"> PAGEREF _Toc181283304 \h </w:instrText>
        </w:r>
        <w:r w:rsidR="00273A8E">
          <w:rPr>
            <w:webHidden/>
          </w:rPr>
        </w:r>
        <w:r w:rsidR="00273A8E">
          <w:rPr>
            <w:webHidden/>
          </w:rPr>
          <w:fldChar w:fldCharType="separate"/>
        </w:r>
        <w:r w:rsidR="00273A8E">
          <w:rPr>
            <w:webHidden/>
          </w:rPr>
          <w:t>11</w:t>
        </w:r>
        <w:r w:rsidR="00273A8E">
          <w:rPr>
            <w:webHidden/>
          </w:rPr>
          <w:fldChar w:fldCharType="end"/>
        </w:r>
      </w:hyperlink>
    </w:p>
    <w:p w14:paraId="3E0DAB11" w14:textId="7C1099CA" w:rsidR="00273A8E" w:rsidRDefault="00995088">
      <w:pPr>
        <w:pStyle w:val="TOC3"/>
        <w:rPr>
          <w:rFonts w:asciiTheme="minorHAnsi" w:eastAsiaTheme="minorEastAsia" w:hAnsiTheme="minorHAnsi" w:cstheme="minorBidi"/>
          <w:color w:val="auto"/>
          <w:kern w:val="2"/>
          <w:sz w:val="24"/>
          <w:lang w:eastAsia="en-AU"/>
          <w14:ligatures w14:val="standardContextual"/>
        </w:rPr>
      </w:pPr>
      <w:hyperlink w:anchor="_Toc181283305" w:history="1">
        <w:r w:rsidR="00273A8E" w:rsidRPr="008125C5">
          <w:rPr>
            <w:rStyle w:val="Hyperlink"/>
          </w:rPr>
          <w:t>5.6. Experiment/study design</w:t>
        </w:r>
        <w:r w:rsidR="00273A8E">
          <w:rPr>
            <w:webHidden/>
          </w:rPr>
          <w:tab/>
        </w:r>
        <w:r w:rsidR="00273A8E">
          <w:rPr>
            <w:webHidden/>
          </w:rPr>
          <w:fldChar w:fldCharType="begin"/>
        </w:r>
        <w:r w:rsidR="00273A8E">
          <w:rPr>
            <w:webHidden/>
          </w:rPr>
          <w:instrText xml:space="preserve"> PAGEREF _Toc181283305 \h </w:instrText>
        </w:r>
        <w:r w:rsidR="00273A8E">
          <w:rPr>
            <w:webHidden/>
          </w:rPr>
        </w:r>
        <w:r w:rsidR="00273A8E">
          <w:rPr>
            <w:webHidden/>
          </w:rPr>
          <w:fldChar w:fldCharType="separate"/>
        </w:r>
        <w:r w:rsidR="00273A8E">
          <w:rPr>
            <w:webHidden/>
          </w:rPr>
          <w:t>12</w:t>
        </w:r>
        <w:r w:rsidR="00273A8E">
          <w:rPr>
            <w:webHidden/>
          </w:rPr>
          <w:fldChar w:fldCharType="end"/>
        </w:r>
      </w:hyperlink>
    </w:p>
    <w:p w14:paraId="2D6889BD" w14:textId="76FEAB8E" w:rsidR="00273A8E" w:rsidRDefault="00995088">
      <w:pPr>
        <w:pStyle w:val="TOC2"/>
        <w:rPr>
          <w:rFonts w:asciiTheme="minorHAnsi" w:eastAsiaTheme="minorEastAsia" w:hAnsiTheme="minorHAnsi" w:cstheme="minorBidi"/>
          <w:b w:val="0"/>
          <w:color w:val="auto"/>
          <w:kern w:val="2"/>
          <w:sz w:val="24"/>
          <w:lang w:eastAsia="en-AU"/>
          <w14:ligatures w14:val="standardContextual"/>
        </w:rPr>
      </w:pPr>
      <w:hyperlink w:anchor="_Toc181283306" w:history="1">
        <w:r w:rsidR="00273A8E" w:rsidRPr="008125C5">
          <w:rPr>
            <w:rStyle w:val="Hyperlink"/>
          </w:rPr>
          <w:t>6. Label claims</w:t>
        </w:r>
        <w:r w:rsidR="00273A8E">
          <w:rPr>
            <w:webHidden/>
          </w:rPr>
          <w:tab/>
        </w:r>
        <w:r w:rsidR="00273A8E">
          <w:rPr>
            <w:webHidden/>
          </w:rPr>
          <w:fldChar w:fldCharType="begin"/>
        </w:r>
        <w:r w:rsidR="00273A8E">
          <w:rPr>
            <w:webHidden/>
          </w:rPr>
          <w:instrText xml:space="preserve"> PAGEREF _Toc181283306 \h </w:instrText>
        </w:r>
        <w:r w:rsidR="00273A8E">
          <w:rPr>
            <w:webHidden/>
          </w:rPr>
        </w:r>
        <w:r w:rsidR="00273A8E">
          <w:rPr>
            <w:webHidden/>
          </w:rPr>
          <w:fldChar w:fldCharType="separate"/>
        </w:r>
        <w:r w:rsidR="00273A8E">
          <w:rPr>
            <w:webHidden/>
          </w:rPr>
          <w:t>14</w:t>
        </w:r>
        <w:r w:rsidR="00273A8E">
          <w:rPr>
            <w:webHidden/>
          </w:rPr>
          <w:fldChar w:fldCharType="end"/>
        </w:r>
      </w:hyperlink>
    </w:p>
    <w:p w14:paraId="1E78D3FB" w14:textId="1E177432" w:rsidR="00273A8E" w:rsidRDefault="00995088">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81283307" w:history="1">
        <w:r w:rsidR="00273A8E" w:rsidRPr="008125C5">
          <w:rPr>
            <w:rStyle w:val="Hyperlink"/>
          </w:rPr>
          <w:t>Acronyms and abbreviations</w:t>
        </w:r>
        <w:r w:rsidR="00273A8E">
          <w:rPr>
            <w:webHidden/>
          </w:rPr>
          <w:tab/>
        </w:r>
        <w:r w:rsidR="00273A8E">
          <w:rPr>
            <w:webHidden/>
          </w:rPr>
          <w:fldChar w:fldCharType="begin"/>
        </w:r>
        <w:r w:rsidR="00273A8E">
          <w:rPr>
            <w:webHidden/>
          </w:rPr>
          <w:instrText xml:space="preserve"> PAGEREF _Toc181283307 \h </w:instrText>
        </w:r>
        <w:r w:rsidR="00273A8E">
          <w:rPr>
            <w:webHidden/>
          </w:rPr>
        </w:r>
        <w:r w:rsidR="00273A8E">
          <w:rPr>
            <w:webHidden/>
          </w:rPr>
          <w:fldChar w:fldCharType="separate"/>
        </w:r>
        <w:r w:rsidR="00273A8E">
          <w:rPr>
            <w:webHidden/>
          </w:rPr>
          <w:t>15</w:t>
        </w:r>
        <w:r w:rsidR="00273A8E">
          <w:rPr>
            <w:webHidden/>
          </w:rPr>
          <w:fldChar w:fldCharType="end"/>
        </w:r>
      </w:hyperlink>
    </w:p>
    <w:p w14:paraId="1C690021" w14:textId="7E4AF5D6" w:rsidR="00273A8E" w:rsidRDefault="00995088">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81283308" w:history="1">
        <w:r w:rsidR="00273A8E" w:rsidRPr="008125C5">
          <w:rPr>
            <w:rStyle w:val="Hyperlink"/>
          </w:rPr>
          <w:t>References</w:t>
        </w:r>
        <w:r w:rsidR="00273A8E">
          <w:rPr>
            <w:webHidden/>
          </w:rPr>
          <w:tab/>
        </w:r>
        <w:r w:rsidR="00273A8E">
          <w:rPr>
            <w:webHidden/>
          </w:rPr>
          <w:fldChar w:fldCharType="begin"/>
        </w:r>
        <w:r w:rsidR="00273A8E">
          <w:rPr>
            <w:webHidden/>
          </w:rPr>
          <w:instrText xml:space="preserve"> PAGEREF _Toc181283308 \h </w:instrText>
        </w:r>
        <w:r w:rsidR="00273A8E">
          <w:rPr>
            <w:webHidden/>
          </w:rPr>
        </w:r>
        <w:r w:rsidR="00273A8E">
          <w:rPr>
            <w:webHidden/>
          </w:rPr>
          <w:fldChar w:fldCharType="separate"/>
        </w:r>
        <w:r w:rsidR="00273A8E">
          <w:rPr>
            <w:webHidden/>
          </w:rPr>
          <w:t>16</w:t>
        </w:r>
        <w:r w:rsidR="00273A8E">
          <w:rPr>
            <w:webHidden/>
          </w:rPr>
          <w:fldChar w:fldCharType="end"/>
        </w:r>
      </w:hyperlink>
    </w:p>
    <w:p w14:paraId="7B6F4F14" w14:textId="77777777" w:rsidR="00273A8E" w:rsidRDefault="00B05454" w:rsidP="00B05454">
      <w:pPr>
        <w:pStyle w:val="TOCH1"/>
        <w:spacing w:before="500"/>
        <w:rPr>
          <w:noProof/>
        </w:rPr>
      </w:pPr>
      <w:r>
        <w:rPr>
          <w:rFonts w:ascii="Trebuchet MS" w:hAnsi="Trebuchet MS"/>
          <w:b/>
          <w:caps/>
          <w:noProof/>
          <w:color w:val="00747A" w:themeColor="background2"/>
          <w:szCs w:val="30"/>
        </w:rPr>
        <w:fldChar w:fldCharType="end"/>
      </w:r>
      <w:r w:rsidRPr="00FB0015">
        <w:rPr>
          <w:noProof/>
        </w:rPr>
        <w:t>List of tables</w:t>
      </w:r>
      <w:r>
        <w:rPr>
          <w:noProof/>
          <w:color w:val="00747A" w:themeColor="background2"/>
        </w:rPr>
        <w:fldChar w:fldCharType="begin"/>
      </w:r>
      <w:r>
        <w:rPr>
          <w:noProof/>
          <w:color w:val="00747A" w:themeColor="background2"/>
        </w:rPr>
        <w:instrText xml:space="preserve"> TOC \h \z \c "Table" </w:instrText>
      </w:r>
      <w:r>
        <w:rPr>
          <w:noProof/>
          <w:color w:val="00747A" w:themeColor="background2"/>
        </w:rPr>
        <w:fldChar w:fldCharType="separate"/>
      </w:r>
    </w:p>
    <w:p w14:paraId="78399F48" w14:textId="35536244" w:rsidR="00273A8E" w:rsidRDefault="00995088">
      <w:pPr>
        <w:pStyle w:val="TableofFigures"/>
        <w:rPr>
          <w:rFonts w:asciiTheme="minorHAnsi" w:eastAsiaTheme="minorEastAsia" w:hAnsiTheme="minorHAnsi" w:cstheme="minorBidi"/>
          <w:color w:val="auto"/>
          <w:kern w:val="2"/>
          <w:sz w:val="24"/>
          <w:lang w:eastAsia="en-AU"/>
          <w14:ligatures w14:val="standardContextual"/>
        </w:rPr>
      </w:pPr>
      <w:hyperlink w:anchor="_Toc181283309" w:history="1">
        <w:r w:rsidR="00273A8E" w:rsidRPr="00263CC8">
          <w:rPr>
            <w:rStyle w:val="Hyperlink"/>
          </w:rPr>
          <w:t>Table 1:</w:t>
        </w:r>
        <w:r w:rsidR="00273A8E">
          <w:rPr>
            <w:rFonts w:asciiTheme="minorHAnsi" w:eastAsiaTheme="minorEastAsia" w:hAnsiTheme="minorHAnsi" w:cstheme="minorBidi"/>
            <w:color w:val="auto"/>
            <w:kern w:val="2"/>
            <w:sz w:val="24"/>
            <w:lang w:eastAsia="en-AU"/>
            <w14:ligatures w14:val="standardContextual"/>
          </w:rPr>
          <w:tab/>
        </w:r>
        <w:r w:rsidR="00273A8E" w:rsidRPr="00263CC8">
          <w:rPr>
            <w:rStyle w:val="Hyperlink"/>
          </w:rPr>
          <w:t>Reference documents</w:t>
        </w:r>
        <w:r w:rsidR="00273A8E">
          <w:rPr>
            <w:webHidden/>
          </w:rPr>
          <w:tab/>
        </w:r>
        <w:r w:rsidR="00273A8E">
          <w:rPr>
            <w:webHidden/>
          </w:rPr>
          <w:fldChar w:fldCharType="begin"/>
        </w:r>
        <w:r w:rsidR="00273A8E">
          <w:rPr>
            <w:webHidden/>
          </w:rPr>
          <w:instrText xml:space="preserve"> PAGEREF _Toc181283309 \h </w:instrText>
        </w:r>
        <w:r w:rsidR="00273A8E">
          <w:rPr>
            <w:webHidden/>
          </w:rPr>
        </w:r>
        <w:r w:rsidR="00273A8E">
          <w:rPr>
            <w:webHidden/>
          </w:rPr>
          <w:fldChar w:fldCharType="separate"/>
        </w:r>
        <w:r w:rsidR="00273A8E">
          <w:rPr>
            <w:webHidden/>
          </w:rPr>
          <w:t>3</w:t>
        </w:r>
        <w:r w:rsidR="00273A8E">
          <w:rPr>
            <w:webHidden/>
          </w:rPr>
          <w:fldChar w:fldCharType="end"/>
        </w:r>
      </w:hyperlink>
    </w:p>
    <w:p w14:paraId="55A09872" w14:textId="1418FFF2" w:rsidR="00273A8E" w:rsidRDefault="00995088">
      <w:pPr>
        <w:pStyle w:val="TableofFigures"/>
        <w:rPr>
          <w:rFonts w:asciiTheme="minorHAnsi" w:eastAsiaTheme="minorEastAsia" w:hAnsiTheme="minorHAnsi" w:cstheme="minorBidi"/>
          <w:color w:val="auto"/>
          <w:kern w:val="2"/>
          <w:sz w:val="24"/>
          <w:lang w:eastAsia="en-AU"/>
          <w14:ligatures w14:val="standardContextual"/>
        </w:rPr>
      </w:pPr>
      <w:hyperlink w:anchor="_Toc181283310" w:history="1">
        <w:r w:rsidR="00273A8E" w:rsidRPr="00263CC8">
          <w:rPr>
            <w:rStyle w:val="Hyperlink"/>
          </w:rPr>
          <w:t>Table 2:</w:t>
        </w:r>
        <w:r w:rsidR="00273A8E">
          <w:rPr>
            <w:rFonts w:asciiTheme="minorHAnsi" w:eastAsiaTheme="minorEastAsia" w:hAnsiTheme="minorHAnsi" w:cstheme="minorBidi"/>
            <w:color w:val="auto"/>
            <w:kern w:val="2"/>
            <w:sz w:val="24"/>
            <w:lang w:eastAsia="en-AU"/>
            <w14:ligatures w14:val="standardContextual"/>
          </w:rPr>
          <w:tab/>
        </w:r>
        <w:r w:rsidR="00273A8E" w:rsidRPr="00263CC8">
          <w:rPr>
            <w:rStyle w:val="Hyperlink"/>
          </w:rPr>
          <w:t>Appropriate label claims with corresponding demonstrated efficacy requirement</w:t>
        </w:r>
        <w:r w:rsidR="00273A8E">
          <w:rPr>
            <w:webHidden/>
          </w:rPr>
          <w:tab/>
        </w:r>
        <w:r w:rsidR="00273A8E">
          <w:rPr>
            <w:webHidden/>
          </w:rPr>
          <w:fldChar w:fldCharType="begin"/>
        </w:r>
        <w:r w:rsidR="00273A8E">
          <w:rPr>
            <w:webHidden/>
          </w:rPr>
          <w:instrText xml:space="preserve"> PAGEREF _Toc181283310 \h </w:instrText>
        </w:r>
        <w:r w:rsidR="00273A8E">
          <w:rPr>
            <w:webHidden/>
          </w:rPr>
        </w:r>
        <w:r w:rsidR="00273A8E">
          <w:rPr>
            <w:webHidden/>
          </w:rPr>
          <w:fldChar w:fldCharType="separate"/>
        </w:r>
        <w:r w:rsidR="00273A8E">
          <w:rPr>
            <w:webHidden/>
          </w:rPr>
          <w:t>14</w:t>
        </w:r>
        <w:r w:rsidR="00273A8E">
          <w:rPr>
            <w:webHidden/>
          </w:rPr>
          <w:fldChar w:fldCharType="end"/>
        </w:r>
      </w:hyperlink>
    </w:p>
    <w:p w14:paraId="642BE59F" w14:textId="75E536C5" w:rsidR="002A3239" w:rsidRDefault="00B05454" w:rsidP="00B05454">
      <w:pPr>
        <w:pStyle w:val="NormalText"/>
        <w:rPr>
          <w:noProof/>
        </w:rPr>
        <w:sectPr w:rsidR="002A3239">
          <w:headerReference w:type="even" r:id="rId18"/>
          <w:headerReference w:type="default" r:id="rId19"/>
          <w:footerReference w:type="default" r:id="rId20"/>
          <w:pgSz w:w="11906" w:h="16838" w:code="9"/>
          <w:pgMar w:top="2835" w:right="1134" w:bottom="1134" w:left="1134" w:header="1701" w:footer="680" w:gutter="0"/>
          <w:pgNumType w:fmt="lowerRoman"/>
          <w:cols w:space="708"/>
          <w:docGrid w:linePitch="360"/>
        </w:sectPr>
      </w:pPr>
      <w:r>
        <w:rPr>
          <w:noProof/>
        </w:rPr>
        <w:fldChar w:fldCharType="end"/>
      </w:r>
    </w:p>
    <w:p w14:paraId="03150232" w14:textId="72B0AF20" w:rsidR="002E20AC" w:rsidRDefault="002E20AC" w:rsidP="00D23D6A">
      <w:pPr>
        <w:pStyle w:val="PreliminariesH1"/>
      </w:pPr>
      <w:bookmarkStart w:id="1" w:name="_Toc234063054"/>
      <w:bookmarkStart w:id="2" w:name="_Toc414373831"/>
      <w:bookmarkStart w:id="3" w:name="_Toc135232585"/>
      <w:bookmarkStart w:id="4" w:name="_Toc181283288"/>
      <w:r>
        <w:lastRenderedPageBreak/>
        <w:t>Preface</w:t>
      </w:r>
      <w:bookmarkEnd w:id="1"/>
      <w:bookmarkEnd w:id="2"/>
      <w:bookmarkEnd w:id="3"/>
      <w:bookmarkEnd w:id="4"/>
    </w:p>
    <w:p w14:paraId="59A71DA2" w14:textId="77777777" w:rsidR="00462AD5" w:rsidRPr="002E7417" w:rsidRDefault="00462AD5" w:rsidP="00462AD5">
      <w:pPr>
        <w:pStyle w:val="NormalText"/>
      </w:pPr>
      <w:r w:rsidRPr="002E7417">
        <w:t>Access to safe and effective agricultural and veterinary (agvet) chemicals is important to Australian agricultural and livestock industries, the community, and the environment.</w:t>
      </w:r>
    </w:p>
    <w:p w14:paraId="7B28AF0B" w14:textId="77777777" w:rsidR="00462AD5" w:rsidRPr="002E7417" w:rsidRDefault="00462AD5" w:rsidP="00462AD5">
      <w:pPr>
        <w:pStyle w:val="NormalText"/>
      </w:pPr>
      <w:r w:rsidRPr="002E7417">
        <w:t xml:space="preserve">Section 14(1)(c) of the </w:t>
      </w:r>
      <w:r w:rsidRPr="00CF357F">
        <w:rPr>
          <w:i/>
          <w:iCs/>
        </w:rPr>
        <w:t>Agricultural and Veterinary Chemicals Code Act 1994</w:t>
      </w:r>
      <w:r w:rsidRPr="002E7417">
        <w:t xml:space="preserve"> (Agvet Code) requires that prior to registration of a chemical product, the APVMA must be satisfied that the use of the product meets the safety, trade and efficacy criteria.</w:t>
      </w:r>
    </w:p>
    <w:p w14:paraId="62D043C3" w14:textId="7D3829AE" w:rsidR="00462AD5" w:rsidRPr="002E7417" w:rsidRDefault="00462AD5" w:rsidP="00462AD5">
      <w:pPr>
        <w:pStyle w:val="NormalText"/>
      </w:pPr>
      <w:r w:rsidRPr="002E7417">
        <w:t>The APVMA has prepared a guideline for veterinary products containing Non-Steroidal Anti-inflammatory Drugs (NSAIDs). This new guideline has been prepared to provided applicants with advice about the types of information they can submit to the APVMA to address the efficacy and safety criteria for NSAIDs in animals.</w:t>
      </w:r>
    </w:p>
    <w:p w14:paraId="6AC478F6" w14:textId="77777777" w:rsidR="00462AD5" w:rsidRPr="002E7417" w:rsidRDefault="00462AD5" w:rsidP="00462AD5">
      <w:pPr>
        <w:pStyle w:val="NormalText"/>
      </w:pPr>
      <w:r w:rsidRPr="002E7417">
        <w:t>The proposed draft guidelines are below.</w:t>
      </w:r>
    </w:p>
    <w:p w14:paraId="5801EE30" w14:textId="3E3CA30D" w:rsidR="002E20AC" w:rsidRPr="008344A3" w:rsidRDefault="007772C2" w:rsidP="008344A3">
      <w:pPr>
        <w:pStyle w:val="PreliminariesH2"/>
      </w:pPr>
      <w:bookmarkStart w:id="5" w:name="_Toc414373832"/>
      <w:bookmarkStart w:id="6" w:name="_Toc135232586"/>
      <w:bookmarkStart w:id="7" w:name="_Toc181283289"/>
      <w:r w:rsidRPr="008344A3">
        <w:t>Next steps/consultation</w:t>
      </w:r>
      <w:bookmarkEnd w:id="5"/>
      <w:bookmarkEnd w:id="6"/>
      <w:bookmarkEnd w:id="7"/>
    </w:p>
    <w:p w14:paraId="02F71FA0" w14:textId="77777777" w:rsidR="003C13FB" w:rsidRPr="00012B33" w:rsidRDefault="003C13FB" w:rsidP="003C13FB">
      <w:pPr>
        <w:pStyle w:val="NormalText"/>
      </w:pPr>
      <w:r w:rsidRPr="00012B33">
        <w:t xml:space="preserve">The APMVA invites written submissions on </w:t>
      </w:r>
      <w:r>
        <w:t>the proposed draft guidelines in this document.</w:t>
      </w:r>
    </w:p>
    <w:p w14:paraId="5D84E2E3" w14:textId="57C2B414" w:rsidR="003C13FB" w:rsidRPr="00012B33" w:rsidRDefault="003C13FB" w:rsidP="003C13FB">
      <w:pPr>
        <w:pStyle w:val="NormalText"/>
      </w:pPr>
      <w:r w:rsidRPr="00012B33">
        <w:t xml:space="preserve">Your feedback will help us to identify ways to improve the guidance for </w:t>
      </w:r>
      <w:r>
        <w:t xml:space="preserve">the evaluation of non-steroidal </w:t>
      </w:r>
      <w:r w:rsidR="008368AD">
        <w:br/>
      </w:r>
      <w:r>
        <w:t>anti-inflammatory drugs</w:t>
      </w:r>
      <w:r w:rsidRPr="00012B33">
        <w:t>. The APVMA may follow up with you for further information about your submission.</w:t>
      </w:r>
    </w:p>
    <w:p w14:paraId="4E010D49" w14:textId="77777777" w:rsidR="003C13FB" w:rsidRPr="00012B33" w:rsidRDefault="003C13FB" w:rsidP="003C13FB">
      <w:pPr>
        <w:pStyle w:val="NormalText"/>
      </w:pPr>
      <w:r w:rsidRPr="000B5966">
        <w:rPr>
          <w:b/>
          <w:bCs/>
        </w:rPr>
        <w:t>Please note</w:t>
      </w:r>
      <w:r w:rsidRPr="00012B33">
        <w:t>: submissions will be published on the APVMA’s website, unless you have asked for the submission to remain confidential, or if the APVMA chooses at its discretion not to publish any submissions received (refer to the </w:t>
      </w:r>
      <w:hyperlink r:id="rId21" w:history="1">
        <w:r w:rsidRPr="00012B33">
          <w:rPr>
            <w:rStyle w:val="Hyperlink"/>
          </w:rPr>
          <w:t>public consultation coversheet</w:t>
        </w:r>
      </w:hyperlink>
      <w:r w:rsidRPr="00012B33">
        <w:t>).</w:t>
      </w:r>
    </w:p>
    <w:p w14:paraId="19678CCD" w14:textId="77777777" w:rsidR="003C13FB" w:rsidRDefault="003C13FB" w:rsidP="003C13FB">
      <w:pPr>
        <w:pStyle w:val="NormalText"/>
      </w:pPr>
      <w:r w:rsidRPr="00012B33">
        <w:t>Please lodge your submission using the </w:t>
      </w:r>
      <w:hyperlink r:id="rId22" w:history="1">
        <w:r w:rsidRPr="00012B33">
          <w:rPr>
            <w:rStyle w:val="Hyperlink"/>
          </w:rPr>
          <w:t>public consultation coversheet</w:t>
        </w:r>
      </w:hyperlink>
      <w:r w:rsidRPr="00012B33">
        <w:t>, which provides options for how your submission will be published.</w:t>
      </w:r>
    </w:p>
    <w:p w14:paraId="6329C26A" w14:textId="77777777" w:rsidR="00AD696C" w:rsidRDefault="00AD696C" w:rsidP="004E7F36">
      <w:pPr>
        <w:pStyle w:val="NormalText"/>
      </w:pPr>
      <w:r w:rsidRPr="0066107B">
        <w:t xml:space="preserve">Note that all APVMA documents are subject to the access provisions of the </w:t>
      </w:r>
      <w:r w:rsidRPr="0066107B">
        <w:rPr>
          <w:i/>
        </w:rPr>
        <w:t>Freedom of Information Act 1982</w:t>
      </w:r>
      <w:r w:rsidRPr="0066107B">
        <w:t xml:space="preserve"> and may be required to be released under that Act should a request for access be made.</w:t>
      </w:r>
    </w:p>
    <w:p w14:paraId="541444BB" w14:textId="77777777" w:rsidR="00AD696C" w:rsidRDefault="00AD696C" w:rsidP="004E7F36">
      <w:pPr>
        <w:pStyle w:val="NormalText"/>
      </w:pPr>
      <w:r>
        <w:t>Unless you request for your submission to remain confidential, the APVMA may release your submission to the applicant for comment.</w:t>
      </w:r>
    </w:p>
    <w:p w14:paraId="289DAD2D" w14:textId="77777777" w:rsidR="00AD696C" w:rsidRDefault="00AD696C" w:rsidP="004E7F36">
      <w:pPr>
        <w:pStyle w:val="NormalText"/>
      </w:pPr>
      <w:r>
        <w:t>Written submissions should be addressed to:</w:t>
      </w:r>
    </w:p>
    <w:p w14:paraId="440958C3" w14:textId="3DDC5F09" w:rsidR="00AD696C" w:rsidRDefault="00AD696C" w:rsidP="00AD696C">
      <w:pPr>
        <w:pStyle w:val="APVMAAddress"/>
        <w:tabs>
          <w:tab w:val="clear" w:pos="1361"/>
          <w:tab w:val="left" w:pos="851"/>
        </w:tabs>
        <w:ind w:left="0"/>
      </w:pPr>
      <w:r w:rsidRPr="00AD696C">
        <w:t xml:space="preserve">Efficacy and Safety </w:t>
      </w:r>
      <w:r>
        <w:t xml:space="preserve">Team – </w:t>
      </w:r>
      <w:r w:rsidRPr="00AD696C">
        <w:t>Risk Assessment Capability</w:t>
      </w:r>
      <w:r>
        <w:br/>
        <w:t>Australian Pesticides and Veterinary Medicines Authority</w:t>
      </w:r>
      <w:r>
        <w:br/>
        <w:t>PO Box 574</w:t>
      </w:r>
      <w:r>
        <w:br/>
        <w:t>Canberra ACT 2601</w:t>
      </w:r>
    </w:p>
    <w:p w14:paraId="6C8FDA88" w14:textId="42FC9D2C" w:rsidR="00AD696C" w:rsidRPr="00012B33" w:rsidRDefault="00AD696C" w:rsidP="00AD696C">
      <w:pPr>
        <w:pStyle w:val="NormalText"/>
      </w:pPr>
      <w:r>
        <w:rPr>
          <w:b/>
        </w:rPr>
        <w:t>Phone:</w:t>
      </w:r>
      <w:r>
        <w:tab/>
        <w:t>+61 2 6770 2300</w:t>
      </w:r>
      <w:r>
        <w:rPr>
          <w:b/>
        </w:rPr>
        <w:br/>
        <w:t>Email:</w:t>
      </w:r>
      <w:r>
        <w:tab/>
      </w:r>
      <w:hyperlink r:id="rId23" w:history="1">
        <w:r w:rsidRPr="00AD696C">
          <w:rPr>
            <w:rStyle w:val="Hyperlink"/>
          </w:rPr>
          <w:t>enquiries@apvma.gov.au</w:t>
        </w:r>
      </w:hyperlink>
    </w:p>
    <w:p w14:paraId="0304CBEE" w14:textId="77777777" w:rsidR="002E20AC" w:rsidRDefault="002E20AC">
      <w:pPr>
        <w:pStyle w:val="NormalText"/>
        <w:sectPr w:rsidR="002E20AC">
          <w:headerReference w:type="default" r:id="rId24"/>
          <w:pgSz w:w="11906" w:h="16838" w:code="9"/>
          <w:pgMar w:top="2835" w:right="1134" w:bottom="1134" w:left="1134" w:header="1701" w:footer="680" w:gutter="0"/>
          <w:pgNumType w:start="1"/>
          <w:cols w:space="708"/>
          <w:docGrid w:linePitch="360"/>
        </w:sectPr>
      </w:pPr>
    </w:p>
    <w:p w14:paraId="6A1014FE" w14:textId="4AF1B774" w:rsidR="002E20AC" w:rsidRDefault="003C13FB" w:rsidP="008B550C">
      <w:pPr>
        <w:pStyle w:val="Heading1"/>
      </w:pPr>
      <w:bookmarkStart w:id="8" w:name="_Toc414373834"/>
      <w:bookmarkStart w:id="9" w:name="_Toc135232588"/>
      <w:bookmarkStart w:id="10" w:name="_Toc181283290"/>
      <w:r>
        <w:lastRenderedPageBreak/>
        <w:t>Guideline for the evaluation of the efficacy of non-steroidal anti-inflammatory drugs (NSAIDs), with respect to anti-inflammatory, analgesic and anti-pyretic effects</w:t>
      </w:r>
      <w:bookmarkEnd w:id="8"/>
      <w:bookmarkEnd w:id="9"/>
      <w:bookmarkEnd w:id="10"/>
    </w:p>
    <w:p w14:paraId="48F84DF5" w14:textId="1E4CC82E" w:rsidR="002E20AC" w:rsidRPr="00943C8D" w:rsidRDefault="00943C8D" w:rsidP="00943C8D">
      <w:pPr>
        <w:pStyle w:val="Heading2"/>
      </w:pPr>
      <w:bookmarkStart w:id="11" w:name="_Toc414373835"/>
      <w:bookmarkStart w:id="12" w:name="_Toc135232589"/>
      <w:bookmarkStart w:id="13" w:name="_Toc181283291"/>
      <w:r w:rsidRPr="00943C8D">
        <w:t>1.</w:t>
      </w:r>
      <w:r>
        <w:t xml:space="preserve"> </w:t>
      </w:r>
      <w:r w:rsidR="00F67613" w:rsidRPr="008432B4">
        <w:t>Scope</w:t>
      </w:r>
      <w:bookmarkEnd w:id="11"/>
      <w:bookmarkEnd w:id="12"/>
      <w:bookmarkEnd w:id="13"/>
    </w:p>
    <w:p w14:paraId="74516C8C" w14:textId="386983B1" w:rsidR="00F67613" w:rsidRPr="00951BE7" w:rsidRDefault="00F67613" w:rsidP="00F67613">
      <w:pPr>
        <w:pStyle w:val="NormalText"/>
      </w:pPr>
      <w:r w:rsidRPr="00951BE7">
        <w:t xml:space="preserve">For the purposes of this guideline, an NSAID will be defined as that group of substances that can be classified by clinical-chemical tests </w:t>
      </w:r>
      <w:r w:rsidRPr="00951BE7">
        <w:rPr>
          <w:i/>
          <w:iCs/>
        </w:rPr>
        <w:t>ex vivo</w:t>
      </w:r>
      <w:r w:rsidRPr="00951BE7">
        <w:t xml:space="preserve"> for their ability to inhibit isoforms of the enzyme cyclooxygenase (COX), which catalyses the conversion of arachidonic acid into prostaglandins and thromboxane </w:t>
      </w:r>
      <w:r w:rsidRPr="00951BE7">
        <w:rPr>
          <w:i/>
          <w:iCs/>
        </w:rPr>
        <w:t>in vivo</w:t>
      </w:r>
      <w:r w:rsidRPr="00951BE7">
        <w:t>. However, this guideline may be extended, where appropriate, to studies aimed at demonstrating the efficacy of other non-steroidal</w:t>
      </w:r>
      <w:r w:rsidR="00A2569D">
        <w:br/>
      </w:r>
      <w:r w:rsidRPr="00951BE7">
        <w:t>anti-inflammatory agents such as lipoxygenase inhibitors and cytokine antagonists.</w:t>
      </w:r>
    </w:p>
    <w:p w14:paraId="1CD162C1" w14:textId="3BF451C3" w:rsidR="00F67613" w:rsidRPr="00951BE7" w:rsidRDefault="00F67613" w:rsidP="00F67613">
      <w:pPr>
        <w:pStyle w:val="NormalText"/>
      </w:pPr>
      <w:r w:rsidRPr="00951BE7">
        <w:t xml:space="preserve">This is a guideline about the types of information you can submit to </w:t>
      </w:r>
      <w:r w:rsidR="00A2569D">
        <w:t xml:space="preserve">the </w:t>
      </w:r>
      <w:r w:rsidRPr="00951BE7">
        <w:t>APVMA to address the efficacy criteria for Non-Steroidal Anti-Inflammatory Drugs (NSAIDs) in animals. For further information on the efficacy criteria, refer to</w:t>
      </w:r>
      <w:r w:rsidR="00A2569D">
        <w:t xml:space="preserve"> </w:t>
      </w:r>
      <w:hyperlink r:id="rId25" w:history="1">
        <w:r w:rsidRPr="00951BE7">
          <w:rPr>
            <w:rStyle w:val="Hyperlink"/>
            <w:bdr w:val="none" w:sz="0" w:space="0" w:color="auto" w:frame="1"/>
          </w:rPr>
          <w:t>satisfying the statutory criteria</w:t>
        </w:r>
      </w:hyperlink>
      <w:r w:rsidRPr="00951BE7">
        <w:t xml:space="preserve">. The objective of this guideline is to specify recommendations for the design, conduct, and evaluation of clinical studies for NSAIDs to be provided in support of an application to register a new NSAID, or to vary the indications of an already registered NSAID. It provides recommendations on how to appropriately demonstrate clinical efficacy through clinical trials where the selection of control and efficacy endpoints is regarded as </w:t>
      </w:r>
      <w:r>
        <w:t xml:space="preserve">a </w:t>
      </w:r>
      <w:r w:rsidRPr="00951BE7">
        <w:t xml:space="preserve">key issue for obtaining conclusive information. </w:t>
      </w:r>
      <w:r w:rsidRPr="009A1A85">
        <w:t xml:space="preserve">In conducting efficacy studies, safety aspects are also critical to include and consider. </w:t>
      </w:r>
      <w:r w:rsidRPr="00951BE7">
        <w:t>The guideline also includes safety aspects when studies are undertaken to assess efficacy.</w:t>
      </w:r>
    </w:p>
    <w:p w14:paraId="27C65324" w14:textId="07FDC378" w:rsidR="00F67613" w:rsidRPr="00951BE7" w:rsidRDefault="00F67613" w:rsidP="00F67613">
      <w:pPr>
        <w:pStyle w:val="NormalText"/>
        <w:rPr>
          <w:shd w:val="clear" w:color="auto" w:fill="FFFFFF"/>
        </w:rPr>
      </w:pPr>
      <w:r w:rsidRPr="00951BE7">
        <w:rPr>
          <w:spacing w:val="2"/>
          <w:shd w:val="clear" w:color="auto" w:fill="FFFFFF"/>
        </w:rPr>
        <w:t xml:space="preserve">Generally, the classification </w:t>
      </w:r>
      <w:r>
        <w:rPr>
          <w:spacing w:val="2"/>
          <w:shd w:val="clear" w:color="auto" w:fill="FFFFFF"/>
        </w:rPr>
        <w:t>‘</w:t>
      </w:r>
      <w:r w:rsidRPr="00951BE7">
        <w:rPr>
          <w:spacing w:val="2"/>
          <w:shd w:val="clear" w:color="auto" w:fill="FFFFFF"/>
        </w:rPr>
        <w:t>NSAID</w:t>
      </w:r>
      <w:r>
        <w:rPr>
          <w:spacing w:val="2"/>
          <w:shd w:val="clear" w:color="auto" w:fill="FFFFFF"/>
        </w:rPr>
        <w:t>’</w:t>
      </w:r>
      <w:r w:rsidRPr="00951BE7">
        <w:rPr>
          <w:spacing w:val="2"/>
          <w:shd w:val="clear" w:color="auto" w:fill="FFFFFF"/>
        </w:rPr>
        <w:t xml:space="preserve"> is applied to drugs that inhibit one or more steps in the metabolism of arachidonic </w:t>
      </w:r>
      <w:proofErr w:type="gramStart"/>
      <w:r w:rsidRPr="00951BE7">
        <w:rPr>
          <w:spacing w:val="2"/>
          <w:shd w:val="clear" w:color="auto" w:fill="FFFFFF"/>
        </w:rPr>
        <w:t>acid .</w:t>
      </w:r>
      <w:proofErr w:type="gramEnd"/>
      <w:r w:rsidRPr="00951BE7">
        <w:rPr>
          <w:spacing w:val="2"/>
          <w:shd w:val="clear" w:color="auto" w:fill="FFFFFF"/>
        </w:rPr>
        <w:t xml:space="preserve"> NSAIDs act primarily to reduce the biosynthesis </w:t>
      </w:r>
      <w:r w:rsidRPr="00951BE7">
        <w:t xml:space="preserve">or function </w:t>
      </w:r>
      <w:r w:rsidRPr="00951BE7">
        <w:rPr>
          <w:spacing w:val="2"/>
          <w:shd w:val="clear" w:color="auto" w:fill="FFFFFF"/>
        </w:rPr>
        <w:t xml:space="preserve">of prostaglandins </w:t>
      </w:r>
      <w:r w:rsidRPr="00951BE7">
        <w:t>that are involved in inflammation,</w:t>
      </w:r>
      <w:r w:rsidRPr="00951BE7">
        <w:rPr>
          <w:spacing w:val="2"/>
          <w:shd w:val="clear" w:color="auto" w:fill="FFFFFF"/>
        </w:rPr>
        <w:t xml:space="preserve"> by inhibiting cyclooxygenase (COX-1 and/or COX-2).</w:t>
      </w:r>
      <w:r w:rsidR="00A2569D">
        <w:rPr>
          <w:spacing w:val="2"/>
          <w:shd w:val="clear" w:color="auto" w:fill="FFFFFF"/>
        </w:rPr>
        <w:t xml:space="preserve"> </w:t>
      </w:r>
      <w:r w:rsidRPr="00951BE7">
        <w:rPr>
          <w:spacing w:val="2"/>
          <w:shd w:val="clear" w:color="auto" w:fill="FFFFFF"/>
        </w:rPr>
        <w:t xml:space="preserve">Other mechanisms of action may also be relevant to inflammation, pain and temperature regulation. </w:t>
      </w:r>
      <w:r w:rsidRPr="00951BE7">
        <w:t>Veterinary NSAIDs are commonly used to control fever, pain and other signs of inflammation in animals.</w:t>
      </w:r>
    </w:p>
    <w:p w14:paraId="5CE10260" w14:textId="4A5DA8B9" w:rsidR="00F67613" w:rsidRPr="00BB1DF5" w:rsidRDefault="00F67613" w:rsidP="004E7F36">
      <w:pPr>
        <w:pStyle w:val="Boxtext"/>
      </w:pPr>
      <w:r w:rsidRPr="00784886">
        <w:rPr>
          <w:b/>
          <w:bCs/>
        </w:rPr>
        <w:t>Note</w:t>
      </w:r>
      <w:r w:rsidRPr="00BB1DF5">
        <w:t xml:space="preserve"> </w:t>
      </w:r>
      <w:r w:rsidR="00784886">
        <w:t>-</w:t>
      </w:r>
      <w:r w:rsidRPr="00BB1DF5">
        <w:t xml:space="preserve"> This guideline may also be useful for veterinary medicines that are claimed to be useful in the management of inflammation but are not classically defined as NSAIDs.</w:t>
      </w:r>
    </w:p>
    <w:p w14:paraId="3F2511EA" w14:textId="12AA1C99" w:rsidR="00F67613" w:rsidRPr="007663D2" w:rsidRDefault="00F67613" w:rsidP="004E7F36">
      <w:pPr>
        <w:pStyle w:val="Boxtext"/>
      </w:pPr>
      <w:r w:rsidRPr="00784886">
        <w:rPr>
          <w:b/>
          <w:bCs/>
        </w:rPr>
        <w:t>Note</w:t>
      </w:r>
      <w:r w:rsidRPr="007663D2">
        <w:t xml:space="preserve"> </w:t>
      </w:r>
      <w:r w:rsidR="00784886">
        <w:t>-</w:t>
      </w:r>
      <w:r w:rsidRPr="007663D2">
        <w:t xml:space="preserve"> This guideline focusses on oral and injectable anti-inflammatory drugs but may also be useful for veterinary medicines used topically or by other routes</w:t>
      </w:r>
      <w:r w:rsidR="00356F33">
        <w:t>, for example</w:t>
      </w:r>
      <w:r w:rsidRPr="007663D2">
        <w:t xml:space="preserve"> topical formulations. Other routes of administration may require further data</w:t>
      </w:r>
      <w:r w:rsidR="00356F33">
        <w:t>, for example</w:t>
      </w:r>
      <w:r w:rsidR="00301BA4">
        <w:t xml:space="preserve"> </w:t>
      </w:r>
      <w:r w:rsidRPr="007663D2">
        <w:t xml:space="preserve">on </w:t>
      </w:r>
      <w:r w:rsidR="00A2569D" w:rsidRPr="007663D2">
        <w:t>bio</w:t>
      </w:r>
      <w:r w:rsidR="00A2569D">
        <w:t>availability</w:t>
      </w:r>
      <w:r w:rsidRPr="007663D2">
        <w:t>.</w:t>
      </w:r>
    </w:p>
    <w:p w14:paraId="0C2D0D36" w14:textId="20B0DEBF" w:rsidR="00F67613" w:rsidRPr="004E7F36" w:rsidRDefault="00F67613" w:rsidP="004E7F36">
      <w:pPr>
        <w:pStyle w:val="Boxtext"/>
        <w:rPr>
          <w:rStyle w:val="Hyperlink"/>
        </w:rPr>
      </w:pPr>
      <w:r w:rsidRPr="00784886">
        <w:rPr>
          <w:b/>
          <w:bCs/>
        </w:rPr>
        <w:t>Note</w:t>
      </w:r>
      <w:r w:rsidRPr="00BB1DF5">
        <w:t xml:space="preserve"> </w:t>
      </w:r>
      <w:r w:rsidR="00784886">
        <w:t>-</w:t>
      </w:r>
      <w:r w:rsidRPr="00BB1DF5">
        <w:t xml:space="preserve"> This guideline should be read in conjunction with the A</w:t>
      </w:r>
      <w:r w:rsidRPr="00F67613">
        <w:rPr>
          <w:szCs w:val="19"/>
        </w:rPr>
        <w:t xml:space="preserve">PVMA’s </w:t>
      </w:r>
      <w:hyperlink r:id="rId26" w:history="1">
        <w:r w:rsidRPr="004E7F36">
          <w:rPr>
            <w:rStyle w:val="Hyperlink"/>
          </w:rPr>
          <w:t>efficacy and target animal safety general guideline (Part 8)</w:t>
        </w:r>
      </w:hyperlink>
      <w:r w:rsidR="004E7F36" w:rsidRPr="004E7F36">
        <w:t>.</w:t>
      </w:r>
    </w:p>
    <w:p w14:paraId="07C648BC" w14:textId="3E7A1D54" w:rsidR="00F67613" w:rsidRDefault="00F67613">
      <w:pPr>
        <w:pStyle w:val="NormalText"/>
      </w:pPr>
      <w:r w:rsidRPr="00951BE7">
        <w:t>The extent of clinical usage and the range of indications for NSAIDs have increased in recent years. However, it is not possible to provide detailed guidance for all proposed indications in various target animal species. This guideline will therefore focus on recognised pharmacological actions with potential therapeutic benefits of</w:t>
      </w:r>
      <w:r w:rsidR="00A2569D">
        <w:br/>
      </w:r>
      <w:r w:rsidRPr="00951BE7">
        <w:t>anti-pyretic, analgesic and anti-inflammatory effects.</w:t>
      </w:r>
    </w:p>
    <w:p w14:paraId="1E280EDB" w14:textId="77777777" w:rsidR="002E20AC" w:rsidRDefault="002E20AC">
      <w:pPr>
        <w:pStyle w:val="NormalText"/>
        <w:sectPr w:rsidR="002E20AC">
          <w:headerReference w:type="even" r:id="rId27"/>
          <w:pgSz w:w="11906" w:h="16838" w:code="9"/>
          <w:pgMar w:top="2835" w:right="1134" w:bottom="1134" w:left="1134" w:header="1701" w:footer="680" w:gutter="0"/>
          <w:cols w:space="708"/>
          <w:docGrid w:linePitch="360"/>
        </w:sectPr>
      </w:pPr>
    </w:p>
    <w:p w14:paraId="01CEBA0F" w14:textId="56B3B9D2" w:rsidR="002E20AC" w:rsidRPr="00943C8D" w:rsidRDefault="00943C8D" w:rsidP="00943C8D">
      <w:pPr>
        <w:pStyle w:val="Heading2"/>
      </w:pPr>
      <w:bookmarkStart w:id="14" w:name="_Toc414373837"/>
      <w:bookmarkStart w:id="15" w:name="_Toc135232591"/>
      <w:bookmarkStart w:id="16" w:name="_Toc181283292"/>
      <w:r>
        <w:lastRenderedPageBreak/>
        <w:t xml:space="preserve">2. </w:t>
      </w:r>
      <w:r w:rsidR="00F67613" w:rsidRPr="008432B4">
        <w:t xml:space="preserve">Additional </w:t>
      </w:r>
      <w:r w:rsidR="00C75919" w:rsidRPr="008432B4">
        <w:t>g</w:t>
      </w:r>
      <w:r w:rsidR="00F67613" w:rsidRPr="008432B4">
        <w:t xml:space="preserve">uidance </w:t>
      </w:r>
      <w:r w:rsidR="00C75919" w:rsidRPr="008432B4">
        <w:t>m</w:t>
      </w:r>
      <w:r w:rsidR="00F67613" w:rsidRPr="008432B4">
        <w:t>aterial</w:t>
      </w:r>
      <w:bookmarkEnd w:id="14"/>
      <w:bookmarkEnd w:id="15"/>
      <w:bookmarkEnd w:id="16"/>
    </w:p>
    <w:p w14:paraId="214F0471" w14:textId="4FE0771C" w:rsidR="00F67613" w:rsidRPr="004E7F36" w:rsidRDefault="00F67613" w:rsidP="004E7F36">
      <w:pPr>
        <w:pStyle w:val="NormalText"/>
        <w:rPr>
          <w:rStyle w:val="Hyperlink"/>
          <w:color w:val="1A1B1A" w:themeColor="text1" w:themeShade="80"/>
          <w:u w:val="none"/>
        </w:rPr>
      </w:pPr>
      <w:r w:rsidRPr="004E7F36">
        <w:t xml:space="preserve">This guideline references the following documents which may </w:t>
      </w:r>
      <w:r w:rsidRPr="004E7F36">
        <w:rPr>
          <w:rStyle w:val="Hyperlink"/>
          <w:color w:val="1A1B1A" w:themeColor="text1" w:themeShade="80"/>
          <w:u w:val="none"/>
        </w:rPr>
        <w:t xml:space="preserve">assist you in your submission. </w:t>
      </w:r>
      <w:r w:rsidR="009C32D3" w:rsidRPr="009C32D3">
        <w:rPr>
          <w:rStyle w:val="Hyperlink"/>
          <w:color w:val="1A1B1A" w:themeColor="text1" w:themeShade="80"/>
          <w:u w:val="none"/>
        </w:rPr>
        <w:t xml:space="preserve">However, the requirements in this APVMA guide </w:t>
      </w:r>
      <w:r w:rsidR="009C32D3">
        <w:rPr>
          <w:rStyle w:val="Hyperlink"/>
          <w:color w:val="1A1B1A" w:themeColor="text1" w:themeShade="80"/>
          <w:u w:val="none"/>
        </w:rPr>
        <w:t>should</w:t>
      </w:r>
      <w:r w:rsidR="009C32D3" w:rsidRPr="009C32D3">
        <w:rPr>
          <w:rStyle w:val="Hyperlink"/>
          <w:color w:val="1A1B1A" w:themeColor="text1" w:themeShade="80"/>
          <w:u w:val="none"/>
        </w:rPr>
        <w:t xml:space="preserve"> be followed</w:t>
      </w:r>
      <w:r w:rsidRPr="004E7F36">
        <w:rPr>
          <w:rStyle w:val="Hyperlink"/>
          <w:color w:val="1A1B1A" w:themeColor="text1" w:themeShade="80"/>
          <w:u w:val="none"/>
        </w:rPr>
        <w:t xml:space="preserve">. Any deviations from this guideline </w:t>
      </w:r>
      <w:r w:rsidR="009C32D3">
        <w:rPr>
          <w:rStyle w:val="Hyperlink"/>
          <w:color w:val="1A1B1A" w:themeColor="text1" w:themeShade="80"/>
          <w:u w:val="none"/>
        </w:rPr>
        <w:t>must</w:t>
      </w:r>
      <w:r w:rsidR="009C32D3" w:rsidRPr="004E7F36">
        <w:rPr>
          <w:rStyle w:val="Hyperlink"/>
          <w:color w:val="1A1B1A" w:themeColor="text1" w:themeShade="80"/>
          <w:u w:val="none"/>
        </w:rPr>
        <w:t xml:space="preserve"> </w:t>
      </w:r>
      <w:r w:rsidRPr="004E7F36">
        <w:rPr>
          <w:rStyle w:val="Hyperlink"/>
          <w:color w:val="1A1B1A" w:themeColor="text1" w:themeShade="80"/>
          <w:u w:val="none"/>
        </w:rPr>
        <w:t>be fully justified in applicant submissions.</w:t>
      </w:r>
    </w:p>
    <w:p w14:paraId="2D7E7BC2" w14:textId="7BB6EF5B" w:rsidR="00023042" w:rsidRPr="00B05454" w:rsidRDefault="00023042" w:rsidP="00023042">
      <w:pPr>
        <w:pStyle w:val="Caption"/>
      </w:pPr>
      <w:bookmarkStart w:id="17" w:name="_Toc135232887"/>
      <w:bookmarkStart w:id="18" w:name="_Toc181283309"/>
      <w:r w:rsidRPr="00B05454">
        <w:t xml:space="preserve">Table </w:t>
      </w:r>
      <w:r>
        <w:fldChar w:fldCharType="begin"/>
      </w:r>
      <w:r>
        <w:instrText xml:space="preserve"> SEQ Table \* ARABIC </w:instrText>
      </w:r>
      <w:r>
        <w:fldChar w:fldCharType="separate"/>
      </w:r>
      <w:r w:rsidRPr="00B05454">
        <w:t>1</w:t>
      </w:r>
      <w:r>
        <w:fldChar w:fldCharType="end"/>
      </w:r>
      <w:r w:rsidRPr="00B05454">
        <w:t>:</w:t>
      </w:r>
      <w:r w:rsidRPr="00B05454">
        <w:tab/>
      </w:r>
      <w:r>
        <w:t xml:space="preserve">Reference </w:t>
      </w:r>
      <w:r w:rsidR="00B634B5">
        <w:t>d</w:t>
      </w:r>
      <w:r>
        <w:t>ocuments</w:t>
      </w:r>
      <w:bookmarkEnd w:id="17"/>
      <w:bookmarkEnd w:id="18"/>
    </w:p>
    <w:tbl>
      <w:tblPr>
        <w:tblW w:w="5000" w:type="pct"/>
        <w:tblBorders>
          <w:bottom w:val="dotted" w:sz="2" w:space="0" w:color="auto"/>
          <w:insideH w:val="dotted" w:sz="2" w:space="0" w:color="auto"/>
        </w:tblBorders>
        <w:tblLook w:val="01E0" w:firstRow="1" w:lastRow="1" w:firstColumn="1" w:lastColumn="1" w:noHBand="0" w:noVBand="0"/>
      </w:tblPr>
      <w:tblGrid>
        <w:gridCol w:w="5388"/>
        <w:gridCol w:w="4250"/>
      </w:tblGrid>
      <w:tr w:rsidR="00F67613" w14:paraId="02D211DD" w14:textId="77777777" w:rsidTr="00530BC8">
        <w:trPr>
          <w:cantSplit/>
          <w:tblHeader/>
        </w:trPr>
        <w:tc>
          <w:tcPr>
            <w:tcW w:w="2795" w:type="pct"/>
            <w:tcBorders>
              <w:top w:val="single" w:sz="4" w:space="0" w:color="auto"/>
              <w:bottom w:val="single" w:sz="4" w:space="0" w:color="auto"/>
            </w:tcBorders>
            <w:shd w:val="clear" w:color="auto" w:fill="5C2946"/>
          </w:tcPr>
          <w:p w14:paraId="6288FCDA" w14:textId="51623E09" w:rsidR="00F67613" w:rsidRPr="00C501FF" w:rsidRDefault="00F67613" w:rsidP="000276FD">
            <w:pPr>
              <w:pStyle w:val="TableHead"/>
            </w:pPr>
            <w:r>
              <w:t xml:space="preserve">Reference </w:t>
            </w:r>
            <w:r w:rsidR="009F7848">
              <w:t>d</w:t>
            </w:r>
            <w:r>
              <w:t>ocument</w:t>
            </w:r>
          </w:p>
        </w:tc>
        <w:tc>
          <w:tcPr>
            <w:tcW w:w="2205" w:type="pct"/>
            <w:tcBorders>
              <w:top w:val="single" w:sz="4" w:space="0" w:color="auto"/>
              <w:bottom w:val="single" w:sz="4" w:space="0" w:color="auto"/>
            </w:tcBorders>
            <w:shd w:val="clear" w:color="auto" w:fill="5C2946"/>
          </w:tcPr>
          <w:p w14:paraId="3C5929C3" w14:textId="7069BBCE" w:rsidR="00F67613" w:rsidRPr="00C501FF" w:rsidRDefault="00FA2447" w:rsidP="000276FD">
            <w:pPr>
              <w:pStyle w:val="TableHead"/>
            </w:pPr>
            <w:r>
              <w:t>Section</w:t>
            </w:r>
            <w:r w:rsidR="009F7848">
              <w:t xml:space="preserve"> in reference document</w:t>
            </w:r>
          </w:p>
        </w:tc>
      </w:tr>
      <w:tr w:rsidR="00F67613" w14:paraId="12103481" w14:textId="77777777" w:rsidTr="00530BC8">
        <w:trPr>
          <w:cantSplit/>
        </w:trPr>
        <w:tc>
          <w:tcPr>
            <w:tcW w:w="2795" w:type="pct"/>
            <w:tcBorders>
              <w:top w:val="single" w:sz="4" w:space="0" w:color="auto"/>
              <w:bottom w:val="single" w:sz="4" w:space="0" w:color="auto"/>
            </w:tcBorders>
          </w:tcPr>
          <w:p w14:paraId="2C4C72C6" w14:textId="77777777" w:rsidR="00FA2447" w:rsidRPr="00C75919" w:rsidRDefault="00995088" w:rsidP="00FA2447">
            <w:pPr>
              <w:spacing w:line="360" w:lineRule="auto"/>
              <w:jc w:val="both"/>
              <w:rPr>
                <w:rStyle w:val="Hyperlink"/>
              </w:rPr>
            </w:pPr>
            <w:hyperlink r:id="rId28" w:history="1">
              <w:r w:rsidR="00FA2447" w:rsidRPr="00C75919">
                <w:rPr>
                  <w:rStyle w:val="Hyperlink"/>
                </w:rPr>
                <w:t>Guideline for the conduct of efficacy studies for nonsteroidal anti-inflammatory drugs</w:t>
              </w:r>
            </w:hyperlink>
          </w:p>
          <w:p w14:paraId="3FA63F34" w14:textId="1CB265FD" w:rsidR="00F67613" w:rsidRDefault="00FA2447" w:rsidP="00301BA4">
            <w:pPr>
              <w:pStyle w:val="TableText"/>
            </w:pPr>
            <w:r w:rsidRPr="00FA2447">
              <w:rPr>
                <w:szCs w:val="17"/>
              </w:rPr>
              <w:t>Adopted by CVMP July 2021</w:t>
            </w:r>
          </w:p>
        </w:tc>
        <w:tc>
          <w:tcPr>
            <w:tcW w:w="2205" w:type="pct"/>
            <w:tcBorders>
              <w:top w:val="single" w:sz="4" w:space="0" w:color="auto"/>
              <w:bottom w:val="single" w:sz="4" w:space="0" w:color="auto"/>
            </w:tcBorders>
          </w:tcPr>
          <w:p w14:paraId="0427C74D" w14:textId="2B6322E7" w:rsidR="00FA2447" w:rsidRPr="00FA2447" w:rsidRDefault="00FA2447" w:rsidP="00C77037">
            <w:pPr>
              <w:pStyle w:val="TableText"/>
              <w:numPr>
                <w:ilvl w:val="0"/>
                <w:numId w:val="9"/>
              </w:numPr>
            </w:pPr>
            <w:r w:rsidRPr="00FA2447">
              <w:t>Clinical documentation</w:t>
            </w:r>
          </w:p>
          <w:p w14:paraId="05159A6F" w14:textId="2B10AAD3" w:rsidR="00FA2447" w:rsidRPr="00FA2447" w:rsidRDefault="00FA2447" w:rsidP="00C77037">
            <w:pPr>
              <w:pStyle w:val="TableText"/>
              <w:numPr>
                <w:ilvl w:val="1"/>
                <w:numId w:val="9"/>
              </w:numPr>
            </w:pPr>
            <w:r w:rsidRPr="00FA2447">
              <w:t>Selection of primary and secondary endpoints</w:t>
            </w:r>
          </w:p>
          <w:p w14:paraId="28D2566A" w14:textId="5244C715" w:rsidR="00FA2447" w:rsidRPr="00FA2447" w:rsidRDefault="00FA2447" w:rsidP="00C77037">
            <w:pPr>
              <w:pStyle w:val="TableText"/>
              <w:numPr>
                <w:ilvl w:val="1"/>
                <w:numId w:val="9"/>
              </w:numPr>
            </w:pPr>
            <w:r w:rsidRPr="00FA2447">
              <w:t>Type of Control</w:t>
            </w:r>
          </w:p>
          <w:p w14:paraId="2849DBED" w14:textId="09943327" w:rsidR="00FA2447" w:rsidRPr="00FA2447" w:rsidRDefault="00FA2447" w:rsidP="00C77037">
            <w:pPr>
              <w:pStyle w:val="TableText"/>
              <w:numPr>
                <w:ilvl w:val="0"/>
                <w:numId w:val="9"/>
              </w:numPr>
            </w:pPr>
            <w:r w:rsidRPr="00FA2447">
              <w:t>Clinical trials</w:t>
            </w:r>
          </w:p>
          <w:p w14:paraId="014F26C6" w14:textId="105A55AF" w:rsidR="00F67613" w:rsidRPr="00F03EB6" w:rsidRDefault="00FA2447" w:rsidP="00C77037">
            <w:pPr>
              <w:pStyle w:val="TableText"/>
              <w:numPr>
                <w:ilvl w:val="1"/>
                <w:numId w:val="9"/>
              </w:numPr>
            </w:pPr>
            <w:r w:rsidRPr="00FA2447">
              <w:t xml:space="preserve">Efficacy </w:t>
            </w:r>
          </w:p>
        </w:tc>
      </w:tr>
      <w:tr w:rsidR="00F67613" w:rsidRPr="00F03EB6" w14:paraId="17E1AF54" w14:textId="77777777" w:rsidTr="00530BC8">
        <w:trPr>
          <w:cantSplit/>
        </w:trPr>
        <w:tc>
          <w:tcPr>
            <w:tcW w:w="2795" w:type="pct"/>
            <w:tcBorders>
              <w:top w:val="single" w:sz="4" w:space="0" w:color="auto"/>
              <w:bottom w:val="single" w:sz="4" w:space="0" w:color="auto"/>
            </w:tcBorders>
          </w:tcPr>
          <w:p w14:paraId="6589F9F2" w14:textId="77777777" w:rsidR="00F03EB6" w:rsidRPr="00C75919" w:rsidRDefault="00995088" w:rsidP="00F03EB6">
            <w:pPr>
              <w:spacing w:line="360" w:lineRule="auto"/>
              <w:jc w:val="both"/>
              <w:rPr>
                <w:rStyle w:val="Hyperlink"/>
              </w:rPr>
            </w:pPr>
            <w:hyperlink r:id="rId29" w:history="1">
              <w:r w:rsidR="00F03EB6" w:rsidRPr="00C75919">
                <w:rPr>
                  <w:rStyle w:val="Hyperlink"/>
                </w:rPr>
                <w:t>Guidance for Industry for development of target animal safety and effectiveness data to support approval of non-steroidal anti-inflammatory drugs (NSAIDs) for use in animals.</w:t>
              </w:r>
            </w:hyperlink>
          </w:p>
          <w:p w14:paraId="2A4B56EB" w14:textId="7946A3D5" w:rsidR="00F67613" w:rsidRPr="00F03EB6" w:rsidRDefault="00F03EB6" w:rsidP="00F03EB6">
            <w:pPr>
              <w:pStyle w:val="TableText"/>
              <w:rPr>
                <w:szCs w:val="17"/>
              </w:rPr>
            </w:pPr>
            <w:r w:rsidRPr="00C75919">
              <w:rPr>
                <w:rStyle w:val="Hyperlink"/>
              </w:rPr>
              <w:t>FDA published January 2006</w:t>
            </w:r>
          </w:p>
        </w:tc>
        <w:tc>
          <w:tcPr>
            <w:tcW w:w="2205" w:type="pct"/>
            <w:tcBorders>
              <w:top w:val="single" w:sz="4" w:space="0" w:color="auto"/>
              <w:bottom w:val="single" w:sz="4" w:space="0" w:color="auto"/>
            </w:tcBorders>
          </w:tcPr>
          <w:p w14:paraId="5094ED39" w14:textId="1D46F379" w:rsidR="00F03EB6" w:rsidRPr="00F03EB6" w:rsidRDefault="00F03EB6" w:rsidP="00C77037">
            <w:pPr>
              <w:pStyle w:val="TableText"/>
              <w:numPr>
                <w:ilvl w:val="0"/>
                <w:numId w:val="11"/>
              </w:numPr>
            </w:pPr>
            <w:r w:rsidRPr="00F03EB6">
              <w:t>Field study</w:t>
            </w:r>
          </w:p>
          <w:p w14:paraId="7C5D8CE7" w14:textId="66EFEC3E" w:rsidR="00F03EB6" w:rsidRPr="00F03EB6" w:rsidRDefault="00F03EB6" w:rsidP="00C77037">
            <w:pPr>
              <w:pStyle w:val="TableText"/>
              <w:numPr>
                <w:ilvl w:val="0"/>
                <w:numId w:val="11"/>
              </w:numPr>
            </w:pPr>
            <w:r w:rsidRPr="00F03EB6">
              <w:t>Labelling</w:t>
            </w:r>
          </w:p>
          <w:p w14:paraId="2BF37B05" w14:textId="77777777" w:rsidR="00F03EB6" w:rsidRPr="00F03EB6" w:rsidRDefault="00F03EB6" w:rsidP="00C75919">
            <w:pPr>
              <w:pStyle w:val="TableText"/>
            </w:pPr>
            <w:r w:rsidRPr="00F03EB6">
              <w:t>General approach to the indication section of labelling</w:t>
            </w:r>
          </w:p>
          <w:p w14:paraId="36C34775" w14:textId="77777777" w:rsidR="00F03EB6" w:rsidRPr="008432B4" w:rsidRDefault="00F03EB6" w:rsidP="00C77037">
            <w:pPr>
              <w:pStyle w:val="TableText"/>
              <w:numPr>
                <w:ilvl w:val="0"/>
                <w:numId w:val="16"/>
              </w:numPr>
            </w:pPr>
            <w:r w:rsidRPr="008432B4">
              <w:t>Inflammation</w:t>
            </w:r>
          </w:p>
          <w:p w14:paraId="4643AD87" w14:textId="77777777" w:rsidR="00F03EB6" w:rsidRPr="008432B4" w:rsidRDefault="00F03EB6" w:rsidP="00C77037">
            <w:pPr>
              <w:pStyle w:val="TableText"/>
              <w:numPr>
                <w:ilvl w:val="0"/>
                <w:numId w:val="16"/>
              </w:numPr>
            </w:pPr>
            <w:r w:rsidRPr="008432B4">
              <w:t>Pain</w:t>
            </w:r>
          </w:p>
          <w:p w14:paraId="14A5159D" w14:textId="03C430EA" w:rsidR="00F67613" w:rsidRPr="00F03EB6" w:rsidRDefault="00F03EB6" w:rsidP="00C77037">
            <w:pPr>
              <w:pStyle w:val="TableText"/>
              <w:numPr>
                <w:ilvl w:val="0"/>
                <w:numId w:val="16"/>
              </w:numPr>
            </w:pPr>
            <w:r w:rsidRPr="008432B4">
              <w:t>Pyrexia (fever)</w:t>
            </w:r>
          </w:p>
        </w:tc>
      </w:tr>
      <w:tr w:rsidR="00F03EB6" w:rsidRPr="00F03EB6" w14:paraId="655EE3D5" w14:textId="77777777" w:rsidTr="00530BC8">
        <w:trPr>
          <w:cantSplit/>
        </w:trPr>
        <w:tc>
          <w:tcPr>
            <w:tcW w:w="2795" w:type="pct"/>
            <w:tcBorders>
              <w:top w:val="single" w:sz="4" w:space="0" w:color="auto"/>
              <w:bottom w:val="single" w:sz="4" w:space="0" w:color="auto"/>
            </w:tcBorders>
          </w:tcPr>
          <w:p w14:paraId="30A70D94" w14:textId="682A0881" w:rsidR="00F03EB6" w:rsidRPr="00C75919" w:rsidRDefault="00995088" w:rsidP="00F03EB6">
            <w:pPr>
              <w:spacing w:line="360" w:lineRule="auto"/>
              <w:jc w:val="both"/>
              <w:rPr>
                <w:rStyle w:val="Hyperlink"/>
              </w:rPr>
            </w:pPr>
            <w:hyperlink r:id="rId30" w:history="1">
              <w:r w:rsidR="00F03EB6" w:rsidRPr="00C75919">
                <w:rPr>
                  <w:rStyle w:val="Hyperlink"/>
                </w:rPr>
                <w:t>APVMA Efficacy and Target Animal Safety General Guideline (Part 8)</w:t>
              </w:r>
            </w:hyperlink>
          </w:p>
        </w:tc>
        <w:tc>
          <w:tcPr>
            <w:tcW w:w="2205" w:type="pct"/>
            <w:tcBorders>
              <w:top w:val="single" w:sz="4" w:space="0" w:color="auto"/>
              <w:bottom w:val="single" w:sz="4" w:space="0" w:color="auto"/>
            </w:tcBorders>
          </w:tcPr>
          <w:p w14:paraId="13C0C554" w14:textId="526135A1" w:rsidR="00F03EB6" w:rsidRPr="00F03EB6" w:rsidRDefault="00F03EB6" w:rsidP="008B4AC0">
            <w:pPr>
              <w:pStyle w:val="TableText"/>
            </w:pPr>
            <w:r w:rsidRPr="00F03EB6">
              <w:t>All Sections</w:t>
            </w:r>
          </w:p>
        </w:tc>
      </w:tr>
    </w:tbl>
    <w:p w14:paraId="2FC6547E" w14:textId="4E415452" w:rsidR="002E20AC" w:rsidRPr="008432B4" w:rsidRDefault="0017696F" w:rsidP="0017696F">
      <w:pPr>
        <w:pStyle w:val="Heading2"/>
      </w:pPr>
      <w:bookmarkStart w:id="19" w:name="_Toc181283293"/>
      <w:r w:rsidRPr="0017696F">
        <w:t>3.</w:t>
      </w:r>
      <w:r w:rsidR="00943C8D">
        <w:t xml:space="preserve"> </w:t>
      </w:r>
      <w:bookmarkStart w:id="20" w:name="_Toc414373840"/>
      <w:bookmarkStart w:id="21" w:name="_Toc135232594"/>
      <w:r w:rsidR="00C3175E" w:rsidRPr="008432B4">
        <w:t xml:space="preserve">General </w:t>
      </w:r>
      <w:r w:rsidR="00C3175E" w:rsidRPr="00943C8D">
        <w:t>requirements</w:t>
      </w:r>
      <w:bookmarkEnd w:id="20"/>
      <w:bookmarkEnd w:id="21"/>
      <w:bookmarkEnd w:id="19"/>
    </w:p>
    <w:p w14:paraId="3F6037DD" w14:textId="5D511BD7" w:rsidR="005F0C3F" w:rsidRPr="00951BE7" w:rsidRDefault="005F0C3F" w:rsidP="005F0C3F">
      <w:pPr>
        <w:pStyle w:val="NormalText"/>
      </w:pPr>
      <w:r w:rsidRPr="00951BE7">
        <w:t xml:space="preserve">Claims for efficacy should be based on a documented NSAID effect, demonstrated by pre-clinical studies and supported by clinical trials carried out in each </w:t>
      </w:r>
      <w:r>
        <w:t xml:space="preserve">proposed </w:t>
      </w:r>
      <w:r w:rsidRPr="00951BE7">
        <w:t xml:space="preserve">target </w:t>
      </w:r>
      <w:r>
        <w:t xml:space="preserve">animal </w:t>
      </w:r>
      <w:r w:rsidRPr="00951BE7">
        <w:t>species.</w:t>
      </w:r>
    </w:p>
    <w:p w14:paraId="694BF1A0" w14:textId="77777777" w:rsidR="005F0C3F" w:rsidRPr="00951BE7" w:rsidRDefault="005F0C3F" w:rsidP="005F0C3F">
      <w:pPr>
        <w:pStyle w:val="NormalText"/>
      </w:pPr>
      <w:r w:rsidRPr="00951BE7">
        <w:t>The following should be addressed:</w:t>
      </w:r>
    </w:p>
    <w:p w14:paraId="045ACBEB" w14:textId="1B24DAAE" w:rsidR="005F0C3F" w:rsidRPr="00951BE7" w:rsidRDefault="005F0C3F" w:rsidP="005F0C3F">
      <w:pPr>
        <w:pStyle w:val="Bullet1"/>
      </w:pPr>
      <w:r w:rsidRPr="00951BE7">
        <w:t xml:space="preserve">Describe and justify (using appropriate data), the proposed route of administration, dosage (or dose range), frequency and duration of administration of the </w:t>
      </w:r>
      <w:r w:rsidR="001C30A0">
        <w:t>I</w:t>
      </w:r>
      <w:r w:rsidRPr="00951BE7">
        <w:t xml:space="preserve">nvestigational </w:t>
      </w:r>
      <w:r w:rsidR="001C30A0">
        <w:t>V</w:t>
      </w:r>
      <w:r w:rsidRPr="00951BE7">
        <w:t xml:space="preserve">eterinary </w:t>
      </w:r>
      <w:r w:rsidR="001C30A0">
        <w:t>M</w:t>
      </w:r>
      <w:r w:rsidRPr="00951BE7">
        <w:t xml:space="preserve">edicinal </w:t>
      </w:r>
      <w:r w:rsidR="001C30A0">
        <w:t>P</w:t>
      </w:r>
      <w:r w:rsidRPr="00951BE7">
        <w:t xml:space="preserve">roduct (IVMP) </w:t>
      </w:r>
    </w:p>
    <w:p w14:paraId="2A4D994A" w14:textId="107DDC4F" w:rsidR="005F0C3F" w:rsidRPr="00951BE7" w:rsidRDefault="008B4AC0" w:rsidP="005F0C3F">
      <w:pPr>
        <w:pStyle w:val="Bullet1"/>
      </w:pPr>
      <w:r>
        <w:t>F</w:t>
      </w:r>
      <w:r w:rsidR="005F0C3F" w:rsidRPr="00951BE7">
        <w:t xml:space="preserve">or treatments of short duration </w:t>
      </w:r>
      <w:r w:rsidR="009F7848">
        <w:t>(</w:t>
      </w:r>
      <w:r w:rsidR="00356F33">
        <w:t>for example,</w:t>
      </w:r>
      <w:r w:rsidR="005F0C3F" w:rsidRPr="00951BE7">
        <w:t xml:space="preserve"> up to 10 days</w:t>
      </w:r>
      <w:r w:rsidR="009F7848">
        <w:t>)</w:t>
      </w:r>
      <w:r w:rsidR="005F0C3F">
        <w:t>, u</w:t>
      </w:r>
      <w:r w:rsidR="005F0C3F" w:rsidRPr="00951BE7">
        <w:t>se a duration for the clinical trial that encompasses the entire recommended treatment period</w:t>
      </w:r>
      <w:r>
        <w:t>.</w:t>
      </w:r>
    </w:p>
    <w:p w14:paraId="7DFE7815" w14:textId="18C04E0C" w:rsidR="005F0C3F" w:rsidRPr="00951BE7" w:rsidRDefault="005F0C3F" w:rsidP="005F0C3F">
      <w:pPr>
        <w:pStyle w:val="Bullet1"/>
      </w:pPr>
      <w:r w:rsidRPr="00951BE7">
        <w:t>In case of long-term administration, use a duration of clinical trial that you consider sufficient (based on evidence and/or scientific argument), paying particular attention to the potential adverse effects resulting from such use.</w:t>
      </w:r>
    </w:p>
    <w:p w14:paraId="2651B36B" w14:textId="77777777" w:rsidR="005F0C3F" w:rsidRPr="00951BE7" w:rsidRDefault="005F0C3F" w:rsidP="005F0C3F">
      <w:pPr>
        <w:pStyle w:val="Bullet1"/>
      </w:pPr>
      <w:r>
        <w:t>T</w:t>
      </w:r>
      <w:r w:rsidRPr="00951BE7">
        <w:t xml:space="preserve">arget animal safety studies </w:t>
      </w:r>
      <w:r>
        <w:t>should</w:t>
      </w:r>
      <w:r w:rsidRPr="00951BE7">
        <w:t xml:space="preserve"> be performed for at least the longest recommended duration of use. For veterinary medicines intended for long term use this would be at least 6 months.</w:t>
      </w:r>
    </w:p>
    <w:p w14:paraId="275CD807" w14:textId="25063FB3" w:rsidR="005F0C3F" w:rsidRPr="00951BE7" w:rsidRDefault="005F0C3F" w:rsidP="005F0C3F">
      <w:pPr>
        <w:pStyle w:val="Bullet1"/>
      </w:pPr>
      <w:r w:rsidRPr="00951BE7">
        <w:lastRenderedPageBreak/>
        <w:t xml:space="preserve">Target animal safety studies for NSAIDs should incorporate specific tests or examinations to identify signs </w:t>
      </w:r>
      <w:r>
        <w:t xml:space="preserve">associated with toxicity, such as </w:t>
      </w:r>
      <w:r w:rsidRPr="00951BE7">
        <w:t>local gastrointestinal toxicity (</w:t>
      </w:r>
      <w:r w:rsidR="009F7848">
        <w:t xml:space="preserve">example: </w:t>
      </w:r>
      <w:r w:rsidRPr="00951BE7">
        <w:t>endoscopy) or renal toxicity (</w:t>
      </w:r>
      <w:r w:rsidR="009F7848">
        <w:t xml:space="preserve">example: </w:t>
      </w:r>
      <w:r w:rsidRPr="00951BE7">
        <w:t xml:space="preserve">specific gravity, </w:t>
      </w:r>
      <w:r w:rsidR="00301AE0">
        <w:t>blood urea nitrogen</w:t>
      </w:r>
      <w:r w:rsidRPr="00951BE7">
        <w:t>, and creatinine). In addition, you should evaluate potential drug effects on platelet aggregation via appropriate methods, including Buccal Mucosal Bleeding Time or a similar test.</w:t>
      </w:r>
    </w:p>
    <w:p w14:paraId="2FD85B50" w14:textId="77777777" w:rsidR="005F0C3F" w:rsidRPr="00951BE7" w:rsidRDefault="005F0C3F" w:rsidP="005F0C3F">
      <w:pPr>
        <w:pStyle w:val="Bullet1"/>
      </w:pPr>
      <w:r w:rsidRPr="00951BE7">
        <w:t>Use appropriate statistical methods.</w:t>
      </w:r>
    </w:p>
    <w:p w14:paraId="1A33CC94" w14:textId="274009AB" w:rsidR="005F0C3F" w:rsidRPr="00951BE7" w:rsidRDefault="005F0C3F" w:rsidP="005F0C3F">
      <w:pPr>
        <w:pStyle w:val="Bullet1"/>
      </w:pPr>
      <w:r w:rsidRPr="00951BE7">
        <w:t>Randomise the allocation of test animals to treatment groups, stating the method of randomisation and justify the method selected.</w:t>
      </w:r>
    </w:p>
    <w:p w14:paraId="503C0C4D" w14:textId="63011974" w:rsidR="005F0C3F" w:rsidRPr="00951BE7" w:rsidRDefault="005F0C3F" w:rsidP="005F0C3F">
      <w:pPr>
        <w:pStyle w:val="Bullet1"/>
      </w:pPr>
      <w:r w:rsidRPr="00951BE7">
        <w:t xml:space="preserve">Use blinding/masking methods and allocation concealment. If not, justify not using these methods. The methods should be described in detail </w:t>
      </w:r>
      <w:r w:rsidR="009F7848">
        <w:t xml:space="preserve">(example: </w:t>
      </w:r>
      <w:r w:rsidRPr="00951BE7">
        <w:t>for treatment, for clinical observation</w:t>
      </w:r>
      <w:r w:rsidR="009F7848">
        <w:t>)</w:t>
      </w:r>
      <w:r w:rsidRPr="00951BE7">
        <w:t>.</w:t>
      </w:r>
    </w:p>
    <w:p w14:paraId="2AB0CB34" w14:textId="15A11495" w:rsidR="005F0C3F" w:rsidRPr="00951BE7" w:rsidRDefault="005F0C3F" w:rsidP="005F0C3F">
      <w:pPr>
        <w:pStyle w:val="Bullet1"/>
      </w:pPr>
      <w:r w:rsidRPr="00951BE7">
        <w:t>Examination and observation methods should be appropriate to generate adequate sensitivity (see later discussion on subjective variables)</w:t>
      </w:r>
      <w:r w:rsidR="00356F33">
        <w:t>.</w:t>
      </w:r>
    </w:p>
    <w:p w14:paraId="5B704C93" w14:textId="4CCFBB74" w:rsidR="005F0C3F" w:rsidRPr="00951BE7" w:rsidRDefault="005F0C3F" w:rsidP="005F0C3F">
      <w:pPr>
        <w:pStyle w:val="Bullet1"/>
      </w:pPr>
      <w:r w:rsidRPr="00951BE7">
        <w:t xml:space="preserve">Apply the principles of </w:t>
      </w:r>
      <w:r w:rsidR="00356F33">
        <w:t>G</w:t>
      </w:r>
      <w:r w:rsidRPr="00951BE7">
        <w:t xml:space="preserve">ood </w:t>
      </w:r>
      <w:r w:rsidR="00356F33">
        <w:t>L</w:t>
      </w:r>
      <w:r w:rsidRPr="00951BE7">
        <w:t xml:space="preserve">aboratory </w:t>
      </w:r>
      <w:r w:rsidR="00356F33">
        <w:t>P</w:t>
      </w:r>
      <w:r w:rsidRPr="00951BE7">
        <w:t xml:space="preserve">ractice (GLP) or </w:t>
      </w:r>
      <w:r w:rsidR="00356F33">
        <w:t>G</w:t>
      </w:r>
      <w:r w:rsidRPr="00951BE7">
        <w:t xml:space="preserve">ood </w:t>
      </w:r>
      <w:r w:rsidR="00356F33">
        <w:t>C</w:t>
      </w:r>
      <w:r w:rsidRPr="00951BE7">
        <w:t xml:space="preserve">linical </w:t>
      </w:r>
      <w:r w:rsidR="00356F33">
        <w:t>P</w:t>
      </w:r>
      <w:r w:rsidRPr="00951BE7">
        <w:t>ractice (GCP), where appropriate.</w:t>
      </w:r>
    </w:p>
    <w:p w14:paraId="692231D0" w14:textId="575B2C0A" w:rsidR="002E20AC" w:rsidRPr="004546AD" w:rsidRDefault="0017696F" w:rsidP="0017696F">
      <w:pPr>
        <w:pStyle w:val="Heading2"/>
      </w:pPr>
      <w:bookmarkStart w:id="22" w:name="_Toc414373841"/>
      <w:bookmarkStart w:id="23" w:name="_Toc135232595"/>
      <w:bookmarkStart w:id="24" w:name="_Toc181283294"/>
      <w:r>
        <w:t xml:space="preserve">4. </w:t>
      </w:r>
      <w:r w:rsidR="005F0C3F" w:rsidRPr="004546AD">
        <w:t>Pre-</w:t>
      </w:r>
      <w:r w:rsidR="009130F0" w:rsidRPr="0017696F">
        <w:t>c</w:t>
      </w:r>
      <w:r w:rsidR="005F0C3F" w:rsidRPr="0017696F">
        <w:t>linical</w:t>
      </w:r>
      <w:r w:rsidR="005F0C3F" w:rsidRPr="004546AD">
        <w:t xml:space="preserve"> </w:t>
      </w:r>
      <w:r w:rsidR="009130F0" w:rsidRPr="004546AD">
        <w:t>s</w:t>
      </w:r>
      <w:r w:rsidR="005F0C3F" w:rsidRPr="004546AD">
        <w:t>tudies</w:t>
      </w:r>
      <w:bookmarkEnd w:id="22"/>
      <w:bookmarkEnd w:id="23"/>
      <w:bookmarkEnd w:id="24"/>
    </w:p>
    <w:p w14:paraId="5C95C858" w14:textId="4FE35904" w:rsidR="005F0C3F" w:rsidRPr="00A67CAB" w:rsidRDefault="005F0C3F" w:rsidP="005F0C3F">
      <w:pPr>
        <w:pStyle w:val="NormalText"/>
      </w:pPr>
      <w:r w:rsidRPr="00951BE7">
        <w:t>This guideline is focused on establishing clinical efficacy of NSAIDs. However</w:t>
      </w:r>
      <w:r w:rsidR="00356F33">
        <w:t>,</w:t>
      </w:r>
      <w:r w:rsidRPr="00951BE7">
        <w:t xml:space="preserve"> pre-clinical studies are also a critical part of a submission to </w:t>
      </w:r>
      <w:r w:rsidR="00356F33">
        <w:t xml:space="preserve">the </w:t>
      </w:r>
      <w:r w:rsidRPr="00951BE7">
        <w:t>APVMA</w:t>
      </w:r>
      <w:r>
        <w:t xml:space="preserve"> to support consideration of efficacy</w:t>
      </w:r>
      <w:r w:rsidRPr="00951BE7">
        <w:t>. For further guidance on pre-clinical studies please refer to the references listed in the previous table.</w:t>
      </w:r>
    </w:p>
    <w:p w14:paraId="7933B64D" w14:textId="33926B88" w:rsidR="005F0C3F" w:rsidRPr="00951BE7" w:rsidRDefault="005F0C3F" w:rsidP="005F0C3F">
      <w:pPr>
        <w:pStyle w:val="NormalText"/>
      </w:pPr>
      <w:r w:rsidRPr="00951BE7">
        <w:t>A well-designed study in the target species may perform multiple functions and generate multiple data sets.</w:t>
      </w:r>
      <w:r w:rsidR="00EC5386">
        <w:br/>
      </w:r>
      <w:r w:rsidRPr="00951BE7">
        <w:t xml:space="preserve">For example, a well-designed dose-response study may also generate overdose safety (margin of safety) and pharmacokinetic data. This can be helpful in reducing the number of </w:t>
      </w:r>
      <w:r>
        <w:t xml:space="preserve">test animals, in particular </w:t>
      </w:r>
      <w:r w:rsidRPr="00951BE7">
        <w:t>target species animals</w:t>
      </w:r>
      <w:r>
        <w:t>,</w:t>
      </w:r>
      <w:r w:rsidRPr="00951BE7">
        <w:t xml:space="preserve"> used.</w:t>
      </w:r>
    </w:p>
    <w:p w14:paraId="36A2CCFE" w14:textId="0F9194DB" w:rsidR="005F0C3F" w:rsidRPr="004546AD" w:rsidRDefault="0017696F" w:rsidP="0017696F">
      <w:pPr>
        <w:pStyle w:val="Heading3"/>
      </w:pPr>
      <w:bookmarkStart w:id="25" w:name="_Toc181283295"/>
      <w:r>
        <w:t>4.1</w:t>
      </w:r>
      <w:r w:rsidR="00C95B96">
        <w:t>.</w:t>
      </w:r>
      <w:r>
        <w:t xml:space="preserve"> </w:t>
      </w:r>
      <w:r w:rsidR="005F0C3F" w:rsidRPr="0017696F">
        <w:t>Pharmacodynamics</w:t>
      </w:r>
      <w:bookmarkEnd w:id="25"/>
    </w:p>
    <w:p w14:paraId="1E9EF88E" w14:textId="7DBD68AB" w:rsidR="005F0C3F" w:rsidRPr="00951BE7" w:rsidRDefault="005F0C3F" w:rsidP="005F0C3F">
      <w:pPr>
        <w:pStyle w:val="NormalText"/>
      </w:pPr>
      <w:r w:rsidRPr="00951BE7">
        <w:t xml:space="preserve">The mode of action of the active substance underlying the desired effect(s) should be described. The way the active substance affects body organs and organ systems should be described in relation to dose and desired therapeutic effect, as well as secondary and adverse effects. Pharmacodynamic (PD) studies may include </w:t>
      </w:r>
      <w:r w:rsidRPr="00951BE7">
        <w:rPr>
          <w:i/>
          <w:iCs/>
        </w:rPr>
        <w:t>in vitro</w:t>
      </w:r>
      <w:r w:rsidRPr="00951BE7">
        <w:t xml:space="preserve">, </w:t>
      </w:r>
      <w:r w:rsidRPr="00951BE7">
        <w:rPr>
          <w:i/>
          <w:iCs/>
        </w:rPr>
        <w:t>in vivo</w:t>
      </w:r>
      <w:r w:rsidRPr="00951BE7">
        <w:t xml:space="preserve"> and </w:t>
      </w:r>
      <w:r w:rsidRPr="00951BE7">
        <w:rPr>
          <w:i/>
          <w:iCs/>
        </w:rPr>
        <w:t>ex vivo</w:t>
      </w:r>
      <w:r w:rsidRPr="00951BE7">
        <w:t xml:space="preserve"> designs as appropriate. Regardless of the experimental design employed, and the method(s) of measurement, the NSAID effect should be fully described and justified by the applicant.</w:t>
      </w:r>
    </w:p>
    <w:p w14:paraId="53B20F9D" w14:textId="0A11AA57" w:rsidR="005F0C3F" w:rsidRPr="00951BE7" w:rsidRDefault="005F0C3F" w:rsidP="005F0C3F">
      <w:pPr>
        <w:pStyle w:val="NormalText"/>
      </w:pPr>
      <w:r w:rsidRPr="00951BE7">
        <w:t>The specific activity against COX-1 and/or COX-2 should be stated, including the model used to determine activity</w:t>
      </w:r>
      <w:r w:rsidR="006D06A3">
        <w:t>,</w:t>
      </w:r>
      <w:r w:rsidRPr="00951BE7">
        <w:t xml:space="preserve"> </w:t>
      </w:r>
      <w:r w:rsidR="00043323">
        <w:t>for example,</w:t>
      </w:r>
      <w:r w:rsidRPr="00951BE7">
        <w:t xml:space="preserve"> whole blood, synovial cells. This activity will normally be defined as an inhibitory concentration (IC) in a population and should </w:t>
      </w:r>
      <w:r>
        <w:t xml:space="preserve">attain </w:t>
      </w:r>
      <w:r w:rsidRPr="00951BE7">
        <w:t>at least an IC</w:t>
      </w:r>
      <w:r w:rsidRPr="00951BE7">
        <w:rPr>
          <w:vertAlign w:val="subscript"/>
        </w:rPr>
        <w:t>80</w:t>
      </w:r>
      <w:r w:rsidRPr="00951BE7">
        <w:t xml:space="preserve"> in a model consistent with the approach used for the currently registered formulation (if comparing against an existing formulation)</w:t>
      </w:r>
      <w:r w:rsidR="00882840">
        <w:rPr>
          <w:rStyle w:val="FootnoteReference"/>
        </w:rPr>
        <w:footnoteReference w:id="2"/>
      </w:r>
      <w:r w:rsidRPr="00951BE7">
        <w:t>.</w:t>
      </w:r>
    </w:p>
    <w:p w14:paraId="710DE46E" w14:textId="032A8208" w:rsidR="005F0C3F" w:rsidRPr="00951BE7" w:rsidRDefault="005F0C3F" w:rsidP="005F0C3F">
      <w:pPr>
        <w:pStyle w:val="NormalText"/>
      </w:pPr>
      <w:r w:rsidRPr="00951BE7">
        <w:t>If enantiomers exist</w:t>
      </w:r>
      <w:r w:rsidR="006D06A3">
        <w:t>,</w:t>
      </w:r>
      <w:r w:rsidRPr="00951BE7">
        <w:t xml:space="preserve"> </w:t>
      </w:r>
      <w:r w:rsidR="00043323">
        <w:t>for example,</w:t>
      </w:r>
      <w:r w:rsidRPr="00951BE7">
        <w:t xml:space="preserve"> </w:t>
      </w:r>
      <w:proofErr w:type="gramStart"/>
      <w:r w:rsidRPr="00951BE7">
        <w:t>S(</w:t>
      </w:r>
      <w:proofErr w:type="gramEnd"/>
      <w:r w:rsidRPr="00951BE7">
        <w:t>+) and R(-) carprofen, it must be stated if the formulation contains a single enantiomer or is a racemic mixture and, if the latter, the proportion of the enantiomers (since any differences in efficacy may relate to this difference).</w:t>
      </w:r>
    </w:p>
    <w:p w14:paraId="3D014D77" w14:textId="598DFFBA" w:rsidR="005F0C3F" w:rsidRPr="00951BE7" w:rsidRDefault="005F0C3F" w:rsidP="005F0C3F">
      <w:pPr>
        <w:pStyle w:val="NormalText"/>
      </w:pPr>
      <w:r w:rsidRPr="00951BE7">
        <w:lastRenderedPageBreak/>
        <w:t>Any comparisons between a proposed veterinary medicine and an existing (currently registered) veterinary medicine must use the same mixture of enantiomers (if applicable) and consider at least an IC</w:t>
      </w:r>
      <w:r w:rsidRPr="00951BE7">
        <w:rPr>
          <w:vertAlign w:val="subscript"/>
        </w:rPr>
        <w:t>80</w:t>
      </w:r>
      <w:r w:rsidRPr="00951BE7">
        <w:t xml:space="preserve"> for comparing efficacy.</w:t>
      </w:r>
    </w:p>
    <w:p w14:paraId="7605B1A8" w14:textId="6ECCCF65" w:rsidR="005F0C3F" w:rsidRPr="00951BE7" w:rsidRDefault="005F0C3F" w:rsidP="005F0C3F">
      <w:pPr>
        <w:pStyle w:val="NormalText"/>
      </w:pPr>
      <w:r w:rsidRPr="00951BE7">
        <w:t xml:space="preserve">Experimental models should be fully valid for their intended purpose. For example, in an </w:t>
      </w:r>
      <w:r w:rsidRPr="00951BE7">
        <w:rPr>
          <w:i/>
          <w:iCs/>
        </w:rPr>
        <w:t>in vivo</w:t>
      </w:r>
      <w:r w:rsidRPr="00951BE7">
        <w:t xml:space="preserve"> model the suitability of parameters such as the choice of response variables, assessment time points and observation intervals should be established in relation to the expected and clinically relevant level and duration of effects. If the IVMP produces a long-acting effect, it is important to choose an experimental model with a sufficiently long duration to obtain a reliable result.</w:t>
      </w:r>
    </w:p>
    <w:p w14:paraId="537D7BA8" w14:textId="09EB632C" w:rsidR="005F0C3F" w:rsidRPr="00CA0AC5" w:rsidRDefault="005F0C3F" w:rsidP="005F0C3F">
      <w:pPr>
        <w:pStyle w:val="NormalText"/>
      </w:pPr>
      <w:r w:rsidRPr="00951BE7">
        <w:t xml:space="preserve">In </w:t>
      </w:r>
      <w:r w:rsidRPr="00951BE7">
        <w:rPr>
          <w:i/>
          <w:iCs/>
        </w:rPr>
        <w:t>in vivo</w:t>
      </w:r>
      <w:r w:rsidRPr="00951BE7">
        <w:t xml:space="preserve"> studies NSAID effects may be measured directly</w:t>
      </w:r>
      <w:r w:rsidR="006D06A3">
        <w:t>,</w:t>
      </w:r>
      <w:r w:rsidRPr="00951BE7">
        <w:t xml:space="preserve"> </w:t>
      </w:r>
      <w:r w:rsidR="005415AD">
        <w:t>for example,</w:t>
      </w:r>
      <w:r w:rsidRPr="00951BE7">
        <w:t xml:space="preserve"> reduction of pyrexia</w:t>
      </w:r>
      <w:r w:rsidR="006D06A3">
        <w:t>,</w:t>
      </w:r>
      <w:r w:rsidRPr="00951BE7">
        <w:t xml:space="preserve"> or via validated surrogate markers. When surrogate markers are used, their correlation to the clinical effect of the product should be clearly explained and justified in terms of clinical relevance. Pain scales, including Visual Analog Scales (VAS) are considered useful during clinical trials</w:t>
      </w:r>
      <w:r w:rsidRPr="00DB2A55">
        <w:t>.</w:t>
      </w:r>
    </w:p>
    <w:p w14:paraId="0FFDBF2A" w14:textId="5F084EA7" w:rsidR="005F0C3F" w:rsidRPr="0017696F" w:rsidRDefault="0017696F" w:rsidP="0017696F">
      <w:pPr>
        <w:pStyle w:val="Heading3"/>
      </w:pPr>
      <w:bookmarkStart w:id="26" w:name="_Toc181283296"/>
      <w:r>
        <w:t>4.2</w:t>
      </w:r>
      <w:r w:rsidR="00C95B96">
        <w:t>.</w:t>
      </w:r>
      <w:r>
        <w:t xml:space="preserve"> </w:t>
      </w:r>
      <w:r w:rsidR="005F0C3F" w:rsidRPr="00FF1913">
        <w:t>Pharmacokinetics</w:t>
      </w:r>
      <w:bookmarkEnd w:id="26"/>
    </w:p>
    <w:p w14:paraId="689387FF" w14:textId="77168B1A" w:rsidR="00B173EF" w:rsidRDefault="005F0C3F" w:rsidP="00DE05D1">
      <w:pPr>
        <w:pStyle w:val="NormalText"/>
      </w:pPr>
      <w:r w:rsidRPr="00DE05D1">
        <w:t>In the context of dose-response relationships, pharmacokinetic</w:t>
      </w:r>
      <w:r w:rsidR="00E44F80">
        <w:t xml:space="preserve"> (PK)</w:t>
      </w:r>
      <w:r w:rsidRPr="00DE05D1">
        <w:t xml:space="preserve"> data on NSAIDs are considered useful for interpretation of plasma level profiles and related observed effect(s) including potential toxicity linked to dose level and/or treatment duration. </w:t>
      </w:r>
      <w:r w:rsidR="00E44F80" w:rsidRPr="00DE05D1">
        <w:t>P</w:t>
      </w:r>
      <w:r w:rsidR="00E44F80">
        <w:t>K</w:t>
      </w:r>
      <w:r w:rsidR="00E44F80" w:rsidRPr="00DE05D1">
        <w:t xml:space="preserve"> </w:t>
      </w:r>
      <w:r w:rsidRPr="00DE05D1">
        <w:t xml:space="preserve">studies also support the determination and confirmation of the treatment dose as well as dosing frequency and interval. It is noted that </w:t>
      </w:r>
      <w:r w:rsidR="00E44F80">
        <w:t>PK</w:t>
      </w:r>
      <w:r w:rsidR="00E44F80" w:rsidRPr="00DE05D1">
        <w:t xml:space="preserve"> </w:t>
      </w:r>
      <w:r w:rsidRPr="00DE05D1">
        <w:t>data alone are insufficient for establishing dosing regimens or claims of efficacy for NSAID products:</w:t>
      </w:r>
      <w:r w:rsidR="00712B05">
        <w:t xml:space="preserve"> f</w:t>
      </w:r>
      <w:r w:rsidRPr="00DE05D1">
        <w:t>or example, the elimination half-life for a NSAID may differ significantly between plasma and the inflammatory exudate.</w:t>
      </w:r>
      <w:r w:rsidR="00E44F80">
        <w:t xml:space="preserve"> </w:t>
      </w:r>
      <w:r w:rsidRPr="00DE05D1">
        <w:t xml:space="preserve">Furthermore, the correlation between exposure pattern and enzyme inhibition is often weak. </w:t>
      </w:r>
    </w:p>
    <w:p w14:paraId="327E4F7F" w14:textId="6CADF4C1" w:rsidR="00712B05" w:rsidRDefault="005F0C3F" w:rsidP="00DE05D1">
      <w:pPr>
        <w:pStyle w:val="NormalText"/>
      </w:pPr>
      <w:r w:rsidRPr="00DE05D1">
        <w:t xml:space="preserve">As animal species may differ in their response to NSAID treatment, dosages based on results from laboratory animal experiments may not result in similar effects in a target animal species, and care should be taken when interpreting </w:t>
      </w:r>
      <w:r w:rsidR="00E44F80">
        <w:t>PK</w:t>
      </w:r>
      <w:r w:rsidR="00E44F80" w:rsidRPr="00DE05D1">
        <w:t xml:space="preserve"> </w:t>
      </w:r>
      <w:r w:rsidRPr="00DE05D1">
        <w:t xml:space="preserve">data extrapolated from other species. Therefore, while such studies might provide useful supportive data, pivotal </w:t>
      </w:r>
      <w:r w:rsidR="00E44F80">
        <w:t>PK</w:t>
      </w:r>
      <w:r w:rsidR="00E44F80" w:rsidRPr="00DE05D1">
        <w:t xml:space="preserve"> </w:t>
      </w:r>
      <w:r w:rsidRPr="00DE05D1">
        <w:t xml:space="preserve">studies must be carried out in the target animal species and using the route of administration expected for the proposed registered product. </w:t>
      </w:r>
    </w:p>
    <w:p w14:paraId="149B6DA6" w14:textId="61D138D6" w:rsidR="005F0C3F" w:rsidRPr="00DE05D1" w:rsidRDefault="00E44F80" w:rsidP="00DE05D1">
      <w:pPr>
        <w:pStyle w:val="NormalText"/>
      </w:pPr>
      <w:r>
        <w:t>PK</w:t>
      </w:r>
      <w:r w:rsidRPr="00DE05D1">
        <w:t xml:space="preserve"> </w:t>
      </w:r>
      <w:r w:rsidR="005F0C3F" w:rsidRPr="00DE05D1">
        <w:t>data must also explore potential influence of feeding (if doses are recommended to be given with food) and could also be useful to explore other external factors on exposure, if such a relationship is expected.</w:t>
      </w:r>
    </w:p>
    <w:p w14:paraId="29CA4668" w14:textId="5766C42D" w:rsidR="005F0C3F" w:rsidRPr="00DE05D1" w:rsidRDefault="005F0C3F" w:rsidP="00DE05D1">
      <w:pPr>
        <w:pStyle w:val="NormalText"/>
      </w:pPr>
      <w:r w:rsidRPr="00DE05D1">
        <w:t xml:space="preserve">If a formulation other than the final one proposed for registration has been used in the </w:t>
      </w:r>
      <w:r w:rsidR="00E44F80">
        <w:t>PK</w:t>
      </w:r>
      <w:r w:rsidR="00E44F80" w:rsidRPr="00DE05D1">
        <w:t xml:space="preserve"> </w:t>
      </w:r>
      <w:r w:rsidRPr="00DE05D1">
        <w:t>studies, the results could still be valid, provided bioequivalence to the final formulation is demonstrated.</w:t>
      </w:r>
    </w:p>
    <w:p w14:paraId="0BEAD484" w14:textId="5CBE463E" w:rsidR="005F0C3F" w:rsidRPr="005D5D1C" w:rsidRDefault="0017696F" w:rsidP="0017696F">
      <w:pPr>
        <w:pStyle w:val="Heading3"/>
      </w:pPr>
      <w:bookmarkStart w:id="27" w:name="_Toc181283297"/>
      <w:r>
        <w:t>4.3</w:t>
      </w:r>
      <w:r w:rsidR="00C95B96">
        <w:t>.</w:t>
      </w:r>
      <w:r>
        <w:t xml:space="preserve"> </w:t>
      </w:r>
      <w:r w:rsidR="005F0C3F" w:rsidRPr="00FF1913">
        <w:t>Dose determination</w:t>
      </w:r>
      <w:bookmarkEnd w:id="27"/>
      <w:r w:rsidR="005F0C3F" w:rsidRPr="00FF1913">
        <w:t xml:space="preserve"> </w:t>
      </w:r>
    </w:p>
    <w:p w14:paraId="4AE780DA" w14:textId="1F694327" w:rsidR="005F0C3F" w:rsidRPr="00951BE7" w:rsidRDefault="005F0C3F" w:rsidP="005F0C3F">
      <w:pPr>
        <w:pStyle w:val="NormalText"/>
      </w:pPr>
      <w:r w:rsidRPr="00951BE7">
        <w:t xml:space="preserve">Dose-determination studies should be conducted in the target species using a range of doses selected </w:t>
      </w:r>
      <w:r w:rsidR="00950526">
        <w:t>based on</w:t>
      </w:r>
      <w:r w:rsidRPr="00951BE7">
        <w:t xml:space="preserve"> preliminary studies, parameters that are relevant for the anticipated effect and a dose range that is considered appropriate for further use. Preferably, a minimum of </w:t>
      </w:r>
      <w:r w:rsidR="002D6453">
        <w:t>3</w:t>
      </w:r>
      <w:r w:rsidR="002D6453" w:rsidRPr="00951BE7">
        <w:t xml:space="preserve"> </w:t>
      </w:r>
      <w:r w:rsidRPr="00951BE7">
        <w:t xml:space="preserve">different doses should be included, the central dose being the expected recommended dose. Selection of the higher doses in such studies should </w:t>
      </w:r>
      <w:r w:rsidR="00950526">
        <w:t>consider</w:t>
      </w:r>
      <w:r w:rsidRPr="00951BE7">
        <w:t xml:space="preserve"> the safety margin of the product under investigation. The reason for the choice of doses selected should be explained. Dose-determination studies should aim to incorporate not only the dose itself, but also the intended dosing frequency if relevant for a given indication. Alternatively, a PK/PD study may be applied to propose a dose to be further </w:t>
      </w:r>
      <w:r w:rsidRPr="00951BE7">
        <w:lastRenderedPageBreak/>
        <w:t>confirmed</w:t>
      </w:r>
      <w:r>
        <w:t xml:space="preserve"> (</w:t>
      </w:r>
      <w:r w:rsidR="008B5AE2">
        <w:t xml:space="preserve">dose </w:t>
      </w:r>
      <w:r>
        <w:t xml:space="preserve">confirmation studies). </w:t>
      </w:r>
      <w:r w:rsidRPr="005F0C3F">
        <w:rPr>
          <w:i/>
          <w:iCs/>
        </w:rPr>
        <w:t>In vivo</w:t>
      </w:r>
      <w:r w:rsidRPr="00706BFB">
        <w:t xml:space="preserve"> PK/PD studies in the target species, if conclusive and conducted over a sufficient exposure range, may serve as an aid in the establishment of a dosing strategy and may potentially reduce the need for comprehensive dose-finding data, and if adequately designed, be used in replacement of the latter</w:t>
      </w:r>
      <w:r w:rsidRPr="00951BE7">
        <w:t xml:space="preserve">. Fewer than </w:t>
      </w:r>
      <w:r w:rsidR="00230A91">
        <w:t>3</w:t>
      </w:r>
      <w:r w:rsidR="00230A91" w:rsidRPr="00951BE7">
        <w:t xml:space="preserve"> </w:t>
      </w:r>
      <w:r w:rsidRPr="00951BE7">
        <w:t>doses may be used in such a study providing that a sufficient exposure range is covered.</w:t>
      </w:r>
    </w:p>
    <w:p w14:paraId="2E470E2D" w14:textId="77777777" w:rsidR="005F0C3F" w:rsidRPr="005F0C3F" w:rsidRDefault="005F0C3F" w:rsidP="005F0C3F">
      <w:pPr>
        <w:pStyle w:val="NormalText"/>
        <w:rPr>
          <w:rFonts w:eastAsiaTheme="minorHAnsi"/>
        </w:rPr>
      </w:pPr>
      <w:r w:rsidRPr="005F0C3F">
        <w:rPr>
          <w:rFonts w:eastAsiaTheme="minorHAnsi"/>
        </w:rPr>
        <w:t>Where the active constituent is well-characterised, published data, generated in the target species, may be presented as an alternative to dose determination trial data.</w:t>
      </w:r>
    </w:p>
    <w:p w14:paraId="76F7AC29" w14:textId="77777777" w:rsidR="005F0C3F" w:rsidRPr="005F0C3F" w:rsidRDefault="005F0C3F" w:rsidP="005F0C3F">
      <w:pPr>
        <w:pStyle w:val="NormalText"/>
      </w:pPr>
      <w:r w:rsidRPr="005F0C3F">
        <w:t>If an active has enantiomers, the active enantiomer must be stated and the relative proportion if a racemic mixture should be stated.</w:t>
      </w:r>
    </w:p>
    <w:p w14:paraId="5E489596" w14:textId="0A998FBE" w:rsidR="005F0C3F" w:rsidRPr="0017696F" w:rsidRDefault="0017696F" w:rsidP="0017696F">
      <w:pPr>
        <w:pStyle w:val="Heading3"/>
      </w:pPr>
      <w:bookmarkStart w:id="28" w:name="_Toc181283298"/>
      <w:r>
        <w:t>4.4</w:t>
      </w:r>
      <w:r w:rsidR="00C95B96">
        <w:t>.</w:t>
      </w:r>
      <w:r>
        <w:t xml:space="preserve"> </w:t>
      </w:r>
      <w:r w:rsidR="005F0C3F" w:rsidRPr="005D5D1C">
        <w:t>Dose confirmation</w:t>
      </w:r>
      <w:bookmarkEnd w:id="28"/>
      <w:r w:rsidR="005F0C3F" w:rsidRPr="005D5D1C">
        <w:t xml:space="preserve"> </w:t>
      </w:r>
    </w:p>
    <w:p w14:paraId="219F8CF0" w14:textId="60FB8217" w:rsidR="005F0C3F" w:rsidRPr="005F0C3F" w:rsidRDefault="005F0C3F" w:rsidP="005F0C3F">
      <w:pPr>
        <w:pStyle w:val="NormalText"/>
      </w:pPr>
      <w:r w:rsidRPr="005F0C3F">
        <w:t>Dose-confirmation studies should be performed in the target animal species under experimental conditions, using the proposed dose regimen and be conducted with the final formulation. Any deviation should be justified.</w:t>
      </w:r>
      <w:r w:rsidR="006E247A">
        <w:br/>
      </w:r>
      <w:r w:rsidRPr="005F0C3F">
        <w:t xml:space="preserve">Dose-confirmation studies may also be performed in the field, if justified. If a dose range has been selected </w:t>
      </w:r>
      <w:proofErr w:type="gramStart"/>
      <w:r w:rsidRPr="005F0C3F">
        <w:t>as a result of</w:t>
      </w:r>
      <w:proofErr w:type="gramEnd"/>
      <w:r w:rsidRPr="005F0C3F">
        <w:t xml:space="preserve"> dose-dependent differences in clinical effects as claimed, each dose should be studied with respect to its corresponding effect.</w:t>
      </w:r>
    </w:p>
    <w:p w14:paraId="0AB4A144" w14:textId="77777777" w:rsidR="00B634B5" w:rsidRDefault="005F0C3F" w:rsidP="005F0C3F">
      <w:pPr>
        <w:pStyle w:val="NormalText"/>
        <w:sectPr w:rsidR="00B634B5">
          <w:headerReference w:type="even" r:id="rId31"/>
          <w:pgSz w:w="11906" w:h="16838" w:code="9"/>
          <w:pgMar w:top="2835" w:right="1134" w:bottom="1134" w:left="1134" w:header="1701" w:footer="680" w:gutter="0"/>
          <w:cols w:space="708"/>
          <w:docGrid w:linePitch="360"/>
        </w:sectPr>
      </w:pPr>
      <w:r w:rsidRPr="005F0C3F">
        <w:t>If a formulation other than the final one proposed for registration has been used in the dose confirmation study, the results could still be valid, provided bioequivalence to the final formulation is demonstrated.</w:t>
      </w:r>
    </w:p>
    <w:p w14:paraId="1EDAAFCB" w14:textId="089BABF2" w:rsidR="008A1A3C" w:rsidRPr="007A752A" w:rsidRDefault="0017696F" w:rsidP="0017696F">
      <w:pPr>
        <w:pStyle w:val="Heading2"/>
      </w:pPr>
      <w:bookmarkStart w:id="29" w:name="_Toc181283299"/>
      <w:r>
        <w:lastRenderedPageBreak/>
        <w:t xml:space="preserve">5. </w:t>
      </w:r>
      <w:r w:rsidR="008A1A3C" w:rsidRPr="007A752A">
        <w:t>Clinical Studies</w:t>
      </w:r>
      <w:bookmarkEnd w:id="29"/>
    </w:p>
    <w:p w14:paraId="4696C135" w14:textId="77777777" w:rsidR="008A1A3C" w:rsidRDefault="008A1A3C" w:rsidP="008A1A3C">
      <w:pPr>
        <w:pStyle w:val="NormalText"/>
      </w:pPr>
      <w:r>
        <w:t>Field studies</w:t>
      </w:r>
      <w:r w:rsidRPr="00CA0AC5">
        <w:t xml:space="preserve"> </w:t>
      </w:r>
      <w:r>
        <w:t xml:space="preserve">should be conducted </w:t>
      </w:r>
      <w:r w:rsidRPr="00CA0AC5">
        <w:t>to demonstrate that a NSAID is safe and effective for the target animal under the actual conditions of use for which it is labelled. Field stud</w:t>
      </w:r>
      <w:r>
        <w:t>y(</w:t>
      </w:r>
      <w:proofErr w:type="spellStart"/>
      <w:r>
        <w:t>ies</w:t>
      </w:r>
      <w:proofErr w:type="spellEnd"/>
      <w:r>
        <w:t>)</w:t>
      </w:r>
      <w:r w:rsidRPr="00CA0AC5">
        <w:t xml:space="preserve"> should confirm results from any laboratory studies that were used to provide substantial evidence of effectiveness. </w:t>
      </w:r>
      <w:r w:rsidRPr="0077443B">
        <w:t>At least one clinical trial should be performed for each claim.</w:t>
      </w:r>
      <w:r w:rsidRPr="00CA0AC5">
        <w:t xml:space="preserve"> The criteria you use to measure effectiveness of the NSAID should be objective, repeatable, and clearly stated. You may use naturally occurring disease and/or established experimental (target animal) models to demonstrate effectiveness.</w:t>
      </w:r>
      <w:r>
        <w:t xml:space="preserve"> </w:t>
      </w:r>
    </w:p>
    <w:p w14:paraId="207EEC84" w14:textId="77777777" w:rsidR="008A1A3C" w:rsidRPr="00CA0AC5" w:rsidRDefault="008A1A3C" w:rsidP="008A1A3C">
      <w:pPr>
        <w:pStyle w:val="NormalText"/>
      </w:pPr>
      <w:r>
        <w:t>Approval by an institutional animal ethics committee for each study is essential and must be stated, including approval number.</w:t>
      </w:r>
    </w:p>
    <w:p w14:paraId="40444AC3" w14:textId="49D25677" w:rsidR="008A1A3C" w:rsidRPr="00FF1913" w:rsidRDefault="0017696F" w:rsidP="0017696F">
      <w:pPr>
        <w:pStyle w:val="Heading3"/>
      </w:pPr>
      <w:bookmarkStart w:id="30" w:name="_Toc181283300"/>
      <w:bookmarkStart w:id="31" w:name="_Hlk172285046"/>
      <w:r>
        <w:t xml:space="preserve">5.1. </w:t>
      </w:r>
      <w:r w:rsidR="008A1A3C" w:rsidRPr="00FF1913">
        <w:t xml:space="preserve">Selection of primary and secondary </w:t>
      </w:r>
      <w:bookmarkStart w:id="32" w:name="_Hlk159497076"/>
      <w:r w:rsidR="008A1A3C" w:rsidRPr="0017696F">
        <w:t>outcome</w:t>
      </w:r>
      <w:r w:rsidR="008A1A3C" w:rsidRPr="00FF1913">
        <w:t xml:space="preserve"> measures</w:t>
      </w:r>
      <w:bookmarkEnd w:id="32"/>
      <w:bookmarkEnd w:id="30"/>
    </w:p>
    <w:bookmarkEnd w:id="31"/>
    <w:p w14:paraId="16F4E745" w14:textId="401A173E" w:rsidR="008A1A3C" w:rsidRPr="00CA0AC5" w:rsidRDefault="008A1A3C" w:rsidP="008A1A3C">
      <w:pPr>
        <w:pStyle w:val="NormalText"/>
      </w:pPr>
      <w:r w:rsidRPr="00CA0AC5">
        <w:t xml:space="preserve">Whenever possible, efficacy assessment should be based on objective </w:t>
      </w:r>
      <w:r>
        <w:t>primary outcome measures and result in quantitative data</w:t>
      </w:r>
      <w:r w:rsidRPr="00CA0AC5">
        <w:t xml:space="preserve">. Selection of appropriate primary and secondary </w:t>
      </w:r>
      <w:r w:rsidRPr="00A85448">
        <w:t>outcome measures</w:t>
      </w:r>
      <w:r w:rsidRPr="00CA0AC5">
        <w:t xml:space="preserve"> concerns both pre-clinical studies and clinical trials. </w:t>
      </w:r>
      <w:r>
        <w:t>Clearly state and define in advance p</w:t>
      </w:r>
      <w:r w:rsidRPr="00CA0AC5">
        <w:t xml:space="preserve">rimary and secondary </w:t>
      </w:r>
      <w:r>
        <w:t>outcome measures</w:t>
      </w:r>
      <w:r w:rsidRPr="00CA0AC5">
        <w:t xml:space="preserve"> </w:t>
      </w:r>
      <w:r>
        <w:t>for inflammation, pain and pyrexia</w:t>
      </w:r>
      <w:r w:rsidRPr="00CA0AC5">
        <w:t>.</w:t>
      </w:r>
    </w:p>
    <w:p w14:paraId="4C590008" w14:textId="12717B67" w:rsidR="008A1A3C" w:rsidRPr="00A553DD" w:rsidRDefault="008A1A3C" w:rsidP="008A1A3C">
      <w:pPr>
        <w:pStyle w:val="NormalText"/>
      </w:pPr>
      <w:r>
        <w:t>Select the outcome measures most relevant to the proposed label claims.</w:t>
      </w:r>
      <w:r w:rsidRPr="00CA0AC5">
        <w:t xml:space="preserve"> </w:t>
      </w:r>
      <w:r w:rsidRPr="00A553DD">
        <w:t>Use direct, objective measures (</w:t>
      </w:r>
      <w:r w:rsidR="00B80D34">
        <w:t>Example:</w:t>
      </w:r>
      <w:r w:rsidRPr="00A553DD">
        <w:t xml:space="preserve"> force plate study) instead of more subjective measures (</w:t>
      </w:r>
      <w:r w:rsidR="00B80D34">
        <w:t>Example:</w:t>
      </w:r>
      <w:r w:rsidRPr="00A553DD">
        <w:t xml:space="preserve"> owner/investigator grading pain level) where possible.</w:t>
      </w:r>
    </w:p>
    <w:p w14:paraId="0D631511" w14:textId="1771DB49" w:rsidR="008A1A3C" w:rsidRPr="00CA0AC5" w:rsidRDefault="008A1A3C" w:rsidP="008A1A3C">
      <w:pPr>
        <w:pStyle w:val="NormalText"/>
      </w:pPr>
      <w:r w:rsidRPr="00CA0AC5">
        <w:t xml:space="preserve">The selected primary </w:t>
      </w:r>
      <w:r>
        <w:t>measures</w:t>
      </w:r>
      <w:r w:rsidRPr="00CA0AC5">
        <w:t xml:space="preserve"> should </w:t>
      </w:r>
      <w:r>
        <w:t xml:space="preserve">objectively </w:t>
      </w:r>
      <w:r w:rsidRPr="00CA0AC5">
        <w:t>quantify the changes induced by treatment</w:t>
      </w:r>
      <w:r>
        <w:t xml:space="preserve"> so that </w:t>
      </w:r>
      <w:r w:rsidRPr="00CA0AC5">
        <w:t xml:space="preserve">changes in magnitude can be interpreted for their </w:t>
      </w:r>
      <w:r w:rsidRPr="008A1A3C">
        <w:rPr>
          <w:b/>
          <w:bCs/>
        </w:rPr>
        <w:t>clinical relevance</w:t>
      </w:r>
      <w:r>
        <w:t xml:space="preserve"> </w:t>
      </w:r>
      <w:r w:rsidRPr="00BB1DF5">
        <w:t>and be relevant for the proposed label claims</w:t>
      </w:r>
      <w:r w:rsidRPr="00CA0AC5">
        <w:t xml:space="preserve">. If objective </w:t>
      </w:r>
      <w:r>
        <w:t>measures</w:t>
      </w:r>
      <w:r w:rsidRPr="00CA0AC5">
        <w:t xml:space="preserve"> cannot be used, subjective </w:t>
      </w:r>
      <w:r>
        <w:t>measures</w:t>
      </w:r>
      <w:r w:rsidR="006B3F88">
        <w:t>,</w:t>
      </w:r>
      <w:r>
        <w:t xml:space="preserve"> </w:t>
      </w:r>
      <w:r w:rsidR="00DB260C">
        <w:t>for example,</w:t>
      </w:r>
      <w:r>
        <w:t xml:space="preserve"> owner assessment of improvements in lameness</w:t>
      </w:r>
      <w:r w:rsidR="006B3F88">
        <w:t>,</w:t>
      </w:r>
      <w:r>
        <w:t xml:space="preserve"> </w:t>
      </w:r>
      <w:r w:rsidRPr="00CA0AC5">
        <w:t>may be acceptable</w:t>
      </w:r>
      <w:r w:rsidR="00DB260C">
        <w:t>.</w:t>
      </w:r>
      <w:r>
        <w:t xml:space="preserve"> </w:t>
      </w:r>
      <w:r w:rsidR="00DB260C">
        <w:t>H</w:t>
      </w:r>
      <w:r>
        <w:t>owever</w:t>
      </w:r>
      <w:r w:rsidR="00DB260C">
        <w:t>,</w:t>
      </w:r>
      <w:r>
        <w:t xml:space="preserve"> validated methods to quantify the data should be applied where possible</w:t>
      </w:r>
      <w:r w:rsidR="006B3F88">
        <w:t>,</w:t>
      </w:r>
      <w:r>
        <w:t xml:space="preserve"> </w:t>
      </w:r>
      <w:r w:rsidR="002E14D6">
        <w:t xml:space="preserve">for </w:t>
      </w:r>
      <w:r w:rsidR="00DB260C">
        <w:t>example,</w:t>
      </w:r>
      <w:r>
        <w:t xml:space="preserve"> VAS</w:t>
      </w:r>
      <w:r w:rsidR="006B3F88">
        <w:t>,</w:t>
      </w:r>
      <w:r>
        <w:t xml:space="preserve"> and the trial design should include adequate blinding/masking (</w:t>
      </w:r>
      <w:r w:rsidR="00B80D34">
        <w:t>E</w:t>
      </w:r>
      <w:r w:rsidR="002E14D6">
        <w:t>xample</w:t>
      </w:r>
      <w:r w:rsidR="00B80D34">
        <w:t>:</w:t>
      </w:r>
      <w:r>
        <w:t xml:space="preserve"> each observer is blinded/masked to treatment versus placebo)</w:t>
      </w:r>
      <w:r w:rsidRPr="00CA0AC5">
        <w:t xml:space="preserve">. </w:t>
      </w:r>
      <w:r>
        <w:t>To r</w:t>
      </w:r>
      <w:r w:rsidRPr="00CA0AC5">
        <w:t>educe variability, observations should preferably be made by the same adequately trained personnel throughout the trial, and information on this and any other measures undertaken to reduce observer variation should be provided.</w:t>
      </w:r>
    </w:p>
    <w:p w14:paraId="2D2BDEB4" w14:textId="4B1D3AD0" w:rsidR="008A1A3C" w:rsidRPr="00FF1913" w:rsidRDefault="0017696F" w:rsidP="0017696F">
      <w:pPr>
        <w:pStyle w:val="Heading3"/>
      </w:pPr>
      <w:bookmarkStart w:id="33" w:name="_Toc181283301"/>
      <w:r>
        <w:t xml:space="preserve">5.2. </w:t>
      </w:r>
      <w:r w:rsidR="008A1A3C" w:rsidRPr="00FF1913">
        <w:t xml:space="preserve">Ensuring clinical studies are relevant to proposed label claims </w:t>
      </w:r>
      <w:r w:rsidR="008A1A3C" w:rsidRPr="0017696F">
        <w:t>and</w:t>
      </w:r>
      <w:r w:rsidR="008A1A3C" w:rsidRPr="00FF1913">
        <w:t xml:space="preserve"> uses</w:t>
      </w:r>
      <w:bookmarkEnd w:id="33"/>
    </w:p>
    <w:p w14:paraId="070B7BB5" w14:textId="40C29831" w:rsidR="008A1A3C" w:rsidRPr="00CA0AC5" w:rsidRDefault="00B80D34" w:rsidP="008A1A3C">
      <w:pPr>
        <w:pStyle w:val="NormalText"/>
      </w:pPr>
      <w:r>
        <w:t>T</w:t>
      </w:r>
      <w:r w:rsidR="008A1A3C" w:rsidRPr="00CA0AC5">
        <w:t xml:space="preserve">he development plan for a NSAID </w:t>
      </w:r>
      <w:r>
        <w:t xml:space="preserve">should be tailored </w:t>
      </w:r>
      <w:r w:rsidR="008A1A3C" w:rsidRPr="00CA0AC5">
        <w:t xml:space="preserve">to the proposed intended uses. The following hypothetical </w:t>
      </w:r>
      <w:r w:rsidR="008A1A3C">
        <w:t>approach and proposed label claims</w:t>
      </w:r>
      <w:r w:rsidR="008A1A3C" w:rsidRPr="00CA0AC5">
        <w:t xml:space="preserve"> are </w:t>
      </w:r>
      <w:r>
        <w:t>examples only and</w:t>
      </w:r>
      <w:r w:rsidR="008A1A3C" w:rsidRPr="00CA0AC5">
        <w:t xml:space="preserve"> should not </w:t>
      </w:r>
      <w:r>
        <w:t xml:space="preserve">be perceived </w:t>
      </w:r>
      <w:r w:rsidR="008A1A3C" w:rsidRPr="00CA0AC5">
        <w:t xml:space="preserve">as definitive indications or approaches. Following each example, a brief description of studies that you may use to support the indication appears in </w:t>
      </w:r>
      <w:r w:rsidR="008A1A3C" w:rsidRPr="006218CD">
        <w:rPr>
          <w:i/>
          <w:iCs/>
        </w:rPr>
        <w:t>italics</w:t>
      </w:r>
      <w:r w:rsidR="008A1A3C" w:rsidRPr="00CA0AC5">
        <w:t>.</w:t>
      </w:r>
    </w:p>
    <w:p w14:paraId="5E9579D6" w14:textId="1ACF2C8B" w:rsidR="008A1A3C" w:rsidRPr="0017696F" w:rsidRDefault="00943C8D" w:rsidP="0017696F">
      <w:pPr>
        <w:pStyle w:val="Heading4"/>
      </w:pPr>
      <w:r>
        <w:t>5.2.</w:t>
      </w:r>
      <w:r w:rsidR="0017696F">
        <w:t>1</w:t>
      </w:r>
      <w:r>
        <w:t xml:space="preserve">. </w:t>
      </w:r>
      <w:r w:rsidR="008A1A3C" w:rsidRPr="0017696F">
        <w:t>Inflammation</w:t>
      </w:r>
    </w:p>
    <w:p w14:paraId="276FF197" w14:textId="77777777" w:rsidR="008A1A3C" w:rsidRPr="005C5634" w:rsidRDefault="008A1A3C" w:rsidP="005C5634">
      <w:pPr>
        <w:pStyle w:val="NormalText"/>
      </w:pPr>
      <w:r w:rsidRPr="005C5634">
        <w:t xml:space="preserve">We recommend that you base the indication on the control of clinical signs of inflammation associated with a disease. You may confirm the indication through demonstration of control of one or more of the cardinal signs of inflammation clinically significant to the disease process. The cardinal signs of inflammation are pain, heat, redness, swelling, and loss of function. </w:t>
      </w:r>
    </w:p>
    <w:p w14:paraId="0C940872" w14:textId="106D8BE9" w:rsidR="008A1A3C" w:rsidRPr="005C5634" w:rsidRDefault="008A1A3C" w:rsidP="006C5346">
      <w:pPr>
        <w:pStyle w:val="Heading5"/>
      </w:pPr>
      <w:r w:rsidRPr="005C5634">
        <w:lastRenderedPageBreak/>
        <w:t>Example 1:</w:t>
      </w:r>
      <w:r w:rsidR="005C5634">
        <w:tab/>
      </w:r>
      <w:r w:rsidRPr="005C5634">
        <w:t>Proposed label claim: For the control of inflammation associated with soft tissue surgery in horses.</w:t>
      </w:r>
    </w:p>
    <w:p w14:paraId="2614C80B" w14:textId="559D1BFF" w:rsidR="008A1A3C" w:rsidRPr="006C5346" w:rsidRDefault="008A1A3C" w:rsidP="006C5346">
      <w:pPr>
        <w:pStyle w:val="APVMATextIndented"/>
        <w:rPr>
          <w:i/>
          <w:iCs/>
        </w:rPr>
      </w:pPr>
      <w:r w:rsidRPr="006C5346">
        <w:rPr>
          <w:i/>
          <w:iCs/>
        </w:rPr>
        <w:t>You may demonstrate effectiveness of NSAID as an anti-inflammatory agent using a validated laboratory model such as carrageenan sponge or tissue cage. The field study outcome measures should support the model; for example, a post-castration field study in horses may support the model by demonstrating control of clinical signs of inflammation (swelling).</w:t>
      </w:r>
    </w:p>
    <w:p w14:paraId="064B248B" w14:textId="0747E1E1" w:rsidR="008A1A3C" w:rsidRPr="005C5634" w:rsidRDefault="008A1A3C" w:rsidP="006C5346">
      <w:pPr>
        <w:pStyle w:val="Heading5"/>
      </w:pPr>
      <w:r w:rsidRPr="005C5634">
        <w:t>Example 2:</w:t>
      </w:r>
      <w:r w:rsidR="005C5634">
        <w:tab/>
      </w:r>
      <w:r w:rsidRPr="005C5634">
        <w:t>Proposed label claim: For the control of inflammation associated with soft tissue surgery or injury in horses</w:t>
      </w:r>
      <w:r w:rsidR="0063447E">
        <w:t>.</w:t>
      </w:r>
    </w:p>
    <w:p w14:paraId="0BC5941C" w14:textId="77777777" w:rsidR="008A1A3C" w:rsidRPr="006C5346" w:rsidRDefault="008A1A3C" w:rsidP="006C5346">
      <w:pPr>
        <w:pStyle w:val="APVMATextIndented"/>
        <w:rPr>
          <w:i/>
          <w:iCs/>
        </w:rPr>
      </w:pPr>
      <w:r w:rsidRPr="006C5346">
        <w:rPr>
          <w:i/>
          <w:iCs/>
        </w:rPr>
        <w:t>Using the above example and adding a field study in horses demonstrating control of clinical signs following non-surgical soft tissue trauma / injury.</w:t>
      </w:r>
    </w:p>
    <w:p w14:paraId="35CF9EB6" w14:textId="402C2FFC" w:rsidR="008A1A3C" w:rsidRPr="00943C8D" w:rsidRDefault="00943C8D" w:rsidP="00943C8D">
      <w:pPr>
        <w:pStyle w:val="Heading4"/>
      </w:pPr>
      <w:r>
        <w:t>5.2.</w:t>
      </w:r>
      <w:r w:rsidR="0017696F">
        <w:t>2</w:t>
      </w:r>
      <w:r w:rsidR="00C95B96">
        <w:t>.</w:t>
      </w:r>
      <w:r>
        <w:t xml:space="preserve"> </w:t>
      </w:r>
      <w:r w:rsidR="008A1A3C" w:rsidRPr="0092182B">
        <w:t>Pain</w:t>
      </w:r>
    </w:p>
    <w:p w14:paraId="790869DB" w14:textId="77777777" w:rsidR="008A1A3C" w:rsidRPr="005C5634" w:rsidRDefault="008A1A3C" w:rsidP="005C5634">
      <w:pPr>
        <w:pStyle w:val="NormalText"/>
      </w:pPr>
      <w:r w:rsidRPr="005C5634">
        <w:t xml:space="preserve">This indication should be based on the control of clinical signs of pain associated with a disease. Pain in limbs may manifest as lameness. You should use validated methods of pain assessment in the target species. Two indications of frequent concern are control of pain associated with osteoarthritis and postoperative pain. </w:t>
      </w:r>
    </w:p>
    <w:p w14:paraId="52D1EA2C" w14:textId="77777777" w:rsidR="008A1A3C" w:rsidRPr="005C5634" w:rsidRDefault="008A1A3C" w:rsidP="005C5634">
      <w:pPr>
        <w:pStyle w:val="NormalText"/>
      </w:pPr>
      <w:r w:rsidRPr="005C5634">
        <w:t>We recommend using radiographs or other appropriate diagnostic modalities to confirm the diagnosis of osteoarthritis. Clinical cases should include an adequate number of representative osteoarthritic joints. Radiographic or similar evidence will be necessary if claims are being made regarding reduction of lesion severity.</w:t>
      </w:r>
    </w:p>
    <w:p w14:paraId="5A117E50" w14:textId="35A1FFF7" w:rsidR="008A1A3C" w:rsidRPr="005C5634" w:rsidRDefault="008A1A3C" w:rsidP="005C5634">
      <w:pPr>
        <w:pStyle w:val="NormalText"/>
      </w:pPr>
      <w:r w:rsidRPr="005C5634">
        <w:t xml:space="preserve">Postoperative pain is expected to be most intense in the immediate post-operative </w:t>
      </w:r>
      <w:r w:rsidR="005E1AD9" w:rsidRPr="005C5634">
        <w:t>period and</w:t>
      </w:r>
      <w:r w:rsidRPr="005C5634">
        <w:t xml:space="preserve"> subside substantially within 72 hours. Therefore, the effectiveness studies should include evaluation of the response to treatment within the first 72 hours after surgery. The intensity of pain and the expression of pain vary greatly depending on the type of surgical procedure, as well as from animal to animal. NSAIDs alone may not provide sufficient analgesia following procedures that are expected to induce intense pain; therefore, evaluation of drug combinations is also acceptable. It is also important to design studies to eliminate or reduce the differing residual analgesic effects of different anaesthetic agents</w:t>
      </w:r>
      <w:r w:rsidR="00CD24ED">
        <w:t>.</w:t>
      </w:r>
      <w:r w:rsidRPr="005C5634">
        <w:t xml:space="preserve"> </w:t>
      </w:r>
      <w:r w:rsidR="00CD24ED">
        <w:t>F</w:t>
      </w:r>
      <w:r w:rsidR="008E62E8">
        <w:t xml:space="preserve">or </w:t>
      </w:r>
      <w:r w:rsidR="00950526">
        <w:t>example</w:t>
      </w:r>
      <w:r w:rsidRPr="005C5634">
        <w:t>, equal representation of anaesthetic agents in groups.</w:t>
      </w:r>
    </w:p>
    <w:p w14:paraId="6C27A537" w14:textId="72FABF7C" w:rsidR="008A1A3C" w:rsidRPr="005C5634" w:rsidRDefault="008A1A3C" w:rsidP="005C5634">
      <w:pPr>
        <w:pStyle w:val="NormalText"/>
      </w:pPr>
      <w:r w:rsidRPr="005C5634">
        <w:t>Orthopaedic procedures frequently result in intense postoperative pain. You may use a single orthopaedic procedure that is historically associated with a high degree of pain to support an indication for the control of pain following orthopaedic surgery.</w:t>
      </w:r>
    </w:p>
    <w:p w14:paraId="63A6332E" w14:textId="76366DE4" w:rsidR="008A1A3C" w:rsidRPr="005C5634" w:rsidRDefault="008A1A3C" w:rsidP="005C5634">
      <w:pPr>
        <w:pStyle w:val="NormalText"/>
      </w:pPr>
      <w:r w:rsidRPr="005C5634">
        <w:t xml:space="preserve">Soft tissue surgeries often involve lower pain intensity but may vary among types of soft tissue procedures. For example, we would expect less pain following ovariohysterectomy than following radical mastectomy or thoracotomy. You should evaluate a minimum of </w:t>
      </w:r>
      <w:r w:rsidR="00CD24ED">
        <w:t>2</w:t>
      </w:r>
      <w:r w:rsidR="00CD24ED" w:rsidRPr="005C5634">
        <w:t xml:space="preserve"> </w:t>
      </w:r>
      <w:r w:rsidRPr="005C5634">
        <w:t xml:space="preserve">types of procedures, representing the range of pain associated with soft tissue surgeries, to establish a general indication for control of pain following soft tissue surgery. We suggest that you evaluate </w:t>
      </w:r>
      <w:proofErr w:type="gramStart"/>
      <w:r w:rsidRPr="005C5634">
        <w:t>a sufficient number of</w:t>
      </w:r>
      <w:proofErr w:type="gramEnd"/>
      <w:r w:rsidRPr="005C5634">
        <w:t xml:space="preserve"> cases of each type of soft tissue surgery to demonstrate the drug’s effectiveness in controlling pain for each procedure. Alternatively, you could pursue an indication for a specific type of soft tissue surgery.</w:t>
      </w:r>
    </w:p>
    <w:p w14:paraId="63302423" w14:textId="79812168" w:rsidR="008A1A3C" w:rsidRPr="005C5634" w:rsidRDefault="008A1A3C" w:rsidP="00CD24ED">
      <w:pPr>
        <w:pStyle w:val="Heading5"/>
      </w:pPr>
      <w:r w:rsidRPr="005C5634">
        <w:lastRenderedPageBreak/>
        <w:t>Example 1:</w:t>
      </w:r>
      <w:r w:rsidR="005C5634">
        <w:tab/>
      </w:r>
      <w:r w:rsidRPr="005C5634">
        <w:t>Proposed label claim: For the control of pain associated with osteoarthritis in dogs.</w:t>
      </w:r>
    </w:p>
    <w:p w14:paraId="48E72DC1" w14:textId="77777777" w:rsidR="008A1A3C" w:rsidRPr="005C5634" w:rsidRDefault="008A1A3C" w:rsidP="005C5634">
      <w:pPr>
        <w:pStyle w:val="NormalText"/>
        <w:ind w:left="1134"/>
        <w:rPr>
          <w:i/>
          <w:iCs/>
        </w:rPr>
      </w:pPr>
      <w:r w:rsidRPr="005C5634">
        <w:rPr>
          <w:i/>
          <w:iCs/>
        </w:rPr>
        <w:t>You may demonstrate the effectiveness of an NSAID as an analgesic agent using a validated laboratory model and adequate, well-controlled field studies for control of pain associated with osteoarthritis of the elbows, hips, and stifles in dogs.</w:t>
      </w:r>
    </w:p>
    <w:p w14:paraId="2793FC9E" w14:textId="69EB9408" w:rsidR="008A1A3C" w:rsidRPr="00951BE7" w:rsidRDefault="008A1A3C" w:rsidP="00CD24ED">
      <w:pPr>
        <w:pStyle w:val="Heading5"/>
      </w:pPr>
      <w:r w:rsidRPr="00951BE7">
        <w:t>Example 2:</w:t>
      </w:r>
      <w:r w:rsidR="00784886">
        <w:tab/>
      </w:r>
      <w:r w:rsidRPr="00951BE7">
        <w:t>Proposed label claim: For the control of postoperative pain associated with orthopaedic surgery in dogs.</w:t>
      </w:r>
    </w:p>
    <w:p w14:paraId="71F6E7A1" w14:textId="309B7BF3" w:rsidR="00784886" w:rsidRPr="00CD24ED" w:rsidRDefault="008A1A3C" w:rsidP="00CD24ED">
      <w:pPr>
        <w:pStyle w:val="APVMATextIndented"/>
        <w:rPr>
          <w:i/>
          <w:iCs/>
        </w:rPr>
      </w:pPr>
      <w:bookmarkStart w:id="34" w:name="_Hlk159426084"/>
      <w:r w:rsidRPr="00CD24ED">
        <w:rPr>
          <w:i/>
          <w:iCs/>
        </w:rPr>
        <w:t xml:space="preserve">You may demonstrate the </w:t>
      </w:r>
      <w:bookmarkEnd w:id="34"/>
      <w:r w:rsidRPr="00CD24ED">
        <w:rPr>
          <w:i/>
          <w:iCs/>
        </w:rPr>
        <w:t>effectiveness of NSAID as an analgesic agent using a validated laboratory model and in controlled field studies of a representative orthopaedic procedure</w:t>
      </w:r>
      <w:r w:rsidR="00CD24ED">
        <w:rPr>
          <w:i/>
          <w:iCs/>
        </w:rPr>
        <w:t>,</w:t>
      </w:r>
      <w:r w:rsidRPr="00CD24ED">
        <w:rPr>
          <w:i/>
          <w:iCs/>
        </w:rPr>
        <w:t xml:space="preserve"> </w:t>
      </w:r>
      <w:r w:rsidR="00CD24ED">
        <w:rPr>
          <w:i/>
          <w:iCs/>
        </w:rPr>
        <w:t>for example</w:t>
      </w:r>
      <w:r w:rsidRPr="00CD24ED">
        <w:rPr>
          <w:i/>
          <w:iCs/>
        </w:rPr>
        <w:t>, pain associated with surgical repair of fractures.</w:t>
      </w:r>
    </w:p>
    <w:p w14:paraId="3ACA4688" w14:textId="26F189F2" w:rsidR="008A1A3C" w:rsidRPr="00951BE7" w:rsidRDefault="008A1A3C" w:rsidP="00CD24ED">
      <w:pPr>
        <w:pStyle w:val="APVMATextIndented"/>
      </w:pPr>
      <w:r w:rsidRPr="00951BE7">
        <w:t>Note here that descriptions of the surgeries undertaken would need to be detailed</w:t>
      </w:r>
      <w:r w:rsidR="00CD24ED">
        <w:t>. Example</w:t>
      </w:r>
      <w:r w:rsidRPr="00951BE7">
        <w:t xml:space="preserve">, if surgery associated with improving cruciate instability was selected you would need to </w:t>
      </w:r>
      <w:r w:rsidR="003E0246" w:rsidRPr="00951BE7">
        <w:t>specif</w:t>
      </w:r>
      <w:r w:rsidR="003E0246">
        <w:t>y</w:t>
      </w:r>
      <w:r w:rsidR="003E0246" w:rsidRPr="00951BE7">
        <w:t xml:space="preserve"> </w:t>
      </w:r>
      <w:r w:rsidRPr="00951BE7">
        <w:t xml:space="preserve">the types of </w:t>
      </w:r>
      <w:proofErr w:type="gramStart"/>
      <w:r w:rsidRPr="00951BE7">
        <w:t>repair</w:t>
      </w:r>
      <w:proofErr w:type="gramEnd"/>
      <w:r w:rsidRPr="00951BE7">
        <w:t xml:space="preserve"> undertaken</w:t>
      </w:r>
      <w:r>
        <w:t>.</w:t>
      </w:r>
    </w:p>
    <w:p w14:paraId="1DAEA475" w14:textId="0ACC0768" w:rsidR="008A1A3C" w:rsidRPr="00CA0AC5" w:rsidRDefault="008A1A3C" w:rsidP="00CD24ED">
      <w:pPr>
        <w:pStyle w:val="Heading5"/>
      </w:pPr>
      <w:r w:rsidRPr="00CA0AC5">
        <w:t>Example 3:</w:t>
      </w:r>
      <w:r w:rsidR="00784886">
        <w:tab/>
      </w:r>
      <w:r>
        <w:t>Proposed label claim</w:t>
      </w:r>
      <w:r w:rsidRPr="00CA0AC5">
        <w:t xml:space="preserve">: </w:t>
      </w:r>
      <w:r>
        <w:t>F</w:t>
      </w:r>
      <w:r w:rsidRPr="00CA0AC5">
        <w:t>or the control of pain associated with soft tissue surgery in cats.</w:t>
      </w:r>
    </w:p>
    <w:p w14:paraId="4FE7DFDD" w14:textId="1B45D62B" w:rsidR="008A1A3C" w:rsidRDefault="008A1A3C" w:rsidP="00784886">
      <w:pPr>
        <w:pStyle w:val="NormalText"/>
        <w:ind w:left="1134"/>
      </w:pPr>
      <w:r w:rsidRPr="00813A37">
        <w:rPr>
          <w:i/>
          <w:iCs/>
        </w:rPr>
        <w:t>You may demonstrate the</w:t>
      </w:r>
      <w:r w:rsidRPr="004E7AC4">
        <w:rPr>
          <w:i/>
          <w:iCs/>
        </w:rPr>
        <w:t xml:space="preserve"> effectiveness of NSAID as an an</w:t>
      </w:r>
      <w:r>
        <w:rPr>
          <w:i/>
          <w:iCs/>
        </w:rPr>
        <w:t>algesic</w:t>
      </w:r>
      <w:r w:rsidRPr="004E7AC4">
        <w:rPr>
          <w:i/>
          <w:iCs/>
        </w:rPr>
        <w:t xml:space="preserve"> agent using a validated laboratory model</w:t>
      </w:r>
      <w:r>
        <w:rPr>
          <w:i/>
          <w:iCs/>
        </w:rPr>
        <w:t xml:space="preserve"> and </w:t>
      </w:r>
      <w:r w:rsidRPr="00CA0AC5">
        <w:rPr>
          <w:i/>
          <w:iCs/>
        </w:rPr>
        <w:t>in controlled field studies that evaluate postoperative pain after two representative soft tissue surgeries</w:t>
      </w:r>
      <w:r w:rsidR="00CD24ED">
        <w:rPr>
          <w:i/>
          <w:iCs/>
        </w:rPr>
        <w:t>,</w:t>
      </w:r>
      <w:r w:rsidRPr="00CA0AC5">
        <w:rPr>
          <w:i/>
          <w:iCs/>
        </w:rPr>
        <w:t xml:space="preserve"> </w:t>
      </w:r>
      <w:r w:rsidR="00CD24ED">
        <w:rPr>
          <w:i/>
          <w:iCs/>
        </w:rPr>
        <w:t>for example</w:t>
      </w:r>
      <w:r w:rsidRPr="00CA0AC5">
        <w:rPr>
          <w:i/>
          <w:iCs/>
        </w:rPr>
        <w:t>, ovariohysterectomy and ocular surgery</w:t>
      </w:r>
      <w:r w:rsidR="00882840">
        <w:rPr>
          <w:i/>
          <w:iCs/>
        </w:rPr>
        <w:t>,</w:t>
      </w:r>
      <w:r>
        <w:rPr>
          <w:i/>
          <w:iCs/>
        </w:rPr>
        <w:t xml:space="preserve"> in cats</w:t>
      </w:r>
      <w:r w:rsidRPr="00CA0AC5">
        <w:rPr>
          <w:i/>
          <w:iCs/>
        </w:rPr>
        <w:t>.</w:t>
      </w:r>
    </w:p>
    <w:p w14:paraId="0D840671" w14:textId="3BFEA766" w:rsidR="008A1A3C" w:rsidRPr="00943C8D" w:rsidRDefault="0017696F" w:rsidP="0017696F">
      <w:pPr>
        <w:pStyle w:val="Heading4"/>
      </w:pPr>
      <w:r>
        <w:t xml:space="preserve">5.2.3. </w:t>
      </w:r>
      <w:r w:rsidR="008A1A3C" w:rsidRPr="0017696F">
        <w:t>Pyrexia</w:t>
      </w:r>
    </w:p>
    <w:p w14:paraId="1CF7D8C5" w14:textId="77777777" w:rsidR="008A1A3C" w:rsidRPr="00CA0AC5" w:rsidRDefault="008A1A3C" w:rsidP="008A1A3C">
      <w:pPr>
        <w:pStyle w:val="NormalText"/>
      </w:pPr>
      <w:r w:rsidRPr="00CA0AC5">
        <w:t xml:space="preserve">You may use validated target species model systems to support this indication. </w:t>
      </w:r>
      <w:r>
        <w:t>Noting that rating scales are not useful or relevant where quantitative measurements such as (rectal) temperature are available. Y</w:t>
      </w:r>
      <w:r w:rsidRPr="00CA0AC5">
        <w:t xml:space="preserve">ou should demonstrate a </w:t>
      </w:r>
      <w:r>
        <w:t xml:space="preserve">statistically and </w:t>
      </w:r>
      <w:r w:rsidRPr="00CA0AC5">
        <w:t xml:space="preserve">clinically significant decrease in core body temperature in field studies. </w:t>
      </w:r>
      <w:r>
        <w:t xml:space="preserve">The definition of a clinically significant decrease in core body temperature must be included in the study design before the study commences. </w:t>
      </w:r>
      <w:r w:rsidRPr="00CA0AC5">
        <w:t xml:space="preserve">The magnitude of the decrease will depend on the animal species, the disease process, and the stage and severity of the disease process. </w:t>
      </w:r>
    </w:p>
    <w:p w14:paraId="235571D8" w14:textId="6A468DA2" w:rsidR="008A1A3C" w:rsidRPr="00CA0AC5" w:rsidRDefault="008A1A3C" w:rsidP="00002CA5">
      <w:pPr>
        <w:pStyle w:val="Heading5"/>
      </w:pPr>
      <w:r w:rsidRPr="00CA0AC5">
        <w:t>Example 1:</w:t>
      </w:r>
      <w:r w:rsidR="00784886">
        <w:tab/>
      </w:r>
      <w:r>
        <w:t>Proposed label claim</w:t>
      </w:r>
      <w:r w:rsidRPr="00CA0AC5">
        <w:t xml:space="preserve">: </w:t>
      </w:r>
      <w:r>
        <w:t>F</w:t>
      </w:r>
      <w:r w:rsidRPr="00CA0AC5">
        <w:t xml:space="preserve">or the control of pyrexia associated with </w:t>
      </w:r>
      <w:r>
        <w:t xml:space="preserve">[disease such as </w:t>
      </w:r>
      <w:r w:rsidRPr="00CA0AC5">
        <w:t>bovine respiratory disease</w:t>
      </w:r>
      <w:r>
        <w:t>]</w:t>
      </w:r>
      <w:r w:rsidRPr="00CA0AC5">
        <w:t>.</w:t>
      </w:r>
    </w:p>
    <w:p w14:paraId="1FFD3C9E" w14:textId="1EED4A3C" w:rsidR="008A1A3C" w:rsidRPr="00CA0AC5" w:rsidRDefault="008A1A3C" w:rsidP="00784886">
      <w:pPr>
        <w:pStyle w:val="NormalText"/>
        <w:ind w:left="1134"/>
      </w:pPr>
      <w:r w:rsidRPr="00813A37">
        <w:rPr>
          <w:i/>
          <w:iCs/>
        </w:rPr>
        <w:t>You may demonstrate the</w:t>
      </w:r>
      <w:r w:rsidRPr="004E7AC4">
        <w:rPr>
          <w:i/>
          <w:iCs/>
        </w:rPr>
        <w:t xml:space="preserve"> effectiveness of NSAID as an </w:t>
      </w:r>
      <w:r>
        <w:rPr>
          <w:i/>
          <w:iCs/>
        </w:rPr>
        <w:t>anti-pyretic agent</w:t>
      </w:r>
      <w:r w:rsidRPr="004E7AC4">
        <w:rPr>
          <w:i/>
          <w:iCs/>
        </w:rPr>
        <w:t xml:space="preserve"> using a validated laboratory model</w:t>
      </w:r>
      <w:r>
        <w:rPr>
          <w:i/>
          <w:iCs/>
        </w:rPr>
        <w:t xml:space="preserve"> and in </w:t>
      </w:r>
      <w:r w:rsidRPr="00CA0AC5">
        <w:rPr>
          <w:i/>
          <w:iCs/>
        </w:rPr>
        <w:t>controlled field studies comprised of clinical cases of the specific disease.</w:t>
      </w:r>
    </w:p>
    <w:p w14:paraId="38E44F96" w14:textId="55EC6E29" w:rsidR="008A1A3C" w:rsidRPr="00FF1913" w:rsidRDefault="0017696F" w:rsidP="0017696F">
      <w:pPr>
        <w:pStyle w:val="Heading3"/>
      </w:pPr>
      <w:bookmarkStart w:id="35" w:name="_Toc181283302"/>
      <w:bookmarkStart w:id="36" w:name="_Hlk172285314"/>
      <w:r>
        <w:t xml:space="preserve">5.3. </w:t>
      </w:r>
      <w:r w:rsidR="008A1A3C" w:rsidRPr="00FF1913">
        <w:t>Rating scales</w:t>
      </w:r>
      <w:bookmarkEnd w:id="35"/>
    </w:p>
    <w:bookmarkEnd w:id="36"/>
    <w:p w14:paraId="29CDF6A0" w14:textId="645C877E" w:rsidR="008A1A3C" w:rsidRPr="00951BE7" w:rsidRDefault="000C64BF" w:rsidP="008A1A3C">
      <w:pPr>
        <w:pStyle w:val="NormalText"/>
      </w:pPr>
      <w:r>
        <w:t>Q</w:t>
      </w:r>
      <w:r w:rsidR="008A1A3C" w:rsidRPr="00951BE7">
        <w:t xml:space="preserve">uantitative measures </w:t>
      </w:r>
      <w:r>
        <w:t xml:space="preserve">should be used </w:t>
      </w:r>
      <w:r w:rsidR="008A1A3C" w:rsidRPr="00951BE7">
        <w:t>where possible</w:t>
      </w:r>
      <w:r>
        <w:t>,</w:t>
      </w:r>
      <w:r w:rsidR="008A1A3C" w:rsidRPr="00951BE7">
        <w:t xml:space="preserve"> </w:t>
      </w:r>
      <w:r>
        <w:t>for example,</w:t>
      </w:r>
      <w:r w:rsidR="008A1A3C" w:rsidRPr="00951BE7">
        <w:t xml:space="preserve"> force plate analysis, limb circumference</w:t>
      </w:r>
      <w:r>
        <w:t>. R</w:t>
      </w:r>
      <w:r w:rsidR="008A1A3C" w:rsidRPr="00951BE7">
        <w:t xml:space="preserve">ating scales can be used for assessing (usually subjective) changes in clinical signs associated with inflammation and pain. Rating scales often apply ordinal data and need appropriate statistical consideration. They can take the form of visual analogue scales, numerical rating scales, and simple descriptive scales. Numerical ratings from </w:t>
      </w:r>
      <w:r w:rsidR="0032265B">
        <w:t>zero</w:t>
      </w:r>
      <w:r w:rsidR="0032265B" w:rsidRPr="00951BE7">
        <w:t xml:space="preserve"> </w:t>
      </w:r>
      <w:r w:rsidR="008A1A3C" w:rsidRPr="00951BE7">
        <w:t>(normal) to 4 or 5 or 10 are commonly used and the criteria for each category must be defined in the study design and protocol.</w:t>
      </w:r>
    </w:p>
    <w:p w14:paraId="5D7B1664" w14:textId="749B8276" w:rsidR="008A1A3C" w:rsidRPr="00951BE7" w:rsidRDefault="008A1A3C" w:rsidP="008A1A3C">
      <w:pPr>
        <w:pStyle w:val="NormalText"/>
      </w:pPr>
      <w:r w:rsidRPr="00951BE7">
        <w:lastRenderedPageBreak/>
        <w:t>If the proposed label claim relates to inflammation, then clinical signs associated with inflammation must be included for rating. Validation of the rating method used would consider the types of clinical signs to be included (</w:t>
      </w:r>
      <w:hyperlink w:anchor="_5.4._Validation_of" w:history="1">
        <w:r w:rsidRPr="00471F0F">
          <w:rPr>
            <w:rStyle w:val="Hyperlink"/>
          </w:rPr>
          <w:t>see below</w:t>
        </w:r>
      </w:hyperlink>
      <w:r w:rsidRPr="00951BE7">
        <w:t>).</w:t>
      </w:r>
    </w:p>
    <w:p w14:paraId="5616D1FE" w14:textId="32ECB6A9" w:rsidR="008A1A3C" w:rsidRPr="00951BE7" w:rsidRDefault="008A1A3C" w:rsidP="008A1A3C">
      <w:pPr>
        <w:pStyle w:val="NormalText"/>
      </w:pPr>
      <w:r w:rsidRPr="00951BE7">
        <w:t xml:space="preserve">If the proposed label claim relates to pain, then clinical signs associated with pain must be included for rating. Validation of the rating method used would consider the types of clinical signs to be included </w:t>
      </w:r>
      <w:hyperlink w:anchor="_5.4._Validation_of" w:history="1">
        <w:r w:rsidRPr="00471F0F">
          <w:rPr>
            <w:rStyle w:val="Hyperlink"/>
          </w:rPr>
          <w:t>(see below</w:t>
        </w:r>
      </w:hyperlink>
      <w:r w:rsidRPr="00882840">
        <w:t>).</w:t>
      </w:r>
    </w:p>
    <w:p w14:paraId="4482EB0B" w14:textId="43458F08" w:rsidR="008A1A3C" w:rsidRPr="00951BE7" w:rsidRDefault="004F30A0" w:rsidP="008A1A3C">
      <w:pPr>
        <w:pStyle w:val="NormalText"/>
      </w:pPr>
      <w:r>
        <w:t>In clinical studies assessment may be performed by suitably trained assessors</w:t>
      </w:r>
      <w:r w:rsidR="005E1AD9">
        <w:t>,</w:t>
      </w:r>
      <w:r>
        <w:t xml:space="preserve"> including veterinarians and owners (for owner-relevant assessments)</w:t>
      </w:r>
      <w:r w:rsidR="008A1A3C" w:rsidRPr="00951BE7">
        <w:t>. Assessors should be blinded/masked to the IVMP, positive control or placebo being given. A veterinarian must perform at least some of the assessments pre-</w:t>
      </w:r>
      <w:r w:rsidR="0032265B">
        <w:t> </w:t>
      </w:r>
      <w:r w:rsidR="008A1A3C" w:rsidRPr="00951BE7">
        <w:t>and post-IVMP administration.</w:t>
      </w:r>
    </w:p>
    <w:p w14:paraId="5E2CE28F" w14:textId="69811AE2" w:rsidR="008A1A3C" w:rsidRPr="00FF1913" w:rsidRDefault="0017696F" w:rsidP="0017696F">
      <w:pPr>
        <w:pStyle w:val="Heading3"/>
      </w:pPr>
      <w:bookmarkStart w:id="37" w:name="_5.4._Validation_of"/>
      <w:bookmarkStart w:id="38" w:name="_Toc181283303"/>
      <w:bookmarkEnd w:id="37"/>
      <w:r>
        <w:t xml:space="preserve">5.4. </w:t>
      </w:r>
      <w:r w:rsidR="008A1A3C" w:rsidRPr="00FF1913">
        <w:t>Validation of rating scales</w:t>
      </w:r>
      <w:bookmarkEnd w:id="38"/>
    </w:p>
    <w:p w14:paraId="105FADD1" w14:textId="77777777" w:rsidR="001E42C5" w:rsidRDefault="008A1A3C" w:rsidP="008A1A3C">
      <w:pPr>
        <w:pStyle w:val="NormalText"/>
      </w:pPr>
      <w:r w:rsidRPr="00951BE7">
        <w:t>Rating scales must be validated either through peer-reviewed literature or validation data provided to justify the use of a particular rating scale.</w:t>
      </w:r>
    </w:p>
    <w:p w14:paraId="40F54066" w14:textId="0D0B94FF" w:rsidR="008A1A3C" w:rsidRPr="00951BE7" w:rsidRDefault="008A1A3C" w:rsidP="008A1A3C">
      <w:pPr>
        <w:pStyle w:val="NormalText"/>
      </w:pPr>
      <w:r w:rsidRPr="00951BE7">
        <w:t xml:space="preserve">Any rating scale used must be: </w:t>
      </w:r>
    </w:p>
    <w:p w14:paraId="1BB45602" w14:textId="0C142502" w:rsidR="008A1A3C" w:rsidRPr="00951BE7" w:rsidRDefault="008A1A3C" w:rsidP="00784886">
      <w:pPr>
        <w:pStyle w:val="Bullet1"/>
      </w:pPr>
      <w:r w:rsidRPr="00951BE7">
        <w:t>reliable (demonstrating minimal inter-observer and intra-observer variation)</w:t>
      </w:r>
    </w:p>
    <w:p w14:paraId="7054531B" w14:textId="5C8B57EA" w:rsidR="008A1A3C" w:rsidRPr="00951BE7" w:rsidRDefault="008A1A3C" w:rsidP="00784886">
      <w:pPr>
        <w:pStyle w:val="Bullet1"/>
      </w:pPr>
      <w:r w:rsidRPr="00951BE7">
        <w:t>sensitive (able to detect small enough variations in clinical responses to identify clinically relevant differences in treatment effect)</w:t>
      </w:r>
    </w:p>
    <w:p w14:paraId="6E051E7A" w14:textId="4F4F9792" w:rsidR="008A1A3C" w:rsidRPr="00951BE7" w:rsidRDefault="008A1A3C" w:rsidP="00784886">
      <w:pPr>
        <w:pStyle w:val="Bullet1"/>
      </w:pPr>
      <w:r w:rsidRPr="00951BE7">
        <w:t>measur</w:t>
      </w:r>
      <w:r>
        <w:t>ing</w:t>
      </w:r>
      <w:r w:rsidRPr="00951BE7">
        <w:t xml:space="preserve"> parameters which are clearly and directly related to treatment effect and therefore the proposed label claims</w:t>
      </w:r>
    </w:p>
    <w:p w14:paraId="556F2F45" w14:textId="77777777" w:rsidR="008A1A3C" w:rsidRPr="00951BE7" w:rsidRDefault="008A1A3C" w:rsidP="00784886">
      <w:pPr>
        <w:pStyle w:val="Bullet1"/>
      </w:pPr>
      <w:r w:rsidRPr="00951BE7">
        <w:t>validated using veterinary assessments</w:t>
      </w:r>
      <w:r>
        <w:t xml:space="preserve"> where they are based on subjective outcome measures assessed by the client in a home environment</w:t>
      </w:r>
      <w:r w:rsidRPr="00951BE7">
        <w:t>.</w:t>
      </w:r>
    </w:p>
    <w:p w14:paraId="223604DD" w14:textId="34B8CD9A" w:rsidR="008A1A3C" w:rsidRPr="00951BE7" w:rsidRDefault="008A1A3C" w:rsidP="008A1A3C">
      <w:pPr>
        <w:pStyle w:val="NormalText"/>
      </w:pPr>
      <w:r w:rsidRPr="00951BE7">
        <w:t>To be considered validated, these aspects should usually have been established for different breeds (where relevant to proposed label claims), different active substances (with similar indications), different observers and in a sufficient overall number of animals.</w:t>
      </w:r>
    </w:p>
    <w:p w14:paraId="0D656024" w14:textId="4303448B" w:rsidR="008A1A3C" w:rsidRPr="00951BE7" w:rsidRDefault="008A1A3C" w:rsidP="008A1A3C">
      <w:pPr>
        <w:pStyle w:val="NormalText"/>
      </w:pPr>
      <w:r w:rsidRPr="00784886">
        <w:rPr>
          <w:b/>
          <w:bCs/>
        </w:rPr>
        <w:t>Note</w:t>
      </w:r>
      <w:r w:rsidR="00784886">
        <w:t xml:space="preserve"> </w:t>
      </w:r>
      <w:r w:rsidR="0032265B">
        <w:t>–</w:t>
      </w:r>
      <w:r w:rsidR="0032265B" w:rsidRPr="00951BE7">
        <w:t xml:space="preserve"> </w:t>
      </w:r>
      <w:r w:rsidRPr="00951BE7">
        <w:t xml:space="preserve">so called ‘client-specific outcome measures’ in which the measures are determined on a case-by-case basis would </w:t>
      </w:r>
      <w:r>
        <w:t xml:space="preserve">not be suitable for </w:t>
      </w:r>
      <w:r w:rsidRPr="00951BE7">
        <w:t>use in clinical trials due to their inherent variability and difficulty in considering aggregated data.</w:t>
      </w:r>
    </w:p>
    <w:p w14:paraId="0525EDFE" w14:textId="77777777" w:rsidR="008A1A3C" w:rsidRPr="00951BE7" w:rsidRDefault="008A1A3C" w:rsidP="008A1A3C">
      <w:pPr>
        <w:pStyle w:val="NormalText"/>
      </w:pPr>
      <w:r w:rsidRPr="00951BE7">
        <w:t>For pain scales to assess surgical interventions, reliable results using different surgical procedures must be included if a broad label claim is proposed.</w:t>
      </w:r>
    </w:p>
    <w:p w14:paraId="1B27E37F" w14:textId="7002EBAE" w:rsidR="008A1A3C" w:rsidRPr="00951BE7" w:rsidRDefault="008A1A3C" w:rsidP="008A1A3C">
      <w:pPr>
        <w:pStyle w:val="NormalText"/>
      </w:pPr>
      <w:r w:rsidRPr="00951BE7">
        <w:t xml:space="preserve">If baseline measures </w:t>
      </w:r>
      <w:r>
        <w:t xml:space="preserve">(parameter values </w:t>
      </w:r>
      <w:r w:rsidRPr="00951BE7">
        <w:t>for clinical signs before intervention/start of treatment</w:t>
      </w:r>
      <w:r>
        <w:t>)</w:t>
      </w:r>
      <w:r w:rsidRPr="00951BE7">
        <w:t xml:space="preserve"> are used to identify parameter changes </w:t>
      </w:r>
      <w:proofErr w:type="gramStart"/>
      <w:r w:rsidRPr="00951BE7">
        <w:t>as a result of</w:t>
      </w:r>
      <w:proofErr w:type="gramEnd"/>
      <w:r w:rsidRPr="00951BE7">
        <w:t xml:space="preserve"> treatment, </w:t>
      </w:r>
      <w:r>
        <w:t xml:space="preserve">the statistical analysis should </w:t>
      </w:r>
      <w:r w:rsidR="00AD7A5F">
        <w:t>consider</w:t>
      </w:r>
      <w:r>
        <w:t xml:space="preserve"> the limitations of results</w:t>
      </w:r>
      <w:r w:rsidRPr="00A67C83">
        <w:t xml:space="preserve"> based on such values</w:t>
      </w:r>
      <w:r>
        <w:t xml:space="preserve">. Use of unadjusted </w:t>
      </w:r>
      <w:r w:rsidR="00BA6FA3">
        <w:t>‘</w:t>
      </w:r>
      <w:r w:rsidRPr="0062554C">
        <w:t>change from baseline</w:t>
      </w:r>
      <w:r w:rsidR="00BA6FA3">
        <w:t>’</w:t>
      </w:r>
      <w:r>
        <w:t xml:space="preserve"> values may bias the results and have less statistical power than </w:t>
      </w:r>
      <w:r w:rsidRPr="00951BE7">
        <w:t>us</w:t>
      </w:r>
      <w:r>
        <w:t>ing</w:t>
      </w:r>
      <w:r w:rsidRPr="00951BE7">
        <w:t xml:space="preserve"> </w:t>
      </w:r>
      <w:r>
        <w:t>regression</w:t>
      </w:r>
      <w:r w:rsidRPr="00951BE7">
        <w:t xml:space="preserve"> to </w:t>
      </w:r>
      <w:r>
        <w:t>correct for</w:t>
      </w:r>
      <w:r w:rsidRPr="00951BE7">
        <w:t xml:space="preserve"> baseline imbalance between groups</w:t>
      </w:r>
      <w:r w:rsidR="00882840">
        <w:rPr>
          <w:rStyle w:val="FootnoteReference"/>
        </w:rPr>
        <w:footnoteReference w:id="3"/>
      </w:r>
      <w:r w:rsidRPr="00951BE7">
        <w:t>.</w:t>
      </w:r>
    </w:p>
    <w:p w14:paraId="644F37C8" w14:textId="061DA5F3" w:rsidR="008A1A3C" w:rsidRPr="00951BE7" w:rsidRDefault="008A1A3C" w:rsidP="008A1A3C">
      <w:pPr>
        <w:pStyle w:val="NormalText"/>
      </w:pPr>
      <w:r w:rsidRPr="00951BE7">
        <w:lastRenderedPageBreak/>
        <w:t>Both for treatment of existing clinical signs and for pre-emptive use, and in addition to the primary outcome measures, the following parameters should be reported for each animal:</w:t>
      </w:r>
    </w:p>
    <w:p w14:paraId="5466A992" w14:textId="003414F6" w:rsidR="00784886" w:rsidRDefault="00C34040" w:rsidP="008A1A3C">
      <w:pPr>
        <w:pStyle w:val="Bullet1"/>
      </w:pPr>
      <w:r>
        <w:t>T</w:t>
      </w:r>
      <w:r w:rsidR="008A1A3C" w:rsidRPr="00951BE7">
        <w:t>he lag time from IVMP administration to the start of the claimed effect</w:t>
      </w:r>
      <w:r w:rsidR="001E42C5">
        <w:t>:</w:t>
      </w:r>
    </w:p>
    <w:p w14:paraId="1D7EBD9A" w14:textId="3659546E" w:rsidR="008A1A3C" w:rsidRPr="00951BE7" w:rsidRDefault="008A1A3C" w:rsidP="00784886">
      <w:pPr>
        <w:pStyle w:val="Bullet2"/>
      </w:pPr>
      <w:r w:rsidRPr="00951BE7">
        <w:t>The precise time of administration of the IVMP and reference product(s) and the frequency of observations (after intervention) should be sufficient to enable the detection of the anticipated treatment effects and hence cover the period over which a treatment effect is expected to be perceptible</w:t>
      </w:r>
    </w:p>
    <w:p w14:paraId="06F1B2B0" w14:textId="58FE0712" w:rsidR="00784886" w:rsidRDefault="00C34040" w:rsidP="00733E1F">
      <w:pPr>
        <w:pStyle w:val="Bullet1"/>
      </w:pPr>
      <w:r>
        <w:t>T</w:t>
      </w:r>
      <w:r w:rsidR="008A1A3C" w:rsidRPr="00951BE7">
        <w:t>he duration of the claimed effect</w:t>
      </w:r>
      <w:r w:rsidR="001E42C5">
        <w:t>:</w:t>
      </w:r>
    </w:p>
    <w:p w14:paraId="2B1F24E6" w14:textId="400B5D56" w:rsidR="008A1A3C" w:rsidRPr="00951BE7" w:rsidRDefault="008A1A3C" w:rsidP="00784886">
      <w:pPr>
        <w:pStyle w:val="Bullet2"/>
      </w:pPr>
      <w:r w:rsidRPr="00951BE7">
        <w:t>The length of the observation period and the choice of time points for measurements should be justified</w:t>
      </w:r>
    </w:p>
    <w:p w14:paraId="33C762FB" w14:textId="47CA66B8" w:rsidR="008A1A3C" w:rsidRPr="00951BE7" w:rsidRDefault="00C34040" w:rsidP="00784886">
      <w:pPr>
        <w:pStyle w:val="Bullet1"/>
      </w:pPr>
      <w:r>
        <w:t>O</w:t>
      </w:r>
      <w:r w:rsidR="008A1A3C" w:rsidRPr="00951BE7">
        <w:t>ther subjective observations (such as demeanour and mobility), if not already part of the chosen rating scale</w:t>
      </w:r>
    </w:p>
    <w:p w14:paraId="032D0137" w14:textId="77777777" w:rsidR="008A1A3C" w:rsidRPr="00951BE7" w:rsidRDefault="008A1A3C" w:rsidP="008A1A3C">
      <w:pPr>
        <w:pStyle w:val="NormalText"/>
      </w:pPr>
      <w:r w:rsidRPr="00431AA5">
        <w:t>In addition, the investigator should record and report any observed adverse reaction or other adverse events occurring during the trial. The methods by which any adverse events were investigated, and the results of those investigations, should be documented by the applicant.</w:t>
      </w:r>
    </w:p>
    <w:p w14:paraId="70946023" w14:textId="2320A60D" w:rsidR="008A1A3C" w:rsidRPr="00FF1913" w:rsidRDefault="0017696F" w:rsidP="0017696F">
      <w:pPr>
        <w:pStyle w:val="Heading3"/>
      </w:pPr>
      <w:bookmarkStart w:id="39" w:name="_Toc181283304"/>
      <w:bookmarkStart w:id="40" w:name="_Hlk172285533"/>
      <w:r>
        <w:t xml:space="preserve">5.5. </w:t>
      </w:r>
      <w:r w:rsidR="008A1A3C" w:rsidRPr="00FF1913">
        <w:t xml:space="preserve">Control </w:t>
      </w:r>
      <w:r w:rsidR="00DE2132">
        <w:t>g</w:t>
      </w:r>
      <w:r w:rsidR="008A1A3C" w:rsidRPr="00FF1913">
        <w:t>roups</w:t>
      </w:r>
      <w:bookmarkEnd w:id="39"/>
    </w:p>
    <w:bookmarkEnd w:id="40"/>
    <w:p w14:paraId="073911A9" w14:textId="345B4E4C" w:rsidR="008A1A3C" w:rsidRPr="00951BE7" w:rsidRDefault="008A1A3C" w:rsidP="008A1A3C">
      <w:pPr>
        <w:pStyle w:val="NormalText"/>
      </w:pPr>
      <w:r w:rsidRPr="00951BE7">
        <w:t xml:space="preserve">Negative controls </w:t>
      </w:r>
      <w:r w:rsidR="00431AA5">
        <w:t>–</w:t>
      </w:r>
      <w:r w:rsidR="00431AA5" w:rsidRPr="00951BE7">
        <w:t xml:space="preserve"> </w:t>
      </w:r>
      <w:r w:rsidRPr="00951BE7">
        <w:t xml:space="preserve">To confirm the efficacy and potency and hence support effectiveness of an NSAID, a negative control group should be used (untreated or placebo treated group of animals) in at least one trial. Use of an untreated or placebo control group is the only way to identify the proportion of animals that are poor or </w:t>
      </w:r>
      <w:r w:rsidR="00431AA5">
        <w:br/>
      </w:r>
      <w:r w:rsidRPr="00951BE7">
        <w:t xml:space="preserve">non-responders to treatment, or to detect the level of spontaneous recovery. Potential animal welfare concerns should be carefully </w:t>
      </w:r>
      <w:r w:rsidR="00AD7A5F">
        <w:t>considered</w:t>
      </w:r>
      <w:r w:rsidRPr="00951BE7">
        <w:t xml:space="preserve"> through the implementation of appropriate exit rules and rescue protocols.</w:t>
      </w:r>
    </w:p>
    <w:p w14:paraId="33673D03" w14:textId="66A4829B" w:rsidR="008A1A3C" w:rsidRPr="00951BE7" w:rsidRDefault="008A1A3C" w:rsidP="008A1A3C">
      <w:pPr>
        <w:pStyle w:val="NormalText"/>
      </w:pPr>
      <w:r w:rsidRPr="00951BE7">
        <w:t xml:space="preserve">Positive controls </w:t>
      </w:r>
      <w:r w:rsidR="00431AA5">
        <w:t xml:space="preserve">– </w:t>
      </w:r>
      <w:r w:rsidRPr="00951BE7">
        <w:t>A positive control group should include a substance from the same or a closely related NSAID-class, authorised for the same indication as the proposed veterinary medicine. Design and implementation of studies using a positive control group should be such that its internal validity is assured. A positive control group is not necessary where a negative control group is included in the trial.</w:t>
      </w:r>
    </w:p>
    <w:p w14:paraId="1A9C73E9" w14:textId="1E6CBAD0" w:rsidR="008A1A3C" w:rsidRPr="00951BE7" w:rsidRDefault="008A1A3C" w:rsidP="008A1A3C">
      <w:pPr>
        <w:pStyle w:val="NormalText"/>
      </w:pPr>
      <w:r w:rsidRPr="00951BE7">
        <w:t xml:space="preserve">When using a positive control group, justify the choice of the comparator, </w:t>
      </w:r>
      <w:r w:rsidR="00AD7A5F">
        <w:t>considering</w:t>
      </w:r>
      <w:r w:rsidRPr="00951BE7">
        <w:t xml:space="preserve"> the class and target receptor selectivity of the comparator, its approved indications and conditions for use, route of administration and recommended timing and duration of treatment. Time to onset of efficacy, duration of action and safety may also need to be considered, depending upon the study objectives. </w:t>
      </w:r>
      <w:r w:rsidRPr="00EC0EEA">
        <w:t>The use of a positive control in the design and implementation of clinical trials should be such that the internal validity of the study is assured.</w:t>
      </w:r>
      <w:r w:rsidRPr="00951BE7">
        <w:t xml:space="preserve"> Assay sensitivity should be able to detect clinically relevant treatment effects and should be such that a study has internal validity and is able to distinguish a clinically relevant treatment effect from a less effective or ineffective treatment (assay sensitivity). The positive comparator must be a </w:t>
      </w:r>
      <w:r w:rsidR="003E0246">
        <w:t xml:space="preserve">fully </w:t>
      </w:r>
      <w:r w:rsidRPr="00951BE7">
        <w:t>registered product in either Australia, Canada, Europe, New Zealand, UK or US</w:t>
      </w:r>
      <w:r w:rsidR="00530BC8">
        <w:t>.</w:t>
      </w:r>
    </w:p>
    <w:p w14:paraId="7F17609F" w14:textId="77777777" w:rsidR="008A1A3C" w:rsidRPr="00951BE7" w:rsidRDefault="008A1A3C" w:rsidP="008A1A3C">
      <w:pPr>
        <w:pStyle w:val="NormalText"/>
      </w:pPr>
      <w:r w:rsidRPr="00951BE7">
        <w:t>Choose a statistical analysis that is relevant for either positive or negative controls.</w:t>
      </w:r>
    </w:p>
    <w:p w14:paraId="3EE2AFB2" w14:textId="6135ED83" w:rsidR="008A1A3C" w:rsidRPr="00951BE7" w:rsidRDefault="008A1A3C" w:rsidP="008A1A3C">
      <w:pPr>
        <w:pStyle w:val="NormalText"/>
      </w:pPr>
      <w:r w:rsidRPr="006C6731">
        <w:t>When applying a non-inferiority trial design, the non-inferiority margin</w:t>
      </w:r>
      <w:r w:rsidR="00882840">
        <w:rPr>
          <w:rStyle w:val="FootnoteReference"/>
        </w:rPr>
        <w:footnoteReference w:id="4"/>
      </w:r>
      <w:r w:rsidRPr="006C6731">
        <w:t xml:space="preserve"> must be based on statistical reasoning and clinical judgement. It should be tailored specifically to the </w:t>
      </w:r>
      <w:proofErr w:type="gramStart"/>
      <w:r w:rsidRPr="006C6731">
        <w:t>particular clinical</w:t>
      </w:r>
      <w:proofErr w:type="gramEnd"/>
      <w:r w:rsidRPr="006C6731">
        <w:t xml:space="preserve"> context</w:t>
      </w:r>
      <w:r>
        <w:t xml:space="preserve">. </w:t>
      </w:r>
      <w:r w:rsidRPr="00951BE7">
        <w:t xml:space="preserve">An appropriate non-inferiority </w:t>
      </w:r>
      <w:r w:rsidRPr="00951BE7">
        <w:lastRenderedPageBreak/>
        <w:t>margin must provide assurance that the test drug has a clinically relevant effect greater than</w:t>
      </w:r>
      <w:r>
        <w:t xml:space="preserve"> that if a </w:t>
      </w:r>
      <w:r w:rsidRPr="00951BE7">
        <w:t>placebo</w:t>
      </w:r>
      <w:r>
        <w:t xml:space="preserve"> was used</w:t>
      </w:r>
      <w:r w:rsidRPr="00951BE7">
        <w:t xml:space="preserve">, and that any difference in efficacy between the </w:t>
      </w:r>
      <w:r w:rsidR="004C02B2">
        <w:t>2</w:t>
      </w:r>
      <w:r w:rsidRPr="00951BE7">
        <w:t xml:space="preserve"> products will not be a clinically relevant difference.</w:t>
      </w:r>
    </w:p>
    <w:p w14:paraId="197B03ED" w14:textId="77777777" w:rsidR="008A1A3C" w:rsidRPr="00951BE7" w:rsidRDefault="008A1A3C" w:rsidP="008A1A3C">
      <w:pPr>
        <w:pStyle w:val="NormalText"/>
      </w:pPr>
      <w:r w:rsidRPr="00951BE7">
        <w:t>Relative risks and odds ratios can also be used.</w:t>
      </w:r>
    </w:p>
    <w:p w14:paraId="1F5260C9" w14:textId="3CE3F49A" w:rsidR="008A1A3C" w:rsidRPr="00FF1913" w:rsidRDefault="0017696F" w:rsidP="0017696F">
      <w:pPr>
        <w:pStyle w:val="Heading3"/>
      </w:pPr>
      <w:bookmarkStart w:id="41" w:name="_Toc181283305"/>
      <w:r>
        <w:t xml:space="preserve">5.6. </w:t>
      </w:r>
      <w:r w:rsidR="008A1A3C" w:rsidRPr="00FF1913">
        <w:t>Experiment/</w:t>
      </w:r>
      <w:r w:rsidR="00DE2132">
        <w:t>s</w:t>
      </w:r>
      <w:r w:rsidR="008A1A3C" w:rsidRPr="00FF1913">
        <w:t xml:space="preserve">tudy </w:t>
      </w:r>
      <w:r w:rsidR="00DE2132">
        <w:t>d</w:t>
      </w:r>
      <w:r w:rsidR="008A1A3C" w:rsidRPr="00FF1913">
        <w:t>esign</w:t>
      </w:r>
      <w:bookmarkEnd w:id="41"/>
    </w:p>
    <w:p w14:paraId="3657AFA6" w14:textId="227F9529" w:rsidR="008A1A3C" w:rsidRPr="00951BE7" w:rsidRDefault="008A1A3C" w:rsidP="00530BC8">
      <w:pPr>
        <w:pStyle w:val="Bullet1"/>
      </w:pPr>
      <w:r w:rsidRPr="00951BE7">
        <w:t>Clinical trials should be conducted in accordance with the principles of GCP</w:t>
      </w:r>
    </w:p>
    <w:p w14:paraId="5CFA48B9" w14:textId="56845B60" w:rsidR="008A1A3C" w:rsidRPr="00951BE7" w:rsidRDefault="008A1A3C" w:rsidP="00530BC8">
      <w:pPr>
        <w:pStyle w:val="Bullet1"/>
      </w:pPr>
      <w:r w:rsidRPr="00951BE7">
        <w:t>The product formulation used in the clinical trials should be identical to that proposed for registration. Evidence demonstrating that product formulation used in the clinical trials is identical to that proposed for registration should be provided</w:t>
      </w:r>
      <w:r w:rsidR="00CC22A6">
        <w:t>. For example,</w:t>
      </w:r>
      <w:r w:rsidRPr="00951BE7">
        <w:t xml:space="preserve"> a Certificate of Analysis or batch release protocol for the batch/es used in the study. If a formulation other than the one applied for is used, the relative bioavailability should be demonstrated</w:t>
      </w:r>
    </w:p>
    <w:p w14:paraId="08C4BDBF" w14:textId="70E37C72" w:rsidR="008A1A3C" w:rsidRPr="00951BE7" w:rsidRDefault="008A1A3C" w:rsidP="00530BC8">
      <w:pPr>
        <w:pStyle w:val="Bullet1"/>
      </w:pPr>
      <w:r w:rsidRPr="00951BE7">
        <w:t>Indications related to clinical effects should be based on actual trial results in the target species. When designing new studies to support an indication for peri- or post-operative use, the procedure under investigation should be one that is practised and ethically acceptable in Australia</w:t>
      </w:r>
    </w:p>
    <w:p w14:paraId="7EB0085F" w14:textId="5D368E9A" w:rsidR="008A1A3C" w:rsidRPr="00951BE7" w:rsidRDefault="008A1A3C" w:rsidP="00530BC8">
      <w:pPr>
        <w:pStyle w:val="Bullet1"/>
      </w:pPr>
      <w:bookmarkStart w:id="42" w:name="_Hlk172718326"/>
      <w:r w:rsidRPr="00951BE7">
        <w:t>For a given indication, the study population should be representative of the target population, including breed and age</w:t>
      </w:r>
    </w:p>
    <w:bookmarkEnd w:id="42"/>
    <w:p w14:paraId="423E295C" w14:textId="4310BB1D" w:rsidR="008A1A3C" w:rsidRPr="00951BE7" w:rsidRDefault="008A1A3C" w:rsidP="00530BC8">
      <w:pPr>
        <w:pStyle w:val="Bullet1"/>
      </w:pPr>
      <w:r w:rsidRPr="00951BE7">
        <w:t>The studied primary outcome measures must be representative of the proposed label claims</w:t>
      </w:r>
      <w:r w:rsidR="00CC22A6">
        <w:t xml:space="preserve">. For </w:t>
      </w:r>
      <w:r w:rsidR="00950526">
        <w:t>example,</w:t>
      </w:r>
      <w:r w:rsidRPr="00951BE7">
        <w:t xml:space="preserve"> if the proposed label claim is for anti-inflammatory effects in musculoskeletal disorders in dogs, then a variety of musculoskeletal disorders must be studied in the clinical study</w:t>
      </w:r>
    </w:p>
    <w:p w14:paraId="65C58A35" w14:textId="2378D58A" w:rsidR="008A1A3C" w:rsidRPr="00951BE7" w:rsidRDefault="008A1A3C" w:rsidP="00530BC8">
      <w:pPr>
        <w:pStyle w:val="Bullet1"/>
      </w:pPr>
      <w:r w:rsidRPr="00951BE7">
        <w:t>Justify and fully describe the study design employed and the method(s) of measuring the anti-inflammatory, analgesic and/or antipyretic effect(s). Primary outcome measures should involve direct measurements of the clinical effect. When measurements of surrogate markers are made (</w:t>
      </w:r>
      <w:r w:rsidR="00B00253">
        <w:t xml:space="preserve">Example: </w:t>
      </w:r>
      <w:r w:rsidRPr="00951BE7">
        <w:t>swelling or redness as surrogate markers of inflammation; improved gait as a surrogate marker of analgesia or reduction of inflammation), the correlation between parameters measured and the proposed label claims for the product should be clearly explained in terms of clinical relevance</w:t>
      </w:r>
    </w:p>
    <w:p w14:paraId="665400A6" w14:textId="5BEAF364" w:rsidR="008A1A3C" w:rsidRPr="00951BE7" w:rsidRDefault="008A1A3C" w:rsidP="00530BC8">
      <w:pPr>
        <w:pStyle w:val="Bullet1"/>
      </w:pPr>
      <w:r w:rsidRPr="00951BE7">
        <w:t xml:space="preserve">Provide a definition for </w:t>
      </w:r>
      <w:r w:rsidR="00CC22A6">
        <w:t>‘</w:t>
      </w:r>
      <w:r w:rsidRPr="00951BE7">
        <w:t>responders</w:t>
      </w:r>
      <w:r w:rsidR="00CC22A6">
        <w:t>’</w:t>
      </w:r>
      <w:r w:rsidRPr="00951BE7">
        <w:t xml:space="preserve"> (that has been defined and verified pre-study) in the study protocol to ensure the clinical relevance of the treatment results. Where the percentage of responders/non-responders is not the primary outcome measure analysis</w:t>
      </w:r>
      <w:r w:rsidR="00B00253">
        <w:t>,</w:t>
      </w:r>
      <w:r w:rsidRPr="00951BE7">
        <w:t xml:space="preserve"> this should be presented in addition to the primary outcome measure analysis</w:t>
      </w:r>
    </w:p>
    <w:p w14:paraId="3FA9C1A3" w14:textId="38E88270" w:rsidR="008A1A3C" w:rsidRPr="00951BE7" w:rsidRDefault="008A1A3C" w:rsidP="00530BC8">
      <w:pPr>
        <w:pStyle w:val="Bullet1"/>
      </w:pPr>
      <w:r w:rsidRPr="00951BE7">
        <w:t>Disease diagnosis</w:t>
      </w:r>
      <w:r w:rsidR="00CC22A6">
        <w:t xml:space="preserve"> –</w:t>
      </w:r>
      <w:r w:rsidRPr="00951BE7">
        <w:t xml:space="preserve"> Use and describe sufficiently sensitive examination and evaluation methods to reliably identify the disease condition of the animal if the NSAID is used for treatment of existing clinical signs</w:t>
      </w:r>
    </w:p>
    <w:p w14:paraId="6E76622E" w14:textId="5987F01D" w:rsidR="008A1A3C" w:rsidRPr="00951BE7" w:rsidRDefault="008A1A3C" w:rsidP="00530BC8">
      <w:pPr>
        <w:pStyle w:val="Bullet1"/>
      </w:pPr>
      <w:r w:rsidRPr="00951BE7">
        <w:t>Disease staging</w:t>
      </w:r>
      <w:r w:rsidR="00CC22A6">
        <w:t xml:space="preserve"> –</w:t>
      </w:r>
      <w:r w:rsidRPr="00951BE7">
        <w:t xml:space="preserve"> Fully describe a rating system if used for diagnosis and describe the involvement of veterinarians in diagnosis and initial rating severity. The inclusion criteria should be clear and ensure that a well-defined study population is formed for which disease severity is sufficient to allow the determination of a treatment effect</w:t>
      </w:r>
    </w:p>
    <w:p w14:paraId="4EA161FE" w14:textId="10A75653" w:rsidR="008A1A3C" w:rsidRPr="00951BE7" w:rsidRDefault="008A1A3C" w:rsidP="00530BC8">
      <w:pPr>
        <w:pStyle w:val="Bullet1"/>
      </w:pPr>
      <w:r w:rsidRPr="00951BE7">
        <w:t xml:space="preserve">Other medications </w:t>
      </w:r>
      <w:r w:rsidR="00CC22A6">
        <w:t>–</w:t>
      </w:r>
      <w:r w:rsidR="00CC22A6" w:rsidRPr="00951BE7">
        <w:t xml:space="preserve"> </w:t>
      </w:r>
      <w:r w:rsidRPr="00951BE7">
        <w:t xml:space="preserve">For proposed indications that necessitate the use of a NSAID in conjunction with other medications, design the study to demonstrate the level of therapeutic benefit of the co-medication when used alone compared with administration together with the IVMP. For example, to assess the efficacy of a NSAID used in conjunction with an antimicrobial for the treatment of pneumonia, clinical trials should be performed </w:t>
      </w:r>
      <w:r w:rsidRPr="00951BE7">
        <w:lastRenderedPageBreak/>
        <w:t>according to the following design where animal welfare considerations permit: reference group [antimicrobial plus placebo] versus test group [antimicrobial plus IVMP]</w:t>
      </w:r>
    </w:p>
    <w:p w14:paraId="20391AAD" w14:textId="69DF7408" w:rsidR="008A1A3C" w:rsidRPr="00951BE7" w:rsidRDefault="008A1A3C" w:rsidP="00530BC8">
      <w:pPr>
        <w:pStyle w:val="Bullet1"/>
      </w:pPr>
      <w:r w:rsidRPr="00951BE7">
        <w:t>Exclude animals that have had recent medication that may interfere with study results (</w:t>
      </w:r>
      <w:r w:rsidR="00B00253">
        <w:t>Example:</w:t>
      </w:r>
      <w:r w:rsidRPr="00951BE7">
        <w:t xml:space="preserve"> other NSAIDs, corticosteroids). In addition, exclude animals suffering from medical conditions for which the use of a given NSAID would be contraindicated (for example, renal or hepatic impairment)</w:t>
      </w:r>
    </w:p>
    <w:p w14:paraId="49C12AAD" w14:textId="63FEFC91" w:rsidR="008A1A3C" w:rsidRPr="00971A09" w:rsidRDefault="008A1A3C" w:rsidP="00530BC8">
      <w:pPr>
        <w:pStyle w:val="Bullet1"/>
      </w:pPr>
      <w:r w:rsidRPr="00971A09">
        <w:t xml:space="preserve">Cyclo-oxygenase-inhibiting NSAIDs generally elicit toxicities that may not be found during laboratory Target Animal Safety studies, which are typically conducted in a limited number of healthy animals. Design clinical studies to ensure </w:t>
      </w:r>
      <w:r>
        <w:t>the</w:t>
      </w:r>
      <w:r w:rsidRPr="00971A09">
        <w:t xml:space="preserve"> detection and documentation of adverse events</w:t>
      </w:r>
    </w:p>
    <w:p w14:paraId="128F01CC" w14:textId="256F71D2" w:rsidR="008A1A3C" w:rsidRDefault="008A1A3C" w:rsidP="00530BC8">
      <w:pPr>
        <w:pStyle w:val="Bullet1"/>
      </w:pPr>
      <w:r w:rsidRPr="00951BE7">
        <w:t>For peri-operative use, follow renal parameters for at least 21</w:t>
      </w:r>
      <w:r w:rsidR="00550D27">
        <w:t xml:space="preserve"> </w:t>
      </w:r>
      <w:r w:rsidRPr="00951BE7">
        <w:t>d</w:t>
      </w:r>
      <w:r w:rsidR="00550D27">
        <w:t>ays</w:t>
      </w:r>
      <w:r w:rsidRPr="00951BE7">
        <w:t xml:space="preserve"> after the procedure</w:t>
      </w:r>
    </w:p>
    <w:p w14:paraId="53E36097" w14:textId="2513D066" w:rsidR="009B4CE7" w:rsidRDefault="008A1A3C" w:rsidP="00530BC8">
      <w:pPr>
        <w:pStyle w:val="Bullet1"/>
        <w:sectPr w:rsidR="009B4CE7">
          <w:pgSz w:w="11906" w:h="16838" w:code="9"/>
          <w:pgMar w:top="2835" w:right="1134" w:bottom="1134" w:left="1134" w:header="1701" w:footer="680" w:gutter="0"/>
          <w:cols w:space="708"/>
          <w:docGrid w:linePitch="360"/>
        </w:sectPr>
      </w:pPr>
      <w:r w:rsidRPr="00951BE7">
        <w:t>Ensure the statistical analysis is adequately sensitive to detect relevant differences, including subclinical differences</w:t>
      </w:r>
    </w:p>
    <w:p w14:paraId="1AB7DC7C" w14:textId="7C53E3AE" w:rsidR="00530BC8" w:rsidRPr="00FF1913" w:rsidRDefault="0017696F" w:rsidP="0017696F">
      <w:pPr>
        <w:pStyle w:val="Heading2"/>
      </w:pPr>
      <w:bookmarkStart w:id="43" w:name="_Toc181283306"/>
      <w:r>
        <w:lastRenderedPageBreak/>
        <w:t xml:space="preserve">6. </w:t>
      </w:r>
      <w:r w:rsidR="00530BC8" w:rsidRPr="00FF1913">
        <w:t xml:space="preserve">Label </w:t>
      </w:r>
      <w:r w:rsidR="001C7A99" w:rsidRPr="0017696F">
        <w:t>c</w:t>
      </w:r>
      <w:r w:rsidR="00530BC8" w:rsidRPr="0017696F">
        <w:t>laims</w:t>
      </w:r>
      <w:bookmarkEnd w:id="43"/>
    </w:p>
    <w:p w14:paraId="1A924F0D" w14:textId="77777777" w:rsidR="00530BC8" w:rsidRPr="00951BE7" w:rsidRDefault="00530BC8" w:rsidP="00530BC8">
      <w:pPr>
        <w:pStyle w:val="NormalText"/>
      </w:pPr>
      <w:bookmarkStart w:id="44" w:name="_Hlk172288628"/>
      <w:r w:rsidRPr="00951BE7">
        <w:t xml:space="preserve">Wording of the claims </w:t>
      </w:r>
      <w:bookmarkEnd w:id="44"/>
      <w:r w:rsidRPr="00951BE7">
        <w:t xml:space="preserve">must clearly communicate to the end user </w:t>
      </w:r>
      <w:bookmarkStart w:id="45" w:name="_Hlk172288781"/>
      <w:r w:rsidRPr="00951BE7">
        <w:t xml:space="preserve">the expected level of efficacy </w:t>
      </w:r>
      <w:bookmarkEnd w:id="45"/>
      <w:r w:rsidRPr="00951BE7">
        <w:t>of the product based on the scientific evidence provided.</w:t>
      </w:r>
    </w:p>
    <w:p w14:paraId="79EF5C91" w14:textId="13B08915" w:rsidR="00530BC8" w:rsidRPr="00951BE7" w:rsidRDefault="00530BC8" w:rsidP="00530BC8">
      <w:pPr>
        <w:pStyle w:val="NormalText"/>
      </w:pPr>
      <w:r w:rsidRPr="00951BE7">
        <w:t xml:space="preserve">In general, inflammation, pain, and pyrexia are </w:t>
      </w:r>
      <w:r w:rsidR="004A2E45">
        <w:t>3</w:t>
      </w:r>
      <w:r w:rsidR="004A2E45" w:rsidRPr="00951BE7">
        <w:t xml:space="preserve"> </w:t>
      </w:r>
      <w:r w:rsidRPr="00951BE7">
        <w:t>common pathophysiologic processes associated with tissue injury and animal illness that may be controlled by NSAIDs. Generally, NSAIDs ameliorate pathophysiologic responses, but do not cure the underlying disease. Therefore, we recommend that NSAIDs be labelled for control of inflammation, pain and/or pyrexia in disease, and not treatment of the disease.</w:t>
      </w:r>
    </w:p>
    <w:p w14:paraId="29E7B09E" w14:textId="2E65EF62" w:rsidR="00023042" w:rsidRDefault="00530BC8" w:rsidP="00530BC8">
      <w:pPr>
        <w:pStyle w:val="NormalText"/>
      </w:pPr>
      <w:r w:rsidRPr="00951BE7">
        <w:t>Claims for alleviation (partial control/prevention) should include a percentage reduction in the incidence of the disease, the reduction in pain, inflammation and/or pyrexia of the specific disease or condition</w:t>
      </w:r>
      <w:r>
        <w:t>.</w:t>
      </w:r>
    </w:p>
    <w:p w14:paraId="58A6E5B5" w14:textId="5344E272" w:rsidR="00883775" w:rsidRPr="0062653F" w:rsidRDefault="00883775" w:rsidP="00883775">
      <w:pPr>
        <w:pStyle w:val="Caption"/>
      </w:pPr>
      <w:bookmarkStart w:id="46" w:name="_Toc89173139"/>
      <w:bookmarkStart w:id="47" w:name="_Toc89174619"/>
      <w:bookmarkStart w:id="48" w:name="_Toc181283310"/>
      <w:r w:rsidRPr="0062653F">
        <w:t xml:space="preserve">Table </w:t>
      </w:r>
      <w:r>
        <w:fldChar w:fldCharType="begin"/>
      </w:r>
      <w:r>
        <w:instrText xml:space="preserve"> SEQ Table \* ARABIC </w:instrText>
      </w:r>
      <w:r>
        <w:fldChar w:fldCharType="separate"/>
      </w:r>
      <w:r w:rsidRPr="0062653F">
        <w:t>2</w:t>
      </w:r>
      <w:r>
        <w:fldChar w:fldCharType="end"/>
      </w:r>
      <w:r w:rsidRPr="0062653F">
        <w:t>:</w:t>
      </w:r>
      <w:r w:rsidRPr="0062653F">
        <w:tab/>
      </w:r>
      <w:r>
        <w:t>Appropriate label claims with corresponding demonstrated efficacy requirement</w:t>
      </w:r>
      <w:bookmarkEnd w:id="46"/>
      <w:bookmarkEnd w:id="47"/>
      <w:bookmarkEnd w:id="48"/>
    </w:p>
    <w:tbl>
      <w:tblPr>
        <w:tblW w:w="5000" w:type="pct"/>
        <w:tblBorders>
          <w:bottom w:val="dotted" w:sz="2" w:space="0" w:color="auto"/>
          <w:insideH w:val="dotted" w:sz="2" w:space="0" w:color="auto"/>
        </w:tblBorders>
        <w:tblLook w:val="01E0" w:firstRow="1" w:lastRow="1" w:firstColumn="1" w:lastColumn="1" w:noHBand="0" w:noVBand="0"/>
      </w:tblPr>
      <w:tblGrid>
        <w:gridCol w:w="3071"/>
        <w:gridCol w:w="6567"/>
      </w:tblGrid>
      <w:tr w:rsidR="00923FC6" w14:paraId="5ACA5C86" w14:textId="77777777" w:rsidTr="00923FC6">
        <w:trPr>
          <w:cantSplit/>
          <w:tblHeader/>
        </w:trPr>
        <w:tc>
          <w:tcPr>
            <w:tcW w:w="1593" w:type="pct"/>
            <w:tcBorders>
              <w:top w:val="single" w:sz="4" w:space="0" w:color="auto"/>
              <w:bottom w:val="single" w:sz="4" w:space="0" w:color="auto"/>
            </w:tcBorders>
            <w:shd w:val="clear" w:color="auto" w:fill="5C2946"/>
          </w:tcPr>
          <w:p w14:paraId="283A1B88" w14:textId="7578D72C" w:rsidR="00923FC6" w:rsidRPr="00C501FF" w:rsidRDefault="00923FC6" w:rsidP="000276FD">
            <w:pPr>
              <w:pStyle w:val="TableHead"/>
            </w:pPr>
            <w:r>
              <w:t>Claim</w:t>
            </w:r>
          </w:p>
        </w:tc>
        <w:tc>
          <w:tcPr>
            <w:tcW w:w="3407" w:type="pct"/>
            <w:tcBorders>
              <w:top w:val="single" w:sz="4" w:space="0" w:color="auto"/>
              <w:bottom w:val="single" w:sz="4" w:space="0" w:color="auto"/>
            </w:tcBorders>
            <w:shd w:val="clear" w:color="auto" w:fill="5C2946"/>
          </w:tcPr>
          <w:p w14:paraId="583F03F3" w14:textId="7CB56B45" w:rsidR="00923FC6" w:rsidRPr="00FE0E75" w:rsidRDefault="00923FC6" w:rsidP="00FE0E75">
            <w:pPr>
              <w:pStyle w:val="TableHead"/>
            </w:pPr>
            <w:r w:rsidRPr="00FE0E75">
              <w:t>Demonstrated efficacy: lessening of pain, improvements in inflammation clinical signs (redness, swelling), reduction in fever</w:t>
            </w:r>
          </w:p>
        </w:tc>
      </w:tr>
      <w:tr w:rsidR="00923FC6" w14:paraId="263A2B6D" w14:textId="77777777" w:rsidTr="00923FC6">
        <w:trPr>
          <w:cantSplit/>
        </w:trPr>
        <w:tc>
          <w:tcPr>
            <w:tcW w:w="1593" w:type="pct"/>
            <w:tcBorders>
              <w:top w:val="single" w:sz="4" w:space="0" w:color="auto"/>
              <w:bottom w:val="single" w:sz="4" w:space="0" w:color="auto"/>
            </w:tcBorders>
          </w:tcPr>
          <w:p w14:paraId="204C55CD" w14:textId="63DE806A" w:rsidR="00923FC6" w:rsidRPr="00FE0E75" w:rsidRDefault="00923FC6" w:rsidP="00FE0E75">
            <w:pPr>
              <w:pStyle w:val="TableText"/>
            </w:pPr>
            <w:r w:rsidRPr="00FE0E75">
              <w:t>Controls</w:t>
            </w:r>
          </w:p>
        </w:tc>
        <w:tc>
          <w:tcPr>
            <w:tcW w:w="3407" w:type="pct"/>
            <w:tcBorders>
              <w:top w:val="single" w:sz="4" w:space="0" w:color="auto"/>
              <w:bottom w:val="single" w:sz="4" w:space="0" w:color="auto"/>
            </w:tcBorders>
          </w:tcPr>
          <w:p w14:paraId="2B845A23" w14:textId="09AD08AB" w:rsidR="00923FC6" w:rsidRPr="00FE0E75" w:rsidRDefault="00923FC6" w:rsidP="00FE0E75">
            <w:pPr>
              <w:pStyle w:val="TableText"/>
            </w:pPr>
            <w:r w:rsidRPr="00FE0E75">
              <w:t>≥ 80% of animals in a clinical trial demonstrate at least an 80% reduction in clinical signs associated with pain, inflammation, and/or fever. This is in addition to statistically and clinically significant comparisons with negative and/or positive controls.</w:t>
            </w:r>
          </w:p>
        </w:tc>
      </w:tr>
      <w:tr w:rsidR="00923FC6" w14:paraId="698924F4" w14:textId="77777777" w:rsidTr="00923FC6">
        <w:trPr>
          <w:cantSplit/>
        </w:trPr>
        <w:tc>
          <w:tcPr>
            <w:tcW w:w="1593" w:type="pct"/>
            <w:tcBorders>
              <w:top w:val="single" w:sz="4" w:space="0" w:color="auto"/>
              <w:bottom w:val="single" w:sz="4" w:space="0" w:color="auto"/>
            </w:tcBorders>
          </w:tcPr>
          <w:p w14:paraId="0923F0C0" w14:textId="71513445" w:rsidR="00923FC6" w:rsidRPr="00FE0E75" w:rsidRDefault="00923FC6" w:rsidP="00FE0E75">
            <w:pPr>
              <w:pStyle w:val="TableText"/>
            </w:pPr>
            <w:r w:rsidRPr="00FE0E75">
              <w:t>Prevents (for pre-operative and peri-operative analgesia)</w:t>
            </w:r>
          </w:p>
        </w:tc>
        <w:tc>
          <w:tcPr>
            <w:tcW w:w="3407" w:type="pct"/>
            <w:tcBorders>
              <w:top w:val="single" w:sz="4" w:space="0" w:color="auto"/>
              <w:bottom w:val="single" w:sz="4" w:space="0" w:color="auto"/>
            </w:tcBorders>
          </w:tcPr>
          <w:p w14:paraId="42D7BD62" w14:textId="520C71B3" w:rsidR="00923FC6" w:rsidRPr="00FE0E75" w:rsidRDefault="00923FC6" w:rsidP="00FE0E75">
            <w:pPr>
              <w:pStyle w:val="TableText"/>
            </w:pPr>
            <w:r w:rsidRPr="00FE0E75">
              <w:t>≥ 80% of animals in a clinical trial demonstrate at least an 80% reduction in clinical signs associated with pain and inflammation. This is in addition to statistically and clinically significant comparisons with negative and/or positive controls.</w:t>
            </w:r>
          </w:p>
        </w:tc>
      </w:tr>
      <w:tr w:rsidR="00923FC6" w14:paraId="10A13674" w14:textId="77777777" w:rsidTr="00923FC6">
        <w:trPr>
          <w:cantSplit/>
        </w:trPr>
        <w:tc>
          <w:tcPr>
            <w:tcW w:w="1593" w:type="pct"/>
            <w:tcBorders>
              <w:top w:val="single" w:sz="4" w:space="0" w:color="auto"/>
              <w:bottom w:val="single" w:sz="4" w:space="0" w:color="auto"/>
            </w:tcBorders>
          </w:tcPr>
          <w:p w14:paraId="001A83AC" w14:textId="177E910C" w:rsidR="00923FC6" w:rsidRPr="00FE0E75" w:rsidRDefault="00923FC6" w:rsidP="00FE0E75">
            <w:pPr>
              <w:pStyle w:val="TableText"/>
            </w:pPr>
            <w:r w:rsidRPr="00FE0E75">
              <w:t>Alleviates or reduces (partial control/prevention)</w:t>
            </w:r>
          </w:p>
        </w:tc>
        <w:tc>
          <w:tcPr>
            <w:tcW w:w="3407" w:type="pct"/>
            <w:tcBorders>
              <w:top w:val="single" w:sz="4" w:space="0" w:color="auto"/>
              <w:bottom w:val="single" w:sz="4" w:space="0" w:color="auto"/>
            </w:tcBorders>
          </w:tcPr>
          <w:p w14:paraId="143A0367" w14:textId="1CE79511" w:rsidR="00923FC6" w:rsidRPr="00FE0E75" w:rsidRDefault="00923FC6" w:rsidP="00FE0E75">
            <w:pPr>
              <w:pStyle w:val="TableText"/>
            </w:pPr>
            <w:r w:rsidRPr="00FE0E75">
              <w:t>Between 60 and 80% of animals in a clinical trial demonstrate at least a 60% reduction in clinical signs associated with pain, inflammation and/or fever. This is in addition to statistically and clinically significant comparisons with negative and/or positive controls.</w:t>
            </w:r>
          </w:p>
        </w:tc>
      </w:tr>
      <w:tr w:rsidR="00923FC6" w14:paraId="18039FCE" w14:textId="77777777" w:rsidTr="00923FC6">
        <w:trPr>
          <w:cantSplit/>
        </w:trPr>
        <w:tc>
          <w:tcPr>
            <w:tcW w:w="1593" w:type="pct"/>
            <w:tcBorders>
              <w:top w:val="single" w:sz="4" w:space="0" w:color="auto"/>
              <w:bottom w:val="single" w:sz="4" w:space="0" w:color="auto"/>
            </w:tcBorders>
          </w:tcPr>
          <w:p w14:paraId="5E7BF616" w14:textId="669F5A91" w:rsidR="00923FC6" w:rsidRPr="00FE0E75" w:rsidRDefault="00923FC6" w:rsidP="00FE0E75">
            <w:pPr>
              <w:pStyle w:val="TableText"/>
            </w:pPr>
            <w:r w:rsidRPr="00FE0E75">
              <w:t>May aid in the control / prevention / reduction</w:t>
            </w:r>
          </w:p>
        </w:tc>
        <w:tc>
          <w:tcPr>
            <w:tcW w:w="3407" w:type="pct"/>
            <w:tcBorders>
              <w:top w:val="single" w:sz="4" w:space="0" w:color="auto"/>
              <w:bottom w:val="single" w:sz="4" w:space="0" w:color="auto"/>
            </w:tcBorders>
          </w:tcPr>
          <w:p w14:paraId="549CA21A" w14:textId="642DAA1B" w:rsidR="00923FC6" w:rsidRPr="00FE0E75" w:rsidRDefault="00923FC6" w:rsidP="00FE0E75">
            <w:pPr>
              <w:pStyle w:val="TableText"/>
            </w:pPr>
            <w:r w:rsidRPr="00FE0E75">
              <w:t>Where specific clinical trials were not performed but adequate evidence</w:t>
            </w:r>
            <w:r w:rsidRPr="00392C18">
              <w:rPr>
                <w:rStyle w:val="FootnoteReference"/>
              </w:rPr>
              <w:footnoteReference w:id="5"/>
            </w:r>
            <w:r w:rsidRPr="00FE0E75">
              <w:t xml:space="preserve"> is provided of a likely reduction in pain, inflammation or fever.</w:t>
            </w:r>
          </w:p>
        </w:tc>
      </w:tr>
      <w:tr w:rsidR="00923FC6" w14:paraId="4235C300" w14:textId="77777777" w:rsidTr="00923FC6">
        <w:trPr>
          <w:cantSplit/>
        </w:trPr>
        <w:tc>
          <w:tcPr>
            <w:tcW w:w="5000" w:type="pct"/>
            <w:gridSpan w:val="2"/>
            <w:tcBorders>
              <w:top w:val="single" w:sz="4" w:space="0" w:color="auto"/>
              <w:bottom w:val="nil"/>
            </w:tcBorders>
          </w:tcPr>
          <w:p w14:paraId="3ED05CCE" w14:textId="690B2617" w:rsidR="00923FC6" w:rsidRDefault="00392C18" w:rsidP="00923FC6">
            <w:pPr>
              <w:pStyle w:val="SourceTableNote"/>
            </w:pPr>
            <w:r>
              <w:rPr>
                <w:vertAlign w:val="superscript"/>
              </w:rPr>
              <w:t>4</w:t>
            </w:r>
            <w:r w:rsidR="00923FC6" w:rsidRPr="00301433">
              <w:t>Adequate evidence would include use of an APVMA-approved active constituent that is not Schedule 4 and may include documented traditional use for the purpose claimed supported by reputable published scientific data. Testimonials are not considered reputable, published scientific data.</w:t>
            </w:r>
          </w:p>
        </w:tc>
      </w:tr>
    </w:tbl>
    <w:p w14:paraId="6D0C949E" w14:textId="4329DE7B" w:rsidR="00923FC6" w:rsidRPr="00951BE7" w:rsidRDefault="00923FC6" w:rsidP="00772B62">
      <w:pPr>
        <w:pStyle w:val="NormalText"/>
      </w:pPr>
      <w:r w:rsidRPr="00951BE7">
        <w:t>We recommend that labelling include the time to onset of drug effect, if appropriate, so that interim care can be initiated if onset of effect is delayed.</w:t>
      </w:r>
    </w:p>
    <w:p w14:paraId="111FE372" w14:textId="77777777" w:rsidR="00BB0BBC" w:rsidRDefault="00923FC6" w:rsidP="00772B62">
      <w:pPr>
        <w:pStyle w:val="NormalText"/>
        <w:sectPr w:rsidR="00BB0BBC">
          <w:pgSz w:w="11906" w:h="16838" w:code="9"/>
          <w:pgMar w:top="2835" w:right="1134" w:bottom="1134" w:left="1134" w:header="1701" w:footer="680" w:gutter="0"/>
          <w:cols w:space="708"/>
          <w:docGrid w:linePitch="360"/>
        </w:sectPr>
      </w:pPr>
      <w:r w:rsidRPr="00951BE7">
        <w:t>You should not make any representation regarding the safety and/or effectiveness of long-term use of the product in labelling, unless you have conducted long-term safety and/or effectiveness studies during the registration process.</w:t>
      </w:r>
    </w:p>
    <w:p w14:paraId="1F1CF332" w14:textId="7AAEC5EC" w:rsidR="00F525D0" w:rsidRDefault="00F525D0" w:rsidP="00F525D0">
      <w:pPr>
        <w:pStyle w:val="GlossaryRefH1"/>
      </w:pPr>
      <w:bookmarkStart w:id="49" w:name="_Toc174633570"/>
      <w:bookmarkStart w:id="50" w:name="_Toc181283307"/>
      <w:bookmarkStart w:id="51" w:name="_Toc231963196"/>
      <w:bookmarkStart w:id="52" w:name="_Toc414373850"/>
      <w:bookmarkStart w:id="53" w:name="_Toc135232605"/>
      <w:r>
        <w:lastRenderedPageBreak/>
        <w:t>Acronyms and abbreviations</w:t>
      </w:r>
      <w:bookmarkEnd w:id="49"/>
      <w:bookmarkEnd w:id="50"/>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2142"/>
        <w:gridCol w:w="7496"/>
      </w:tblGrid>
      <w:tr w:rsidR="00F525D0" w14:paraId="0D77240F" w14:textId="77777777" w:rsidTr="00250591">
        <w:trPr>
          <w:tblHeader/>
        </w:trPr>
        <w:tc>
          <w:tcPr>
            <w:tcW w:w="1111" w:type="pct"/>
            <w:shd w:val="clear" w:color="auto" w:fill="5C2946"/>
          </w:tcPr>
          <w:p w14:paraId="34AA8A2D" w14:textId="77777777" w:rsidR="00F525D0" w:rsidRPr="00572D44" w:rsidRDefault="00F525D0" w:rsidP="00250591">
            <w:pPr>
              <w:pStyle w:val="TableHead"/>
            </w:pPr>
            <w:r w:rsidRPr="00572D44">
              <w:t>Shortened term</w:t>
            </w:r>
          </w:p>
        </w:tc>
        <w:tc>
          <w:tcPr>
            <w:tcW w:w="3889" w:type="pct"/>
            <w:shd w:val="clear" w:color="auto" w:fill="5C2946"/>
          </w:tcPr>
          <w:p w14:paraId="0D839EFE" w14:textId="77777777" w:rsidR="00F525D0" w:rsidRPr="00572D44" w:rsidRDefault="00F525D0" w:rsidP="00250591">
            <w:pPr>
              <w:pStyle w:val="TableHead"/>
            </w:pPr>
            <w:r w:rsidRPr="00572D44">
              <w:t>Full term</w:t>
            </w:r>
          </w:p>
        </w:tc>
      </w:tr>
      <w:tr w:rsidR="00E2774A" w14:paraId="6773E39E" w14:textId="77777777" w:rsidTr="00250591">
        <w:tc>
          <w:tcPr>
            <w:tcW w:w="1111" w:type="pct"/>
          </w:tcPr>
          <w:p w14:paraId="74130B1D" w14:textId="6E62C584" w:rsidR="00E2774A" w:rsidRPr="00E2774A" w:rsidRDefault="00FE0E75" w:rsidP="00E2774A">
            <w:pPr>
              <w:pStyle w:val="TableText"/>
            </w:pPr>
            <w:r>
              <w:t>COX</w:t>
            </w:r>
          </w:p>
        </w:tc>
        <w:tc>
          <w:tcPr>
            <w:tcW w:w="3889" w:type="pct"/>
          </w:tcPr>
          <w:p w14:paraId="199E42C3" w14:textId="5C3057CE" w:rsidR="00E2774A" w:rsidRPr="00E2774A" w:rsidRDefault="00FE0E75" w:rsidP="00E2774A">
            <w:pPr>
              <w:pStyle w:val="TableText"/>
            </w:pPr>
            <w:r>
              <w:t>C</w:t>
            </w:r>
            <w:r w:rsidRPr="00FE0E75">
              <w:t>yclooxygenase </w:t>
            </w:r>
          </w:p>
        </w:tc>
      </w:tr>
      <w:tr w:rsidR="00E2774A" w14:paraId="2A17A0A3" w14:textId="77777777" w:rsidTr="00250591">
        <w:tc>
          <w:tcPr>
            <w:tcW w:w="1111" w:type="pct"/>
          </w:tcPr>
          <w:p w14:paraId="22C8211D" w14:textId="55CEE8AB" w:rsidR="00E2774A" w:rsidRPr="00E2774A" w:rsidRDefault="00FE0E75" w:rsidP="00E2774A">
            <w:pPr>
              <w:pStyle w:val="TableText"/>
            </w:pPr>
            <w:r w:rsidRPr="00FE0E75">
              <w:t>GCP</w:t>
            </w:r>
          </w:p>
        </w:tc>
        <w:tc>
          <w:tcPr>
            <w:tcW w:w="3889" w:type="pct"/>
          </w:tcPr>
          <w:p w14:paraId="72AB20D6" w14:textId="530FEF0F" w:rsidR="00E2774A" w:rsidRPr="00E2774A" w:rsidRDefault="00FE0E75" w:rsidP="00E2774A">
            <w:pPr>
              <w:pStyle w:val="TableText"/>
            </w:pPr>
            <w:r w:rsidRPr="00FE0E75">
              <w:t>Good Clinical Practice</w:t>
            </w:r>
          </w:p>
        </w:tc>
      </w:tr>
      <w:tr w:rsidR="00E2774A" w14:paraId="4C2F0AA8" w14:textId="77777777" w:rsidTr="00250591">
        <w:tc>
          <w:tcPr>
            <w:tcW w:w="1111" w:type="pct"/>
          </w:tcPr>
          <w:p w14:paraId="3442667D" w14:textId="40C76599" w:rsidR="00E2774A" w:rsidRPr="00E2774A" w:rsidRDefault="00FE0E75" w:rsidP="00E2774A">
            <w:pPr>
              <w:pStyle w:val="TableText"/>
            </w:pPr>
            <w:r w:rsidRPr="00FE0E75">
              <w:t>GLP</w:t>
            </w:r>
          </w:p>
        </w:tc>
        <w:tc>
          <w:tcPr>
            <w:tcW w:w="3889" w:type="pct"/>
          </w:tcPr>
          <w:p w14:paraId="72629D07" w14:textId="7405D4F1" w:rsidR="00E2774A" w:rsidRPr="00E2774A" w:rsidRDefault="00FE0E75" w:rsidP="00E2774A">
            <w:pPr>
              <w:pStyle w:val="TableText"/>
            </w:pPr>
            <w:r w:rsidRPr="00FE0E75">
              <w:t>Good Laboratory Practice</w:t>
            </w:r>
          </w:p>
        </w:tc>
      </w:tr>
      <w:tr w:rsidR="003C5B44" w14:paraId="74B32F88" w14:textId="77777777" w:rsidTr="00250591">
        <w:tc>
          <w:tcPr>
            <w:tcW w:w="1111" w:type="pct"/>
          </w:tcPr>
          <w:p w14:paraId="27832D35" w14:textId="29622CEE" w:rsidR="003C5B44" w:rsidRPr="00FE0E75" w:rsidRDefault="003C5B44" w:rsidP="00E2774A">
            <w:pPr>
              <w:pStyle w:val="TableText"/>
            </w:pPr>
            <w:r>
              <w:t>IC</w:t>
            </w:r>
          </w:p>
        </w:tc>
        <w:tc>
          <w:tcPr>
            <w:tcW w:w="3889" w:type="pct"/>
          </w:tcPr>
          <w:p w14:paraId="6E6A079E" w14:textId="1858DED9" w:rsidR="003C5B44" w:rsidRPr="00FE0E75" w:rsidRDefault="003C5B44" w:rsidP="00E2774A">
            <w:pPr>
              <w:pStyle w:val="TableText"/>
            </w:pPr>
            <w:r w:rsidRPr="003C5B44">
              <w:t>Inhibitory Concentration</w:t>
            </w:r>
          </w:p>
        </w:tc>
      </w:tr>
      <w:tr w:rsidR="00E2774A" w14:paraId="02AAEC37" w14:textId="77777777" w:rsidTr="00250591">
        <w:tc>
          <w:tcPr>
            <w:tcW w:w="1111" w:type="pct"/>
          </w:tcPr>
          <w:p w14:paraId="43B8A546" w14:textId="088F7B53" w:rsidR="00E2774A" w:rsidRPr="00E2774A" w:rsidRDefault="003C5B44" w:rsidP="00E2774A">
            <w:pPr>
              <w:pStyle w:val="TableText"/>
            </w:pPr>
            <w:r w:rsidRPr="003C5B44">
              <w:t>IVMP</w:t>
            </w:r>
          </w:p>
        </w:tc>
        <w:tc>
          <w:tcPr>
            <w:tcW w:w="3889" w:type="pct"/>
          </w:tcPr>
          <w:p w14:paraId="1DA94AE5" w14:textId="1AAEF6EE" w:rsidR="00E2774A" w:rsidRPr="00E2774A" w:rsidRDefault="00FE0E75" w:rsidP="00E2774A">
            <w:pPr>
              <w:pStyle w:val="TableText"/>
            </w:pPr>
            <w:r w:rsidRPr="00FE0E75">
              <w:t>Investigational Veterinary Medicinal Product</w:t>
            </w:r>
          </w:p>
        </w:tc>
      </w:tr>
      <w:tr w:rsidR="003C5B44" w14:paraId="238E6EB0" w14:textId="77777777" w:rsidTr="00250591">
        <w:tc>
          <w:tcPr>
            <w:tcW w:w="1111" w:type="pct"/>
          </w:tcPr>
          <w:p w14:paraId="198B1676" w14:textId="298EC9A9" w:rsidR="003C5B44" w:rsidRPr="003C5B44" w:rsidRDefault="003C5B44" w:rsidP="003C5B44">
            <w:pPr>
              <w:pStyle w:val="TableText"/>
            </w:pPr>
            <w:r>
              <w:t>NSAIDs</w:t>
            </w:r>
          </w:p>
        </w:tc>
        <w:tc>
          <w:tcPr>
            <w:tcW w:w="3889" w:type="pct"/>
          </w:tcPr>
          <w:p w14:paraId="07E97DDE" w14:textId="557879EC" w:rsidR="003C5B44" w:rsidRDefault="003C5B44" w:rsidP="003C5B44">
            <w:pPr>
              <w:pStyle w:val="TableText"/>
            </w:pPr>
            <w:r w:rsidRPr="003C5B44">
              <w:t>Non-Steroidal Anti-inflammatory Drugs</w:t>
            </w:r>
          </w:p>
        </w:tc>
      </w:tr>
      <w:tr w:rsidR="003C5B44" w14:paraId="262AD5EE" w14:textId="77777777" w:rsidTr="00250591">
        <w:tc>
          <w:tcPr>
            <w:tcW w:w="1111" w:type="pct"/>
          </w:tcPr>
          <w:p w14:paraId="2A3922E4" w14:textId="4FD7C648" w:rsidR="003C5B44" w:rsidRPr="003C5B44" w:rsidRDefault="003C5B44" w:rsidP="003C5B44">
            <w:pPr>
              <w:pStyle w:val="TableText"/>
            </w:pPr>
            <w:r>
              <w:t>PD</w:t>
            </w:r>
          </w:p>
        </w:tc>
        <w:tc>
          <w:tcPr>
            <w:tcW w:w="3889" w:type="pct"/>
          </w:tcPr>
          <w:p w14:paraId="6CFC4D35" w14:textId="6E90CBEC" w:rsidR="003C5B44" w:rsidRDefault="003C5B44" w:rsidP="003C5B44">
            <w:pPr>
              <w:pStyle w:val="TableText"/>
            </w:pPr>
            <w:r w:rsidRPr="003C5B44">
              <w:t>Pharmacodynamic</w:t>
            </w:r>
          </w:p>
        </w:tc>
      </w:tr>
      <w:tr w:rsidR="003C5B44" w14:paraId="3D36CA38" w14:textId="77777777" w:rsidTr="00250591">
        <w:tc>
          <w:tcPr>
            <w:tcW w:w="1111" w:type="pct"/>
          </w:tcPr>
          <w:p w14:paraId="545DBFAF" w14:textId="2E2EC2D1" w:rsidR="003C5B44" w:rsidRPr="003C5B44" w:rsidRDefault="003C5B44" w:rsidP="003C5B44">
            <w:pPr>
              <w:pStyle w:val="TableText"/>
            </w:pPr>
            <w:r>
              <w:t>PK</w:t>
            </w:r>
          </w:p>
        </w:tc>
        <w:tc>
          <w:tcPr>
            <w:tcW w:w="3889" w:type="pct"/>
          </w:tcPr>
          <w:p w14:paraId="2B8F8D91" w14:textId="632FEFD5" w:rsidR="003C5B44" w:rsidRDefault="00471F0F" w:rsidP="003C5B44">
            <w:pPr>
              <w:pStyle w:val="TableText"/>
            </w:pPr>
            <w:r>
              <w:t>Pharmacokinetic</w:t>
            </w:r>
          </w:p>
        </w:tc>
      </w:tr>
      <w:tr w:rsidR="003C5B44" w14:paraId="5140D03C" w14:textId="77777777" w:rsidTr="00250591">
        <w:tc>
          <w:tcPr>
            <w:tcW w:w="1111" w:type="pct"/>
          </w:tcPr>
          <w:p w14:paraId="50FF66A6" w14:textId="47AD0448" w:rsidR="003C5B44" w:rsidRDefault="003C5B44" w:rsidP="003C5B44">
            <w:pPr>
              <w:pStyle w:val="TableText"/>
            </w:pPr>
            <w:r>
              <w:t>VAS</w:t>
            </w:r>
          </w:p>
        </w:tc>
        <w:tc>
          <w:tcPr>
            <w:tcW w:w="3889" w:type="pct"/>
          </w:tcPr>
          <w:p w14:paraId="7111C1B2" w14:textId="0749B5A0" w:rsidR="003C5B44" w:rsidRDefault="003C5B44" w:rsidP="003C5B44">
            <w:pPr>
              <w:pStyle w:val="TableText"/>
            </w:pPr>
            <w:r w:rsidRPr="003C5B44">
              <w:t>Visual Analog Scales</w:t>
            </w:r>
          </w:p>
        </w:tc>
      </w:tr>
    </w:tbl>
    <w:p w14:paraId="26E1F57C" w14:textId="77777777" w:rsidR="009D452E" w:rsidRDefault="002E20AC" w:rsidP="00FB0015">
      <w:pPr>
        <w:pStyle w:val="GlossaryRefH1"/>
      </w:pPr>
      <w:bookmarkStart w:id="54" w:name="_Toc181283308"/>
      <w:r>
        <w:lastRenderedPageBreak/>
        <w:t>Reference</w:t>
      </w:r>
      <w:bookmarkEnd w:id="51"/>
      <w:bookmarkEnd w:id="52"/>
      <w:r w:rsidR="002A3239">
        <w:t>s</w:t>
      </w:r>
      <w:bookmarkEnd w:id="53"/>
      <w:bookmarkEnd w:id="54"/>
    </w:p>
    <w:p w14:paraId="45935570" w14:textId="005109B1" w:rsidR="008B550C" w:rsidRDefault="00772B62" w:rsidP="00402E0E">
      <w:pPr>
        <w:pStyle w:val="Bibliography"/>
      </w:pPr>
      <w:r w:rsidRPr="00951BE7">
        <w:t xml:space="preserve">Lees P, </w:t>
      </w:r>
      <w:proofErr w:type="spellStart"/>
      <w:r w:rsidRPr="00951BE7">
        <w:t>Giraudel</w:t>
      </w:r>
      <w:proofErr w:type="spellEnd"/>
      <w:r w:rsidRPr="00951BE7">
        <w:t xml:space="preserve"> J, Landoni MF</w:t>
      </w:r>
      <w:r>
        <w:t xml:space="preserve"> and</w:t>
      </w:r>
      <w:r w:rsidRPr="00951BE7">
        <w:t xml:space="preserve"> Toutain PL</w:t>
      </w:r>
      <w:r>
        <w:t xml:space="preserve"> (</w:t>
      </w:r>
      <w:r w:rsidRPr="00951BE7">
        <w:t>2004</w:t>
      </w:r>
      <w:r>
        <w:t>) ‘</w:t>
      </w:r>
      <w:r w:rsidRPr="00951BE7">
        <w:t>PK–PD integration and PK–PD modelling of nonsteroidal anti-inflammatory drugs: principles and applications in veterinary pharmacology</w:t>
      </w:r>
      <w:r>
        <w:t xml:space="preserve">’ </w:t>
      </w:r>
      <w:r w:rsidRPr="00772B62">
        <w:rPr>
          <w:i/>
          <w:iCs/>
        </w:rPr>
        <w:t xml:space="preserve">Journal of Veterinary Pharmacology and Therapeutics </w:t>
      </w:r>
      <w:r w:rsidRPr="00951BE7">
        <w:t>27(6):491-502.</w:t>
      </w:r>
    </w:p>
    <w:sectPr w:rsidR="008B550C">
      <w:headerReference w:type="even" r:id="rId32"/>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40A79F" w14:textId="77777777" w:rsidR="00EE21D3" w:rsidRDefault="00EE21D3">
      <w:r>
        <w:separator/>
      </w:r>
    </w:p>
    <w:p w14:paraId="096B57DB" w14:textId="77777777" w:rsidR="00EE21D3" w:rsidRDefault="00EE21D3"/>
    <w:p w14:paraId="76161EE8" w14:textId="77777777" w:rsidR="00EE21D3" w:rsidRDefault="00EE21D3"/>
  </w:endnote>
  <w:endnote w:type="continuationSeparator" w:id="0">
    <w:p w14:paraId="007124A9" w14:textId="77777777" w:rsidR="00EE21D3" w:rsidRDefault="00EE21D3">
      <w:r>
        <w:continuationSeparator/>
      </w:r>
    </w:p>
    <w:p w14:paraId="0F98109C" w14:textId="77777777" w:rsidR="00EE21D3" w:rsidRDefault="00EE21D3"/>
    <w:p w14:paraId="57C1E067" w14:textId="77777777" w:rsidR="00EE21D3" w:rsidRDefault="00EE2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BF1E5" w14:textId="77777777" w:rsidR="00D23D6A" w:rsidRPr="0026493F" w:rsidRDefault="00D23D6A" w:rsidP="00264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A19D41" w14:textId="77777777" w:rsidR="00EE21D3" w:rsidRDefault="00EE21D3">
      <w:r>
        <w:separator/>
      </w:r>
    </w:p>
  </w:footnote>
  <w:footnote w:type="continuationSeparator" w:id="0">
    <w:p w14:paraId="45F2262D" w14:textId="77777777" w:rsidR="00EE21D3" w:rsidRDefault="00EE21D3">
      <w:pPr>
        <w:spacing w:line="180" w:lineRule="exact"/>
      </w:pPr>
      <w:r>
        <w:continuationSeparator/>
      </w:r>
    </w:p>
    <w:p w14:paraId="75AF6F7A" w14:textId="77777777" w:rsidR="00EE21D3" w:rsidRDefault="00EE21D3"/>
    <w:p w14:paraId="66548112" w14:textId="77777777" w:rsidR="00EE21D3" w:rsidRDefault="00EE21D3"/>
  </w:footnote>
  <w:footnote w:type="continuationNotice" w:id="1">
    <w:p w14:paraId="3CFC536C" w14:textId="77777777" w:rsidR="00EE21D3" w:rsidRDefault="00EE21D3"/>
    <w:p w14:paraId="3719316C" w14:textId="77777777" w:rsidR="00EE21D3" w:rsidRDefault="00EE21D3"/>
    <w:p w14:paraId="5C89D83F" w14:textId="77777777" w:rsidR="00EE21D3" w:rsidRDefault="00EE21D3"/>
  </w:footnote>
  <w:footnote w:id="2">
    <w:p w14:paraId="522FFD16" w14:textId="7D961B08" w:rsidR="00882840" w:rsidRDefault="00882840" w:rsidP="001E42C5">
      <w:pPr>
        <w:pStyle w:val="SourceTableNote"/>
      </w:pPr>
      <w:r w:rsidRPr="00DE3B15">
        <w:rPr>
          <w:vertAlign w:val="superscript"/>
        </w:rPr>
        <w:footnoteRef/>
      </w:r>
      <w:r w:rsidRPr="004A2E45">
        <w:t xml:space="preserve"> Refer Lees et al 2004</w:t>
      </w:r>
    </w:p>
  </w:footnote>
  <w:footnote w:id="3">
    <w:p w14:paraId="7C5A1062" w14:textId="342EBEF9" w:rsidR="00882840" w:rsidRDefault="00882840" w:rsidP="001E42C5">
      <w:pPr>
        <w:pStyle w:val="SourceTableNote"/>
      </w:pPr>
      <w:r w:rsidRPr="00DE3B15">
        <w:rPr>
          <w:vertAlign w:val="superscript"/>
        </w:rPr>
        <w:footnoteRef/>
      </w:r>
      <w:r w:rsidRPr="004A2E45">
        <w:t xml:space="preserve"> Reference is made to the current ‘CVMP Guideline on statistical principles for clinical trials for veterinary medicinal products (pharmaceuticals)’ (EMA/CVMP/EWP/81976/2010).</w:t>
      </w:r>
    </w:p>
  </w:footnote>
  <w:footnote w:id="4">
    <w:p w14:paraId="794F7841" w14:textId="042EABA1" w:rsidR="00882840" w:rsidRDefault="00882840" w:rsidP="004A2E45">
      <w:pPr>
        <w:pStyle w:val="SourceTableNote"/>
      </w:pPr>
      <w:r w:rsidRPr="00DE3B15">
        <w:rPr>
          <w:color w:val="auto"/>
          <w:szCs w:val="20"/>
          <w:vertAlign w:val="superscript"/>
        </w:rPr>
        <w:footnoteRef/>
      </w:r>
      <w:r w:rsidRPr="004A2E45">
        <w:rPr>
          <w:color w:val="auto"/>
          <w:szCs w:val="20"/>
        </w:rPr>
        <w:t xml:space="preserve"> Reference is made to CPMP Guideline (on the choice of the non-inferiority margin EMEA/CPMP/EWP/2158/99)</w:t>
      </w:r>
    </w:p>
  </w:footnote>
  <w:footnote w:id="5">
    <w:p w14:paraId="46E3BDD4" w14:textId="77777777" w:rsidR="00923FC6" w:rsidRDefault="00923FC6" w:rsidP="00923FC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1A852" w14:textId="51C68A1F" w:rsidR="00D23D6A" w:rsidRDefault="00D23D6A" w:rsidP="009D452E">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A35765">
      <w:rPr>
        <w:rStyle w:val="PageNumber"/>
        <w:noProof/>
        <w:szCs w:val="24"/>
      </w:rPr>
      <w:t>iv</w:t>
    </w:r>
    <w:r>
      <w:rPr>
        <w:rStyle w:val="PageNumber"/>
        <w:b w:val="0"/>
        <w:caps/>
        <w:szCs w:val="24"/>
      </w:rPr>
      <w:fldChar w:fldCharType="end"/>
    </w:r>
    <w:r>
      <w:tab/>
    </w:r>
    <w:r w:rsidR="002A3239">
      <w:t>[Publication title]</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76BBF" w14:textId="784ADFEF" w:rsidR="00D23D6A" w:rsidRDefault="00D23D6A">
    <w:pPr>
      <w:pStyle w:val="OddHeader"/>
    </w:pPr>
    <w:r>
      <w:tab/>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A35765">
      <w:rPr>
        <w:rStyle w:val="PageNumber"/>
        <w:rFonts w:cs="Times New Roman"/>
        <w:bCs w:val="0"/>
        <w:noProof/>
        <w:szCs w:val="24"/>
      </w:rPr>
      <w:t>iii</w:t>
    </w:r>
    <w:r>
      <w:rPr>
        <w:rStyle w:val="PageNumber"/>
        <w:rFonts w:cs="Times New Roman"/>
        <w:b w:val="0"/>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2104F" w14:textId="128B2AE9" w:rsidR="00D23D6A" w:rsidRPr="007F01D5" w:rsidRDefault="007F01D5" w:rsidP="007F01D5">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2</w:t>
    </w:r>
    <w:r>
      <w:rPr>
        <w:rStyle w:val="PageNumber"/>
        <w:b w:val="0"/>
        <w:caps/>
        <w:szCs w:val="24"/>
      </w:rPr>
      <w:fldChar w:fldCharType="end"/>
    </w:r>
    <w:r>
      <w:tab/>
    </w:r>
    <w:r w:rsidR="00043323">
      <w:t>Draft g</w:t>
    </w:r>
    <w:r w:rsidR="000B5966" w:rsidRPr="000B5966">
      <w:t>uideline for the evaluation of the efficacy of non-steroidal anti-inflammatory drug</w:t>
    </w:r>
    <w:r w:rsidR="00F161B9">
      <w: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8C2A6" w14:textId="32C04D60" w:rsidR="008545E1" w:rsidRPr="007F01D5" w:rsidRDefault="00C95B96" w:rsidP="00C95B96">
    <w:pPr>
      <w:pStyle w:val="OddHeader"/>
      <w:tabs>
        <w:tab w:val="clear" w:pos="9072"/>
        <w:tab w:val="right" w:pos="1276"/>
      </w:tabs>
      <w:jc w:val="right"/>
    </w:pPr>
    <w:r w:rsidRPr="00C95B96">
      <w:t>Preface</w:t>
    </w:r>
    <w:r w:rsidR="007F01D5">
      <w:tab/>
    </w:r>
    <w:r w:rsidR="007F01D5">
      <w:rPr>
        <w:rStyle w:val="PageNumber"/>
        <w:rFonts w:cs="Times New Roman"/>
        <w:b w:val="0"/>
        <w:bCs w:val="0"/>
        <w:caps/>
        <w:szCs w:val="24"/>
      </w:rPr>
      <w:fldChar w:fldCharType="begin"/>
    </w:r>
    <w:r w:rsidR="007F01D5">
      <w:rPr>
        <w:rStyle w:val="PageNumber"/>
        <w:rFonts w:cs="Times New Roman"/>
        <w:bCs w:val="0"/>
        <w:szCs w:val="24"/>
      </w:rPr>
      <w:instrText xml:space="preserve"> PAGE </w:instrText>
    </w:r>
    <w:r w:rsidR="007F01D5">
      <w:rPr>
        <w:rStyle w:val="PageNumber"/>
        <w:rFonts w:cs="Times New Roman"/>
        <w:b w:val="0"/>
        <w:bCs w:val="0"/>
        <w:caps/>
        <w:szCs w:val="24"/>
      </w:rPr>
      <w:fldChar w:fldCharType="separate"/>
    </w:r>
    <w:r w:rsidR="007F01D5">
      <w:rPr>
        <w:rStyle w:val="PageNumber"/>
        <w:rFonts w:cs="Times New Roman"/>
        <w:b w:val="0"/>
        <w:bCs w:val="0"/>
        <w:caps/>
        <w:szCs w:val="24"/>
      </w:rPr>
      <w:t>3</w:t>
    </w:r>
    <w:r w:rsidR="007F01D5">
      <w:rPr>
        <w:rStyle w:val="PageNumber"/>
        <w:rFonts w:cs="Times New Roman"/>
        <w:b w:val="0"/>
        <w:bCs w:val="0"/>
        <w:caps/>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4AE4F" w14:textId="38C66702" w:rsidR="00C95B96" w:rsidRPr="007F01D5" w:rsidRDefault="00C95B96" w:rsidP="00C95B96">
    <w:pPr>
      <w:pStyle w:val="OddHeader"/>
      <w:tabs>
        <w:tab w:val="clear" w:pos="9072"/>
        <w:tab w:val="right" w:pos="4962"/>
      </w:tabs>
      <w:jc w:val="right"/>
    </w:pPr>
    <w:r w:rsidRPr="00C95B96">
      <w:t>Guideline for the evaluation of the efficacy of non-steroidal anti-inflammatory drugs (NSAIDs), with respect to anti-inflammatory, analgesic and anti-pyretic effects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3</w:t>
    </w:r>
    <w:r>
      <w:rPr>
        <w:rStyle w:val="PageNumber"/>
        <w:rFonts w:cs="Times New Roman"/>
        <w:b w:val="0"/>
        <w:bCs w:val="0"/>
        <w:caps/>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F1306" w14:textId="14A7F4D0" w:rsidR="00C95B96" w:rsidRPr="007F01D5" w:rsidRDefault="00C95B96" w:rsidP="00C95B96">
    <w:pPr>
      <w:pStyle w:val="OddHeader"/>
      <w:tabs>
        <w:tab w:val="clear" w:pos="9072"/>
        <w:tab w:val="right" w:pos="1418"/>
      </w:tabs>
      <w:jc w:val="right"/>
    </w:pPr>
    <w:r w:rsidRPr="00C95B96">
      <w:t>References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3</w:t>
    </w:r>
    <w:r>
      <w:rPr>
        <w:rStyle w:val="PageNumber"/>
        <w:rFonts w:cs="Times New Roman"/>
        <w:b w:val="0"/>
        <w:bCs w:val="0"/>
        <w:cap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12854"/>
    <w:multiLevelType w:val="multilevel"/>
    <w:tmpl w:val="976A376A"/>
    <w:styleLink w:val="Style1"/>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0931AD"/>
    <w:multiLevelType w:val="hybridMultilevel"/>
    <w:tmpl w:val="EFC2A470"/>
    <w:lvl w:ilvl="0" w:tplc="85082998">
      <w:start w:val="1"/>
      <w:numFmt w:val="lowerLetter"/>
      <w:pStyle w:val="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D84301"/>
    <w:multiLevelType w:val="hybridMultilevel"/>
    <w:tmpl w:val="A6E40CCA"/>
    <w:lvl w:ilvl="0" w:tplc="053AE648">
      <w:start w:val="1"/>
      <w:numFmt w:val="bullet"/>
      <w:pStyle w:val="Bullet2"/>
      <w:lvlText w:val="–"/>
      <w:lvlJc w:val="left"/>
      <w:pPr>
        <w:ind w:left="70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D438D8"/>
    <w:multiLevelType w:val="hybridMultilevel"/>
    <w:tmpl w:val="0EE6E7E0"/>
    <w:lvl w:ilvl="0" w:tplc="DA9AF516">
      <w:start w:val="1"/>
      <w:numFmt w:val="decimal"/>
      <w:pStyle w:val="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E21C3B"/>
    <w:multiLevelType w:val="multilevel"/>
    <w:tmpl w:val="5FD4AF96"/>
    <w:name w:val="H2 List numbering"/>
    <w:lvl w:ilvl="0">
      <w:start w:val="6"/>
      <w:numFmt w:val="decimal"/>
      <w:lvlText w:val="%1."/>
      <w:lvlJc w:val="left"/>
      <w:pPr>
        <w:ind w:left="357" w:hanging="357"/>
      </w:pPr>
      <w:rPr>
        <w:rFonts w:ascii="Arial" w:hAnsi="Arial" w:hint="default"/>
        <w:b w:val="0"/>
        <w:i w:val="0"/>
        <w:color w:val="auto"/>
        <w:sz w:val="17"/>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FA6A11"/>
    <w:multiLevelType w:val="multilevel"/>
    <w:tmpl w:val="3B1AD2F0"/>
    <w:name w:val="H2 List numbering22222"/>
    <w:lvl w:ilvl="0">
      <w:start w:val="1"/>
      <w:numFmt w:val="decimal"/>
      <w:lvlText w:val="%1."/>
      <w:lvlJc w:val="left"/>
      <w:pPr>
        <w:ind w:left="794" w:hanging="43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6B75A9"/>
    <w:multiLevelType w:val="hybridMultilevel"/>
    <w:tmpl w:val="B202A304"/>
    <w:lvl w:ilvl="0" w:tplc="C10EEEBA">
      <w:start w:val="1"/>
      <w:numFmt w:val="decimal"/>
      <w:lvlText w:val="%1."/>
      <w:lvlJc w:val="left"/>
      <w:pPr>
        <w:ind w:left="397" w:hanging="39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9E7702"/>
    <w:multiLevelType w:val="multilevel"/>
    <w:tmpl w:val="7D48A002"/>
    <w:name w:val="H2 List numbering222"/>
    <w:lvl w:ilvl="0">
      <w:start w:val="4"/>
      <w:numFmt w:val="upperRoman"/>
      <w:lvlText w:val="%1)"/>
      <w:lvlJc w:val="left"/>
      <w:pPr>
        <w:ind w:left="357" w:hanging="357"/>
      </w:pPr>
      <w:rPr>
        <w:rFonts w:ascii="Arial" w:hAnsi="Arial" w:hint="default"/>
        <w:sz w:val="17"/>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C3D574A"/>
    <w:multiLevelType w:val="multilevel"/>
    <w:tmpl w:val="4732ABCC"/>
    <w:name w:val="H2 List numbering2222"/>
    <w:numStyleLink w:val="Romannumerallist"/>
  </w:abstractNum>
  <w:abstractNum w:abstractNumId="9" w15:restartNumberingAfterBreak="0">
    <w:nsid w:val="2F02112C"/>
    <w:multiLevelType w:val="multilevel"/>
    <w:tmpl w:val="06E620FC"/>
    <w:styleLink w:val="Style3"/>
    <w:lvl w:ilvl="0">
      <w:start w:val="4"/>
      <w:numFmt w:val="decimal"/>
      <w:lvlText w:val="%1."/>
      <w:lvlJc w:val="left"/>
      <w:pPr>
        <w:ind w:left="0" w:firstLine="0"/>
      </w:pPr>
      <w:rPr>
        <w:rFonts w:hint="default"/>
      </w:rPr>
    </w:lvl>
    <w:lvl w:ilvl="1">
      <w:start w:val="1"/>
      <w:numFmt w:val="decimal"/>
      <w:lvlText w:val="%1.%2."/>
      <w:lvlJc w:val="left"/>
      <w:pPr>
        <w:ind w:left="0" w:firstLine="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5617B0"/>
    <w:multiLevelType w:val="hybridMultilevel"/>
    <w:tmpl w:val="44F83EDE"/>
    <w:lvl w:ilvl="0" w:tplc="2CE83836">
      <w:start w:val="1"/>
      <w:numFmt w:val="bullet"/>
      <w:pStyle w:val="TableBullet"/>
      <w:lvlText w:val=""/>
      <w:lvlJc w:val="left"/>
      <w:pPr>
        <w:tabs>
          <w:tab w:val="num" w:pos="227"/>
        </w:tabs>
        <w:ind w:left="227" w:hanging="227"/>
      </w:pPr>
      <w:rPr>
        <w:rFonts w:ascii="Symbol" w:hAnsi="Symbol" w:hint="default"/>
        <w:b w:val="0"/>
        <w:i w:val="0"/>
        <w:caps w:val="0"/>
        <w:strike w:val="0"/>
        <w:dstrike w:val="0"/>
        <w:vanish w:val="0"/>
        <w:color w:val="5C2946"/>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6C34CF"/>
    <w:multiLevelType w:val="multilevel"/>
    <w:tmpl w:val="4732ABCC"/>
    <w:name w:val="H2 List numbering2"/>
    <w:styleLink w:val="Romannumerallist"/>
    <w:lvl w:ilvl="0">
      <w:start w:val="4"/>
      <w:numFmt w:val="upperRoman"/>
      <w:lvlText w:val="%1)"/>
      <w:lvlJc w:val="left"/>
      <w:pPr>
        <w:ind w:left="794" w:hanging="794"/>
      </w:pPr>
      <w:rPr>
        <w:rFonts w:ascii="Arial" w:hAnsi="Arial" w:hint="default"/>
        <w:sz w:val="17"/>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23C7C43"/>
    <w:multiLevelType w:val="multilevel"/>
    <w:tmpl w:val="FF9A411E"/>
    <w:styleLink w:val="H2Listnumber"/>
    <w:lvl w:ilvl="0">
      <w:start w:val="1"/>
      <w:numFmt w:val="decimal"/>
      <w:lvlText w:val="%1)"/>
      <w:lvlJc w:val="left"/>
      <w:pPr>
        <w:ind w:left="0" w:firstLine="0"/>
      </w:pPr>
      <w:rPr>
        <w:rFonts w:ascii="Franklin Gothic Medium" w:hAnsi="Franklin Gothic Medium" w:hint="default"/>
        <w:color w:val="55184F"/>
        <w:sz w:val="28"/>
      </w:rPr>
    </w:lvl>
    <w:lvl w:ilvl="1">
      <w:start w:val="1"/>
      <w:numFmt w:val="lowerLetter"/>
      <w:lvlText w:val="%2)"/>
      <w:lvlJc w:val="left"/>
      <w:pPr>
        <w:ind w:left="357" w:firstLine="0"/>
      </w:pPr>
      <w:rPr>
        <w:rFonts w:hint="default"/>
      </w:rPr>
    </w:lvl>
    <w:lvl w:ilvl="2">
      <w:start w:val="1"/>
      <w:numFmt w:val="lowerRoman"/>
      <w:lvlText w:val="%3)"/>
      <w:lvlJc w:val="left"/>
      <w:pPr>
        <w:ind w:left="714" w:firstLine="0"/>
      </w:pPr>
      <w:rPr>
        <w:rFonts w:hint="default"/>
      </w:rPr>
    </w:lvl>
    <w:lvl w:ilvl="3">
      <w:start w:val="1"/>
      <w:numFmt w:val="decimal"/>
      <w:lvlText w:val="(%4)"/>
      <w:lvlJc w:val="left"/>
      <w:pPr>
        <w:ind w:left="1071" w:firstLine="0"/>
      </w:pPr>
      <w:rPr>
        <w:rFonts w:hint="default"/>
      </w:rPr>
    </w:lvl>
    <w:lvl w:ilvl="4">
      <w:start w:val="1"/>
      <w:numFmt w:val="lowerLetter"/>
      <w:lvlText w:val="(%5)"/>
      <w:lvlJc w:val="left"/>
      <w:pPr>
        <w:ind w:left="1428" w:firstLine="0"/>
      </w:pPr>
      <w:rPr>
        <w:rFonts w:hint="default"/>
      </w:rPr>
    </w:lvl>
    <w:lvl w:ilvl="5">
      <w:start w:val="1"/>
      <w:numFmt w:val="lowerRoman"/>
      <w:lvlText w:val="(%6)"/>
      <w:lvlJc w:val="left"/>
      <w:pPr>
        <w:ind w:left="1785" w:firstLine="0"/>
      </w:pPr>
      <w:rPr>
        <w:rFonts w:hint="default"/>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15" w15:restartNumberingAfterBreak="0">
    <w:nsid w:val="57B326D0"/>
    <w:multiLevelType w:val="multilevel"/>
    <w:tmpl w:val="584CF2A4"/>
    <w:styleLink w:val="Style4"/>
    <w:lvl w:ilvl="0">
      <w:start w:val="4"/>
      <w:numFmt w:val="decimal"/>
      <w:lvlText w:val="%1."/>
      <w:lvlJc w:val="left"/>
      <w:pPr>
        <w:ind w:left="0" w:firstLine="0"/>
      </w:pPr>
      <w:rPr>
        <w:rFonts w:hint="default"/>
      </w:rPr>
    </w:lvl>
    <w:lvl w:ilvl="1">
      <w:start w:val="2"/>
      <w:numFmt w:val="decimal"/>
      <w:lvlText w:val="%1.%2."/>
      <w:lvlJc w:val="left"/>
      <w:pPr>
        <w:ind w:left="0" w:firstLine="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8C25C85"/>
    <w:multiLevelType w:val="multilevel"/>
    <w:tmpl w:val="4732ABCC"/>
    <w:name w:val="H2 List numbering22"/>
    <w:numStyleLink w:val="Romannumerallist"/>
  </w:abstractNum>
  <w:abstractNum w:abstractNumId="17" w15:restartNumberingAfterBreak="0">
    <w:nsid w:val="6DD00E8C"/>
    <w:multiLevelType w:val="multilevel"/>
    <w:tmpl w:val="A0405FC8"/>
    <w:styleLink w:val="Style2"/>
    <w:lvl w:ilvl="0">
      <w:start w:val="4"/>
      <w:numFmt w:val="decimal"/>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94803ED"/>
    <w:multiLevelType w:val="multilevel"/>
    <w:tmpl w:val="5F468004"/>
    <w:styleLink w:val="H2"/>
    <w:lvl w:ilvl="0">
      <w:start w:val="1"/>
      <w:numFmt w:val="decimal"/>
      <w:lvlText w:val="%1."/>
      <w:lvlJc w:val="left"/>
      <w:pPr>
        <w:ind w:left="794" w:hanging="794"/>
      </w:pPr>
      <w:rPr>
        <w:rFonts w:hint="default"/>
        <w:color w:val="55184F"/>
        <w:sz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35302058">
    <w:abstractNumId w:val="2"/>
  </w:num>
  <w:num w:numId="2" w16cid:durableId="741297798">
    <w:abstractNumId w:val="10"/>
  </w:num>
  <w:num w:numId="3" w16cid:durableId="491216777">
    <w:abstractNumId w:val="11"/>
  </w:num>
  <w:num w:numId="4" w16cid:durableId="1143350196">
    <w:abstractNumId w:val="1"/>
  </w:num>
  <w:num w:numId="5" w16cid:durableId="507911398">
    <w:abstractNumId w:val="3"/>
  </w:num>
  <w:num w:numId="6" w16cid:durableId="195391456">
    <w:abstractNumId w:val="12"/>
  </w:num>
  <w:num w:numId="7" w16cid:durableId="132724531">
    <w:abstractNumId w:val="14"/>
  </w:num>
  <w:num w:numId="8" w16cid:durableId="1770200852">
    <w:abstractNumId w:val="18"/>
  </w:num>
  <w:num w:numId="9" w16cid:durableId="342782796">
    <w:abstractNumId w:val="4"/>
  </w:num>
  <w:num w:numId="10" w16cid:durableId="1707213610">
    <w:abstractNumId w:val="13"/>
  </w:num>
  <w:num w:numId="11" w16cid:durableId="1374308370">
    <w:abstractNumId w:val="7"/>
  </w:num>
  <w:num w:numId="12" w16cid:durableId="1325233379">
    <w:abstractNumId w:val="0"/>
  </w:num>
  <w:num w:numId="13" w16cid:durableId="1117065189">
    <w:abstractNumId w:val="17"/>
  </w:num>
  <w:num w:numId="14" w16cid:durableId="2019502476">
    <w:abstractNumId w:val="9"/>
  </w:num>
  <w:num w:numId="15" w16cid:durableId="672608422">
    <w:abstractNumId w:val="15"/>
  </w:num>
  <w:num w:numId="16" w16cid:durableId="323244059">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activeWritingStyle w:appName="MSWord" w:lang="en-AU" w:vendorID="6" w:dllVersion="2"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5E1"/>
    <w:rsid w:val="00002CA5"/>
    <w:rsid w:val="00004F9C"/>
    <w:rsid w:val="00012BAD"/>
    <w:rsid w:val="00017E77"/>
    <w:rsid w:val="00023042"/>
    <w:rsid w:val="00027B76"/>
    <w:rsid w:val="00043323"/>
    <w:rsid w:val="00067828"/>
    <w:rsid w:val="00072698"/>
    <w:rsid w:val="000765C1"/>
    <w:rsid w:val="0008350E"/>
    <w:rsid w:val="00096163"/>
    <w:rsid w:val="000A7EF6"/>
    <w:rsid w:val="000B5966"/>
    <w:rsid w:val="000C2C1B"/>
    <w:rsid w:val="000C64BF"/>
    <w:rsid w:val="000D045A"/>
    <w:rsid w:val="000D49ED"/>
    <w:rsid w:val="000E372E"/>
    <w:rsid w:val="000F000B"/>
    <w:rsid w:val="00120E00"/>
    <w:rsid w:val="0015167A"/>
    <w:rsid w:val="001534D8"/>
    <w:rsid w:val="001645CE"/>
    <w:rsid w:val="00167BB3"/>
    <w:rsid w:val="00174E15"/>
    <w:rsid w:val="0017696F"/>
    <w:rsid w:val="00184190"/>
    <w:rsid w:val="00193533"/>
    <w:rsid w:val="001960AF"/>
    <w:rsid w:val="001B335C"/>
    <w:rsid w:val="001C30A0"/>
    <w:rsid w:val="001C6607"/>
    <w:rsid w:val="001C7A99"/>
    <w:rsid w:val="001D3257"/>
    <w:rsid w:val="001E42C5"/>
    <w:rsid w:val="001E6315"/>
    <w:rsid w:val="00213D79"/>
    <w:rsid w:val="00230A91"/>
    <w:rsid w:val="0025418F"/>
    <w:rsid w:val="00254E8E"/>
    <w:rsid w:val="00257462"/>
    <w:rsid w:val="0026493F"/>
    <w:rsid w:val="00272DCD"/>
    <w:rsid w:val="00273A8E"/>
    <w:rsid w:val="00280720"/>
    <w:rsid w:val="00282A32"/>
    <w:rsid w:val="00297F2B"/>
    <w:rsid w:val="002A3239"/>
    <w:rsid w:val="002A394F"/>
    <w:rsid w:val="002A69DD"/>
    <w:rsid w:val="002B5703"/>
    <w:rsid w:val="002C1082"/>
    <w:rsid w:val="002C50B4"/>
    <w:rsid w:val="002D6453"/>
    <w:rsid w:val="002D7779"/>
    <w:rsid w:val="002E14D6"/>
    <w:rsid w:val="002E20AC"/>
    <w:rsid w:val="002F1FAB"/>
    <w:rsid w:val="002F4591"/>
    <w:rsid w:val="002F49E2"/>
    <w:rsid w:val="00301AE0"/>
    <w:rsid w:val="00301BA4"/>
    <w:rsid w:val="0030255E"/>
    <w:rsid w:val="0031487D"/>
    <w:rsid w:val="0032265B"/>
    <w:rsid w:val="00335346"/>
    <w:rsid w:val="00346134"/>
    <w:rsid w:val="00347883"/>
    <w:rsid w:val="003506C5"/>
    <w:rsid w:val="00356F33"/>
    <w:rsid w:val="00363BF0"/>
    <w:rsid w:val="003643B9"/>
    <w:rsid w:val="00381544"/>
    <w:rsid w:val="00392C18"/>
    <w:rsid w:val="00393E2F"/>
    <w:rsid w:val="003A1F94"/>
    <w:rsid w:val="003A558F"/>
    <w:rsid w:val="003A72B5"/>
    <w:rsid w:val="003C0891"/>
    <w:rsid w:val="003C13FB"/>
    <w:rsid w:val="003C5B44"/>
    <w:rsid w:val="003E0246"/>
    <w:rsid w:val="00402E0E"/>
    <w:rsid w:val="004070E1"/>
    <w:rsid w:val="0041228F"/>
    <w:rsid w:val="00412703"/>
    <w:rsid w:val="0041559F"/>
    <w:rsid w:val="004259D1"/>
    <w:rsid w:val="00431AA5"/>
    <w:rsid w:val="00444045"/>
    <w:rsid w:val="00444FF1"/>
    <w:rsid w:val="004546AD"/>
    <w:rsid w:val="004616C8"/>
    <w:rsid w:val="00461D26"/>
    <w:rsid w:val="00462AD5"/>
    <w:rsid w:val="00470304"/>
    <w:rsid w:val="00471F0F"/>
    <w:rsid w:val="00473575"/>
    <w:rsid w:val="004749D0"/>
    <w:rsid w:val="0049603E"/>
    <w:rsid w:val="004A2178"/>
    <w:rsid w:val="004A2E45"/>
    <w:rsid w:val="004B1A4A"/>
    <w:rsid w:val="004C02B2"/>
    <w:rsid w:val="004D2C4F"/>
    <w:rsid w:val="004E41DD"/>
    <w:rsid w:val="004E7357"/>
    <w:rsid w:val="004E7F36"/>
    <w:rsid w:val="004F0EAA"/>
    <w:rsid w:val="004F30A0"/>
    <w:rsid w:val="004F57CF"/>
    <w:rsid w:val="00504678"/>
    <w:rsid w:val="005064D5"/>
    <w:rsid w:val="00515F30"/>
    <w:rsid w:val="00520963"/>
    <w:rsid w:val="00522E27"/>
    <w:rsid w:val="005243C4"/>
    <w:rsid w:val="00530BC8"/>
    <w:rsid w:val="005415AD"/>
    <w:rsid w:val="00550D27"/>
    <w:rsid w:val="005527B9"/>
    <w:rsid w:val="00556804"/>
    <w:rsid w:val="00560E83"/>
    <w:rsid w:val="00561A21"/>
    <w:rsid w:val="00563297"/>
    <w:rsid w:val="00566590"/>
    <w:rsid w:val="00572131"/>
    <w:rsid w:val="00572D44"/>
    <w:rsid w:val="005C5634"/>
    <w:rsid w:val="005D1A47"/>
    <w:rsid w:val="005D5D1C"/>
    <w:rsid w:val="005E0F04"/>
    <w:rsid w:val="005E1AD9"/>
    <w:rsid w:val="005F0C3F"/>
    <w:rsid w:val="0060645C"/>
    <w:rsid w:val="006110AE"/>
    <w:rsid w:val="006218CD"/>
    <w:rsid w:val="0062466B"/>
    <w:rsid w:val="0062653F"/>
    <w:rsid w:val="0063447E"/>
    <w:rsid w:val="00643052"/>
    <w:rsid w:val="0064579C"/>
    <w:rsid w:val="00657A28"/>
    <w:rsid w:val="00667AB0"/>
    <w:rsid w:val="006928C4"/>
    <w:rsid w:val="006A07F6"/>
    <w:rsid w:val="006B3F88"/>
    <w:rsid w:val="006C08BC"/>
    <w:rsid w:val="006C5346"/>
    <w:rsid w:val="006D06A3"/>
    <w:rsid w:val="006E247A"/>
    <w:rsid w:val="006E2753"/>
    <w:rsid w:val="006E33F7"/>
    <w:rsid w:val="00700C27"/>
    <w:rsid w:val="00702B7D"/>
    <w:rsid w:val="00712B05"/>
    <w:rsid w:val="007275CF"/>
    <w:rsid w:val="00734103"/>
    <w:rsid w:val="00770B96"/>
    <w:rsid w:val="00772B62"/>
    <w:rsid w:val="007772C2"/>
    <w:rsid w:val="00780E23"/>
    <w:rsid w:val="00784886"/>
    <w:rsid w:val="00794B71"/>
    <w:rsid w:val="0079772A"/>
    <w:rsid w:val="007A27EB"/>
    <w:rsid w:val="007A752A"/>
    <w:rsid w:val="007B31EB"/>
    <w:rsid w:val="007D2FA8"/>
    <w:rsid w:val="007E13F3"/>
    <w:rsid w:val="007E420B"/>
    <w:rsid w:val="007E7056"/>
    <w:rsid w:val="007F0146"/>
    <w:rsid w:val="007F01D5"/>
    <w:rsid w:val="00800156"/>
    <w:rsid w:val="00832D38"/>
    <w:rsid w:val="008344A3"/>
    <w:rsid w:val="008362F6"/>
    <w:rsid w:val="008366A3"/>
    <w:rsid w:val="008368AD"/>
    <w:rsid w:val="00837349"/>
    <w:rsid w:val="008432B4"/>
    <w:rsid w:val="00847050"/>
    <w:rsid w:val="008545E1"/>
    <w:rsid w:val="00860B66"/>
    <w:rsid w:val="00862E63"/>
    <w:rsid w:val="00882840"/>
    <w:rsid w:val="00883775"/>
    <w:rsid w:val="00892292"/>
    <w:rsid w:val="008A1A3C"/>
    <w:rsid w:val="008B4AC0"/>
    <w:rsid w:val="008B550C"/>
    <w:rsid w:val="008B5AE2"/>
    <w:rsid w:val="008C5C0D"/>
    <w:rsid w:val="008C6B9D"/>
    <w:rsid w:val="008E4ED4"/>
    <w:rsid w:val="008E62E8"/>
    <w:rsid w:val="008F14C4"/>
    <w:rsid w:val="009130F0"/>
    <w:rsid w:val="0092182B"/>
    <w:rsid w:val="00923FC6"/>
    <w:rsid w:val="00931598"/>
    <w:rsid w:val="00943360"/>
    <w:rsid w:val="00943C8D"/>
    <w:rsid w:val="00950526"/>
    <w:rsid w:val="0095647E"/>
    <w:rsid w:val="00972247"/>
    <w:rsid w:val="00987E31"/>
    <w:rsid w:val="009A4448"/>
    <w:rsid w:val="009A6D14"/>
    <w:rsid w:val="009A7614"/>
    <w:rsid w:val="009B4CE7"/>
    <w:rsid w:val="009B6ACE"/>
    <w:rsid w:val="009C32D3"/>
    <w:rsid w:val="009D0E59"/>
    <w:rsid w:val="009D452E"/>
    <w:rsid w:val="009E2AD6"/>
    <w:rsid w:val="009F0908"/>
    <w:rsid w:val="009F16FF"/>
    <w:rsid w:val="009F7848"/>
    <w:rsid w:val="00A03F27"/>
    <w:rsid w:val="00A23729"/>
    <w:rsid w:val="00A2448D"/>
    <w:rsid w:val="00A2569D"/>
    <w:rsid w:val="00A25EA2"/>
    <w:rsid w:val="00A302F9"/>
    <w:rsid w:val="00A35765"/>
    <w:rsid w:val="00A366E1"/>
    <w:rsid w:val="00A55181"/>
    <w:rsid w:val="00A6283D"/>
    <w:rsid w:val="00A66116"/>
    <w:rsid w:val="00A77CE7"/>
    <w:rsid w:val="00A87101"/>
    <w:rsid w:val="00A90B99"/>
    <w:rsid w:val="00AB659C"/>
    <w:rsid w:val="00AD696C"/>
    <w:rsid w:val="00AD7A5F"/>
    <w:rsid w:val="00AE4ACB"/>
    <w:rsid w:val="00AF0B24"/>
    <w:rsid w:val="00AF232A"/>
    <w:rsid w:val="00B00253"/>
    <w:rsid w:val="00B05454"/>
    <w:rsid w:val="00B15647"/>
    <w:rsid w:val="00B173EF"/>
    <w:rsid w:val="00B27675"/>
    <w:rsid w:val="00B31CA4"/>
    <w:rsid w:val="00B3569D"/>
    <w:rsid w:val="00B477FF"/>
    <w:rsid w:val="00B50074"/>
    <w:rsid w:val="00B634B5"/>
    <w:rsid w:val="00B70042"/>
    <w:rsid w:val="00B80D34"/>
    <w:rsid w:val="00B86D81"/>
    <w:rsid w:val="00BA6B3C"/>
    <w:rsid w:val="00BA6FA3"/>
    <w:rsid w:val="00BB0BBC"/>
    <w:rsid w:val="00BB22E1"/>
    <w:rsid w:val="00BC5423"/>
    <w:rsid w:val="00BC54C5"/>
    <w:rsid w:val="00BD021C"/>
    <w:rsid w:val="00BD2289"/>
    <w:rsid w:val="00BD55DB"/>
    <w:rsid w:val="00BD5BE4"/>
    <w:rsid w:val="00BD70E8"/>
    <w:rsid w:val="00C3175E"/>
    <w:rsid w:val="00C34040"/>
    <w:rsid w:val="00C36537"/>
    <w:rsid w:val="00C42B3B"/>
    <w:rsid w:val="00C501FF"/>
    <w:rsid w:val="00C53C96"/>
    <w:rsid w:val="00C73D24"/>
    <w:rsid w:val="00C75919"/>
    <w:rsid w:val="00C77037"/>
    <w:rsid w:val="00C95323"/>
    <w:rsid w:val="00C95B96"/>
    <w:rsid w:val="00C9656F"/>
    <w:rsid w:val="00C97AC8"/>
    <w:rsid w:val="00CA17DC"/>
    <w:rsid w:val="00CA44DB"/>
    <w:rsid w:val="00CC22A6"/>
    <w:rsid w:val="00CC6A6F"/>
    <w:rsid w:val="00CD24ED"/>
    <w:rsid w:val="00CD6650"/>
    <w:rsid w:val="00CE456A"/>
    <w:rsid w:val="00CE7F45"/>
    <w:rsid w:val="00CF0504"/>
    <w:rsid w:val="00CF357F"/>
    <w:rsid w:val="00D10A2A"/>
    <w:rsid w:val="00D10F59"/>
    <w:rsid w:val="00D23D6A"/>
    <w:rsid w:val="00D3519B"/>
    <w:rsid w:val="00D4143D"/>
    <w:rsid w:val="00D505AD"/>
    <w:rsid w:val="00D67788"/>
    <w:rsid w:val="00D86C44"/>
    <w:rsid w:val="00D874AA"/>
    <w:rsid w:val="00D876A5"/>
    <w:rsid w:val="00D907B2"/>
    <w:rsid w:val="00D9318E"/>
    <w:rsid w:val="00D942C8"/>
    <w:rsid w:val="00DB260C"/>
    <w:rsid w:val="00DB3BF5"/>
    <w:rsid w:val="00DC0AD7"/>
    <w:rsid w:val="00DC1A84"/>
    <w:rsid w:val="00DD08E2"/>
    <w:rsid w:val="00DE05D1"/>
    <w:rsid w:val="00DE2132"/>
    <w:rsid w:val="00DE3B15"/>
    <w:rsid w:val="00E126E2"/>
    <w:rsid w:val="00E2774A"/>
    <w:rsid w:val="00E30533"/>
    <w:rsid w:val="00E318E3"/>
    <w:rsid w:val="00E33D53"/>
    <w:rsid w:val="00E35DE7"/>
    <w:rsid w:val="00E41FED"/>
    <w:rsid w:val="00E44F80"/>
    <w:rsid w:val="00E60283"/>
    <w:rsid w:val="00E70119"/>
    <w:rsid w:val="00E70840"/>
    <w:rsid w:val="00E74F9B"/>
    <w:rsid w:val="00E97570"/>
    <w:rsid w:val="00EA511C"/>
    <w:rsid w:val="00EC5386"/>
    <w:rsid w:val="00EE21D3"/>
    <w:rsid w:val="00EE297E"/>
    <w:rsid w:val="00EE5B09"/>
    <w:rsid w:val="00EE684F"/>
    <w:rsid w:val="00F032DB"/>
    <w:rsid w:val="00F0383D"/>
    <w:rsid w:val="00F03EB6"/>
    <w:rsid w:val="00F161B9"/>
    <w:rsid w:val="00F30BDA"/>
    <w:rsid w:val="00F3434A"/>
    <w:rsid w:val="00F51AA7"/>
    <w:rsid w:val="00F525D0"/>
    <w:rsid w:val="00F52922"/>
    <w:rsid w:val="00F56C76"/>
    <w:rsid w:val="00F62E29"/>
    <w:rsid w:val="00F6733A"/>
    <w:rsid w:val="00F67613"/>
    <w:rsid w:val="00F916A0"/>
    <w:rsid w:val="00F92A4A"/>
    <w:rsid w:val="00FA0CB5"/>
    <w:rsid w:val="00FA2447"/>
    <w:rsid w:val="00FB0015"/>
    <w:rsid w:val="00FC09D2"/>
    <w:rsid w:val="00FC198C"/>
    <w:rsid w:val="00FC6188"/>
    <w:rsid w:val="00FD344F"/>
    <w:rsid w:val="00FE0E75"/>
    <w:rsid w:val="00FE3558"/>
    <w:rsid w:val="00FE54CA"/>
    <w:rsid w:val="00FE7203"/>
    <w:rsid w:val="00FF1913"/>
    <w:rsid w:val="00FF2803"/>
    <w:rsid w:val="00FF2E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E473F"/>
  <w15:chartTrackingRefBased/>
  <w15:docId w15:val="{A7684C93-DF68-46D3-937B-DD798520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3"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right page text"/>
    <w:uiPriority w:val="4"/>
    <w:rsid w:val="00B05454"/>
    <w:pPr>
      <w:spacing w:before="100" w:after="100" w:line="240" w:lineRule="atLeast"/>
    </w:pPr>
    <w:rPr>
      <w:rFonts w:ascii="Arial" w:hAnsi="Arial"/>
      <w:color w:val="1A1B1A" w:themeColor="text1" w:themeShade="80"/>
      <w:sz w:val="16"/>
      <w:szCs w:val="24"/>
      <w:lang w:eastAsia="en-US"/>
    </w:rPr>
  </w:style>
  <w:style w:type="paragraph" w:styleId="Heading1">
    <w:name w:val="heading 1"/>
    <w:aliases w:val="APVMA_H1"/>
    <w:basedOn w:val="NormalText"/>
    <w:next w:val="NormalText"/>
    <w:link w:val="Heading1Char"/>
    <w:qFormat/>
    <w:rsid w:val="008B550C"/>
    <w:pPr>
      <w:keepNext/>
      <w:keepLines/>
      <w:pageBreakBefore/>
      <w:spacing w:before="0" w:after="80" w:line="360" w:lineRule="exact"/>
      <w:outlineLvl w:val="0"/>
    </w:pPr>
    <w:rPr>
      <w:rFonts w:ascii="Franklin Gothic Medium" w:hAnsi="Franklin Gothic Medium"/>
      <w:color w:val="5C2946"/>
      <w:sz w:val="32"/>
      <w:szCs w:val="32"/>
    </w:rPr>
  </w:style>
  <w:style w:type="paragraph" w:styleId="Heading2">
    <w:name w:val="heading 2"/>
    <w:aliases w:val="APVMA_H2"/>
    <w:basedOn w:val="Heading1"/>
    <w:next w:val="Normal"/>
    <w:qFormat/>
    <w:rsid w:val="008344A3"/>
    <w:pPr>
      <w:pageBreakBefore w:val="0"/>
      <w:spacing w:before="400" w:after="0" w:line="320" w:lineRule="exact"/>
      <w:outlineLvl w:val="1"/>
    </w:pPr>
    <w:rPr>
      <w:kern w:val="0"/>
      <w:sz w:val="28"/>
      <w:szCs w:val="28"/>
    </w:rPr>
  </w:style>
  <w:style w:type="paragraph" w:styleId="Heading3">
    <w:name w:val="heading 3"/>
    <w:aliases w:val="APVMA_H3"/>
    <w:basedOn w:val="Heading2"/>
    <w:next w:val="NormalText"/>
    <w:uiPriority w:val="3"/>
    <w:qFormat/>
    <w:rsid w:val="008B550C"/>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rsid w:val="008B550C"/>
    <w:pPr>
      <w:numPr>
        <w:ilvl w:val="3"/>
      </w:numPr>
      <w:tabs>
        <w:tab w:val="num" w:pos="907"/>
      </w:tabs>
      <w:spacing w:before="280" w:line="260" w:lineRule="exact"/>
      <w:outlineLvl w:val="3"/>
    </w:pPr>
    <w:rPr>
      <w:sz w:val="22"/>
      <w:szCs w:val="28"/>
    </w:rPr>
  </w:style>
  <w:style w:type="paragraph" w:styleId="Heading5">
    <w:name w:val="heading 5"/>
    <w:aliases w:val="APVMA_H5"/>
    <w:basedOn w:val="Heading4"/>
    <w:next w:val="NormalText"/>
    <w:uiPriority w:val="4"/>
    <w:rsid w:val="008B550C"/>
    <w:pPr>
      <w:numPr>
        <w:ilvl w:val="4"/>
      </w:numPr>
      <w:tabs>
        <w:tab w:val="num" w:pos="907"/>
      </w:tabs>
      <w:spacing w:before="260"/>
      <w:outlineLvl w:val="4"/>
    </w:pPr>
    <w:rPr>
      <w:sz w:val="21"/>
      <w:szCs w:val="26"/>
    </w:rPr>
  </w:style>
  <w:style w:type="paragraph" w:styleId="Heading6">
    <w:name w:val="heading 6"/>
    <w:basedOn w:val="Normal"/>
    <w:next w:val="Normal"/>
    <w:uiPriority w:val="4"/>
    <w:pPr>
      <w:spacing w:before="240" w:after="60"/>
      <w:outlineLvl w:val="5"/>
    </w:pPr>
    <w:rPr>
      <w:rFonts w:ascii="Times New Roman" w:hAnsi="Times New Roman"/>
      <w:b/>
      <w:bCs/>
      <w:sz w:val="22"/>
      <w:szCs w:val="22"/>
    </w:rPr>
  </w:style>
  <w:style w:type="paragraph" w:styleId="Heading7">
    <w:name w:val="heading 7"/>
    <w:basedOn w:val="Normal"/>
    <w:next w:val="Normal"/>
    <w:uiPriority w:val="4"/>
    <w:pPr>
      <w:spacing w:before="240" w:after="60"/>
      <w:outlineLvl w:val="6"/>
    </w:pPr>
    <w:rPr>
      <w:rFonts w:ascii="Times New Roman" w:hAnsi="Times New Roman"/>
      <w:sz w:val="24"/>
    </w:rPr>
  </w:style>
  <w:style w:type="paragraph" w:styleId="Heading8">
    <w:name w:val="heading 8"/>
    <w:basedOn w:val="Normal"/>
    <w:next w:val="Normal"/>
    <w:uiPriority w:val="4"/>
    <w:pPr>
      <w:spacing w:before="240" w:after="60"/>
      <w:outlineLvl w:val="7"/>
    </w:pPr>
    <w:rPr>
      <w:rFonts w:ascii="Times New Roman" w:hAnsi="Times New Roman"/>
      <w:i/>
      <w:iCs/>
      <w:sz w:val="24"/>
    </w:rPr>
  </w:style>
  <w:style w:type="paragraph" w:styleId="Heading9">
    <w:name w:val="heading 9"/>
    <w:basedOn w:val="Normal"/>
    <w:next w:val="Normal"/>
    <w:uiPriority w:val="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ToC - Level 1"/>
    <w:basedOn w:val="NormalText"/>
    <w:next w:val="TOC2"/>
    <w:uiPriority w:val="39"/>
    <w:rsid w:val="00CE7F45"/>
    <w:pPr>
      <w:pBdr>
        <w:top w:val="single" w:sz="4" w:space="1" w:color="auto"/>
      </w:pBdr>
      <w:tabs>
        <w:tab w:val="right" w:pos="9639"/>
      </w:tabs>
      <w:spacing w:before="180" w:after="60"/>
      <w:ind w:left="454" w:hanging="454"/>
    </w:pPr>
    <w:rPr>
      <w:rFonts w:ascii="Franklin Gothic Medium" w:hAnsi="Franklin Gothic Medium"/>
      <w:bCs/>
      <w:noProof/>
      <w:color w:val="5C2946"/>
      <w:sz w:val="20"/>
      <w:szCs w:val="30"/>
    </w:rPr>
  </w:style>
  <w:style w:type="paragraph" w:styleId="FootnoteText">
    <w:name w:val="footnote text"/>
    <w:aliases w:val="APVMA_Footnote"/>
    <w:basedOn w:val="NormalText"/>
    <w:link w:val="FootnoteTextChar"/>
    <w:uiPriority w:val="99"/>
    <w:semiHidden/>
    <w:pPr>
      <w:spacing w:after="0" w:line="180" w:lineRule="exact"/>
      <w:ind w:left="227" w:hanging="227"/>
    </w:pPr>
    <w:rPr>
      <w:spacing w:val="6"/>
      <w:sz w:val="16"/>
      <w:szCs w:val="20"/>
    </w:rPr>
  </w:style>
  <w:style w:type="character" w:styleId="Emphasis">
    <w:name w:val="Emphasis"/>
    <w:uiPriority w:val="20"/>
    <w:qFormat/>
    <w:rPr>
      <w:i/>
      <w:iCs/>
    </w:rPr>
  </w:style>
  <w:style w:type="paragraph" w:styleId="TOC2">
    <w:name w:val="toc 2"/>
    <w:aliases w:val="ToC - Level 2"/>
    <w:basedOn w:val="Normal"/>
    <w:uiPriority w:val="39"/>
    <w:pPr>
      <w:tabs>
        <w:tab w:val="right" w:pos="9639"/>
      </w:tabs>
      <w:spacing w:before="60" w:line="280" w:lineRule="exact"/>
      <w:ind w:left="454" w:hanging="454"/>
    </w:pPr>
    <w:rPr>
      <w:b/>
      <w:noProof/>
      <w:color w:val="000000"/>
      <w:sz w:val="18"/>
    </w:rPr>
  </w:style>
  <w:style w:type="paragraph" w:styleId="TOC3">
    <w:name w:val="toc 3"/>
    <w:aliases w:val="ToC - Level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aliases w:val="OECD Hyperlink"/>
    <w:uiPriority w:val="99"/>
    <w:rPr>
      <w:color w:val="0000FF"/>
      <w:u w:val="single"/>
    </w:rPr>
  </w:style>
  <w:style w:type="paragraph" w:customStyle="1" w:styleId="TableBullet">
    <w:name w:val="TableBullet"/>
    <w:basedOn w:val="TableText"/>
    <w:uiPriority w:val="4"/>
    <w:rsid w:val="00FB0015"/>
    <w:pPr>
      <w:numPr>
        <w:numId w:val="6"/>
      </w:numPr>
      <w:spacing w:after="60"/>
    </w:pPr>
  </w:style>
  <w:style w:type="paragraph" w:customStyle="1" w:styleId="TableText">
    <w:name w:val="TableText"/>
    <w:basedOn w:val="NormalText"/>
    <w:uiPriority w:val="4"/>
    <w:qFormat/>
    <w:rsid w:val="008B550C"/>
    <w:pPr>
      <w:spacing w:before="120" w:after="120" w:line="210" w:lineRule="exact"/>
    </w:pPr>
    <w:rPr>
      <w:spacing w:val="6"/>
      <w:sz w:val="17"/>
    </w:rPr>
  </w:style>
  <w:style w:type="paragraph" w:customStyle="1" w:styleId="TableHead">
    <w:name w:val="TableHead"/>
    <w:basedOn w:val="TableText"/>
    <w:uiPriority w:val="4"/>
    <w:qFormat/>
    <w:rsid w:val="00572D44"/>
    <w:pPr>
      <w:keepNext/>
      <w:keepLines/>
      <w:spacing w:before="60" w:after="60" w:line="240" w:lineRule="exact"/>
    </w:pPr>
    <w:rPr>
      <w:rFonts w:ascii="Franklin Gothic Medium" w:hAnsi="Franklin Gothic Medium"/>
      <w:bCs/>
      <w:color w:val="F8F8F8"/>
      <w:sz w:val="18"/>
    </w:rPr>
  </w:style>
  <w:style w:type="paragraph" w:customStyle="1" w:styleId="ListNumbered">
    <w:name w:val="List_Numbered"/>
    <w:basedOn w:val="NormalText"/>
    <w:uiPriority w:val="4"/>
    <w:qFormat/>
    <w:pPr>
      <w:numPr>
        <w:numId w:val="5"/>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uiPriority w:val="4"/>
    <w:semiHidden/>
    <w:rPr>
      <w:rFonts w:ascii="Arial" w:hAnsi="Arial"/>
      <w:b/>
      <w:dstrike w:val="0"/>
      <w:color w:val="auto"/>
      <w:spacing w:val="0"/>
      <w:w w:val="100"/>
      <w:kern w:val="19"/>
      <w:position w:val="0"/>
      <w:sz w:val="18"/>
      <w:u w:val="none"/>
      <w:vertAlign w:val="baseline"/>
    </w:rPr>
  </w:style>
  <w:style w:type="paragraph" w:customStyle="1" w:styleId="SourceTableNote">
    <w:name w:val="Source/TableNote"/>
    <w:basedOn w:val="NormalText"/>
    <w:uiPriority w:val="4"/>
    <w:rsid w:val="008B550C"/>
    <w:pPr>
      <w:spacing w:before="0" w:after="0" w:line="280" w:lineRule="atLeast"/>
    </w:pPr>
    <w:rPr>
      <w:spacing w:val="6"/>
      <w:sz w:val="16"/>
    </w:rPr>
  </w:style>
  <w:style w:type="character" w:styleId="CommentReference">
    <w:name w:val="annotation reference"/>
    <w:uiPriority w:val="4"/>
    <w:semiHidden/>
    <w:rPr>
      <w:sz w:val="16"/>
      <w:szCs w:val="16"/>
    </w:rPr>
  </w:style>
  <w:style w:type="paragraph" w:customStyle="1" w:styleId="EvenHeader">
    <w:name w:val="Even_Header"/>
    <w:basedOn w:val="OddHeader"/>
    <w:uiPriority w:val="4"/>
    <w:rsid w:val="00BD2289"/>
    <w:pPr>
      <w:tabs>
        <w:tab w:val="clear" w:pos="9072"/>
        <w:tab w:val="left" w:pos="567"/>
      </w:tabs>
      <w:ind w:left="567" w:hanging="567"/>
    </w:pPr>
  </w:style>
  <w:style w:type="paragraph" w:customStyle="1" w:styleId="Bullet1">
    <w:name w:val="Bullet1"/>
    <w:basedOn w:val="NormalText"/>
    <w:link w:val="Bullet1Char"/>
    <w:uiPriority w:val="4"/>
    <w:qFormat/>
    <w:rsid w:val="006E33F7"/>
    <w:pPr>
      <w:numPr>
        <w:numId w:val="2"/>
      </w:numPr>
      <w:spacing w:before="120" w:after="120"/>
    </w:pPr>
  </w:style>
  <w:style w:type="paragraph" w:customStyle="1" w:styleId="TableHeadRight">
    <w:name w:val="TableHead_Right"/>
    <w:basedOn w:val="TableHead"/>
    <w:uiPriority w:val="4"/>
    <w:rsid w:val="00C501FF"/>
    <w:pPr>
      <w:jc w:val="right"/>
    </w:pPr>
  </w:style>
  <w:style w:type="paragraph" w:customStyle="1" w:styleId="Bullet2">
    <w:name w:val="Bullet2"/>
    <w:basedOn w:val="Bullet1"/>
    <w:link w:val="Bullet2Char"/>
    <w:uiPriority w:val="4"/>
    <w:qFormat/>
    <w:rsid w:val="002C1082"/>
    <w:pPr>
      <w:numPr>
        <w:numId w:val="1"/>
      </w:numPr>
      <w:spacing w:before="60"/>
    </w:pPr>
  </w:style>
  <w:style w:type="character" w:styleId="FootnoteReference">
    <w:name w:val="footnote reference"/>
    <w:uiPriority w:val="99"/>
    <w:semiHidden/>
    <w:rPr>
      <w:vertAlign w:val="superscript"/>
    </w:rPr>
  </w:style>
  <w:style w:type="paragraph" w:customStyle="1" w:styleId="Quotes">
    <w:name w:val="Quotes"/>
    <w:basedOn w:val="NormalText"/>
    <w:uiPriority w:val="4"/>
    <w:rsid w:val="008B550C"/>
    <w:pPr>
      <w:ind w:left="567" w:right="567"/>
    </w:pPr>
    <w:rPr>
      <w:rFonts w:ascii="Franklin Gothic Medium" w:hAnsi="Franklin Gothic Medium"/>
      <w:sz w:val="20"/>
    </w:rPr>
  </w:style>
  <w:style w:type="paragraph" w:customStyle="1" w:styleId="TableTextRight">
    <w:name w:val="TableText_Right"/>
    <w:basedOn w:val="TableText"/>
    <w:uiPriority w:val="4"/>
    <w:pPr>
      <w:jc w:val="right"/>
    </w:pPr>
  </w:style>
  <w:style w:type="paragraph" w:styleId="Caption">
    <w:name w:val="caption"/>
    <w:aliases w:val="Table caption"/>
    <w:basedOn w:val="Normal"/>
    <w:next w:val="NormalText"/>
    <w:link w:val="CaptionChar"/>
    <w:uiPriority w:val="4"/>
    <w:rsid w:val="007E420B"/>
    <w:pPr>
      <w:keepNext/>
      <w:keepLines/>
      <w:tabs>
        <w:tab w:val="left" w:pos="907"/>
      </w:tabs>
      <w:spacing w:before="240" w:after="120" w:line="280" w:lineRule="exact"/>
    </w:pPr>
    <w:rPr>
      <w:rFonts w:ascii="Franklin Gothic Medium" w:hAnsi="Franklin Gothic Medium"/>
      <w:color w:val="5C2946"/>
      <w:sz w:val="20"/>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TableSubHead">
    <w:name w:val="Table_SubHead"/>
    <w:basedOn w:val="TableHead"/>
    <w:uiPriority w:val="4"/>
    <w:rsid w:val="00FB0015"/>
    <w:rPr>
      <w:color w:val="5C2946"/>
    </w:rPr>
  </w:style>
  <w:style w:type="paragraph" w:styleId="TableofFigures">
    <w:name w:val="table of figures"/>
    <w:aliases w:val="APVMA_ToF"/>
    <w:basedOn w:val="TOC3"/>
    <w:uiPriority w:val="99"/>
    <w:pPr>
      <w:ind w:left="851" w:hanging="851"/>
    </w:pPr>
  </w:style>
  <w:style w:type="paragraph" w:customStyle="1" w:styleId="OddHeader">
    <w:name w:val="Odd_Header"/>
    <w:basedOn w:val="NormalText"/>
    <w:uiPriority w:val="4"/>
    <w:rsid w:val="00A35765"/>
    <w:pPr>
      <w:pBdr>
        <w:bottom w:val="single" w:sz="4" w:space="1" w:color="auto"/>
      </w:pBdr>
      <w:tabs>
        <w:tab w:val="right" w:pos="9072"/>
        <w:tab w:val="right" w:pos="9638"/>
      </w:tabs>
      <w:spacing w:before="0" w:after="0" w:line="200" w:lineRule="exact"/>
    </w:pPr>
    <w:rPr>
      <w:rFonts w:ascii="Franklin Gothic Medium" w:hAnsi="Franklin Gothic Medium"/>
      <w:bCs/>
      <w:color w:val="5C2946"/>
      <w:sz w:val="20"/>
      <w:szCs w:val="18"/>
    </w:rPr>
  </w:style>
  <w:style w:type="paragraph" w:customStyle="1" w:styleId="CoverTitle">
    <w:name w:val="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CoverSubtitle">
    <w:name w:val="Cover_Subtitle"/>
    <w:basedOn w:val="Normal"/>
    <w:uiPriority w:val="4"/>
    <w:qFormat/>
    <w:rsid w:val="008B550C"/>
    <w:pPr>
      <w:spacing w:before="120" w:line="340" w:lineRule="exact"/>
      <w:jc w:val="right"/>
    </w:pPr>
    <w:rPr>
      <w:rFonts w:ascii="Franklin Gothic Book" w:hAnsi="Franklin Gothic Book"/>
      <w:color w:val="353735" w:themeColor="text1"/>
      <w:sz w:val="32"/>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CoverSubtitle"/>
    <w:uiPriority w:val="4"/>
    <w:pPr>
      <w:spacing w:before="960"/>
    </w:pPr>
    <w:rPr>
      <w:color w:val="666666"/>
    </w:rPr>
  </w:style>
  <w:style w:type="paragraph" w:customStyle="1" w:styleId="APVMAAddress">
    <w:name w:val="APVMA_Address"/>
    <w:basedOn w:val="NormalText"/>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rPr>
  </w:style>
  <w:style w:type="paragraph" w:customStyle="1" w:styleId="AppendixH1">
    <w:name w:val="Appendix_H1"/>
    <w:basedOn w:val="PreliminariesH1"/>
    <w:next w:val="NormalText"/>
    <w:uiPriority w:val="4"/>
    <w:rsid w:val="002A3239"/>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PreliminariesH1">
    <w:name w:val="Preliminaries_H1"/>
    <w:basedOn w:val="Heading1"/>
    <w:next w:val="NormalText"/>
    <w:uiPriority w:val="4"/>
    <w:rsid w:val="008B550C"/>
    <w:rPr>
      <w:bCs/>
      <w:szCs w:val="30"/>
    </w:rPr>
  </w:style>
  <w:style w:type="paragraph" w:customStyle="1" w:styleId="PreliminariesH2">
    <w:name w:val="Preliminaries_H2"/>
    <w:basedOn w:val="Heading2"/>
    <w:next w:val="NormalText"/>
    <w:uiPriority w:val="4"/>
    <w:rsid w:val="008B550C"/>
    <w:pPr>
      <w:tabs>
        <w:tab w:val="num" w:pos="907"/>
      </w:tabs>
    </w:pPr>
  </w:style>
  <w:style w:type="paragraph" w:customStyle="1" w:styleId="PreliminariesH3">
    <w:name w:val="Preliminaries_H3"/>
    <w:basedOn w:val="Heading3"/>
    <w:uiPriority w:val="4"/>
    <w:rsid w:val="008B550C"/>
  </w:style>
  <w:style w:type="paragraph" w:customStyle="1" w:styleId="GlossaryRefH1">
    <w:name w:val="Glossary/Ref_H1"/>
    <w:basedOn w:val="PreliminariesH1"/>
    <w:uiPriority w:val="4"/>
    <w:rsid w:val="008B550C"/>
    <w:pPr>
      <w:spacing w:after="240"/>
    </w:pPr>
  </w:style>
  <w:style w:type="paragraph" w:customStyle="1" w:styleId="APVMAImage">
    <w:name w:val="APVMA_Image"/>
    <w:basedOn w:val="Normal"/>
    <w:uiPriority w:val="4"/>
    <w:pPr>
      <w:spacing w:before="240" w:after="240"/>
    </w:pPr>
  </w:style>
  <w:style w:type="paragraph" w:customStyle="1" w:styleId="ListAlpha">
    <w:name w:val="List_Alpha"/>
    <w:basedOn w:val="NormalText"/>
    <w:uiPriority w:val="4"/>
    <w:qFormat/>
    <w:pPr>
      <w:numPr>
        <w:numId w:val="4"/>
      </w:numPr>
      <w:spacing w:before="120" w:after="120"/>
    </w:pPr>
  </w:style>
  <w:style w:type="paragraph" w:customStyle="1" w:styleId="AppendixH2">
    <w:name w:val="Appendix_H2"/>
    <w:basedOn w:val="PreliminariesH2"/>
    <w:next w:val="NormalText"/>
    <w:uiPriority w:val="4"/>
    <w:rsid w:val="008B550C"/>
    <w:rPr>
      <w:bCs/>
    </w:rPr>
  </w:style>
  <w:style w:type="paragraph" w:customStyle="1" w:styleId="AppendixH3">
    <w:name w:val="Appendix_H3"/>
    <w:basedOn w:val="PreliminariesH3"/>
    <w:next w:val="NormalText"/>
    <w:uiPriority w:val="4"/>
    <w:rsid w:val="008B550C"/>
  </w:style>
  <w:style w:type="paragraph" w:customStyle="1" w:styleId="APVMABullet3">
    <w:name w:val="APVMA_Bullet3"/>
    <w:basedOn w:val="Bullet2"/>
    <w:uiPriority w:val="4"/>
    <w:pPr>
      <w:numPr>
        <w:numId w:val="3"/>
      </w:numPr>
      <w:spacing w:before="120"/>
      <w:ind w:left="1020" w:hanging="34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character" w:customStyle="1" w:styleId="Superscript">
    <w:name w:val="Superscript"/>
    <w:basedOn w:val="DefaultParagraphFont"/>
    <w:uiPriority w:val="1"/>
    <w:qFormat/>
    <w:rsid w:val="0041559F"/>
    <w:rPr>
      <w:vertAlign w:val="superscript"/>
    </w:rPr>
  </w:style>
  <w:style w:type="character" w:customStyle="1" w:styleId="APVMASubscript">
    <w:name w:val="APVMA_Subscript"/>
    <w:basedOn w:val="DefaultParagraphFont"/>
    <w:uiPriority w:val="1"/>
    <w:rsid w:val="00794B71"/>
    <w:rPr>
      <w:vertAlign w:val="subscript"/>
    </w:rPr>
  </w:style>
  <w:style w:type="character" w:customStyle="1" w:styleId="CommentTextChar">
    <w:name w:val="Comment Text Char"/>
    <w:basedOn w:val="DefaultParagraphFont"/>
    <w:link w:val="CommentText"/>
    <w:uiPriority w:val="4"/>
    <w:semiHidden/>
    <w:rsid w:val="00FB0015"/>
    <w:rPr>
      <w:rFonts w:ascii="Arial" w:hAnsi="Arial"/>
      <w:lang w:eastAsia="en-US"/>
    </w:rPr>
  </w:style>
  <w:style w:type="paragraph" w:customStyle="1" w:styleId="TOCH1">
    <w:name w:val="TOC H1"/>
    <w:basedOn w:val="TOAHeading"/>
    <w:uiPriority w:val="4"/>
    <w:rsid w:val="00CE7F45"/>
    <w:pPr>
      <w:spacing w:after="240"/>
    </w:pPr>
  </w:style>
  <w:style w:type="paragraph" w:customStyle="1" w:styleId="Coverdate">
    <w:name w:val="Cover date"/>
    <w:basedOn w:val="CoverSubtitle"/>
    <w:uiPriority w:val="4"/>
    <w:rsid w:val="008B550C"/>
    <w:pPr>
      <w:jc w:val="center"/>
    </w:pPr>
    <w:rPr>
      <w:sz w:val="28"/>
    </w:rPr>
  </w:style>
  <w:style w:type="paragraph" w:customStyle="1" w:styleId="Boxcaption">
    <w:name w:val="Box caption"/>
    <w:basedOn w:val="Caption"/>
    <w:uiPriority w:val="4"/>
    <w:rsid w:val="008B550C"/>
  </w:style>
  <w:style w:type="paragraph" w:customStyle="1" w:styleId="Boxtext">
    <w:name w:val="Box text"/>
    <w:basedOn w:val="TableText"/>
    <w:uiPriority w:val="4"/>
    <w:rsid w:val="00E33D53"/>
    <w:pPr>
      <w:pBdr>
        <w:top w:val="single" w:sz="4" w:space="1" w:color="auto"/>
        <w:bottom w:val="single" w:sz="4" w:space="1" w:color="auto"/>
      </w:pBdr>
      <w:spacing w:before="240" w:after="240" w:line="240" w:lineRule="exact"/>
    </w:pPr>
  </w:style>
  <w:style w:type="paragraph" w:styleId="CommentSubject">
    <w:name w:val="annotation subject"/>
    <w:basedOn w:val="CommentText"/>
    <w:next w:val="CommentText"/>
    <w:link w:val="CommentSubjectChar"/>
    <w:uiPriority w:val="99"/>
    <w:semiHidden/>
    <w:unhideWhenUsed/>
    <w:rsid w:val="0064579C"/>
    <w:pPr>
      <w:spacing w:before="100" w:after="100" w:line="240" w:lineRule="auto"/>
    </w:pPr>
    <w:rPr>
      <w:b/>
      <w:bCs/>
      <w:color w:val="1A1B1A" w:themeColor="text1" w:themeShade="80"/>
    </w:rPr>
  </w:style>
  <w:style w:type="character" w:customStyle="1" w:styleId="CommentSubjectChar">
    <w:name w:val="Comment Subject Char"/>
    <w:basedOn w:val="CommentTextChar"/>
    <w:link w:val="CommentSubject"/>
    <w:uiPriority w:val="99"/>
    <w:semiHidden/>
    <w:rsid w:val="0064579C"/>
    <w:rPr>
      <w:rFonts w:ascii="Arial" w:hAnsi="Arial"/>
      <w:b/>
      <w:bCs/>
      <w:color w:val="1A1B1A" w:themeColor="text1" w:themeShade="80"/>
      <w:lang w:eastAsia="en-US"/>
    </w:rPr>
  </w:style>
  <w:style w:type="paragraph" w:styleId="Revision">
    <w:name w:val="Revision"/>
    <w:hidden/>
    <w:uiPriority w:val="99"/>
    <w:semiHidden/>
    <w:rsid w:val="009E2AD6"/>
    <w:rPr>
      <w:rFonts w:ascii="Arial" w:hAnsi="Arial"/>
      <w:color w:val="1A1B1A" w:themeColor="text1" w:themeShade="80"/>
      <w:sz w:val="16"/>
      <w:szCs w:val="24"/>
      <w:lang w:eastAsia="en-US"/>
    </w:rPr>
  </w:style>
  <w:style w:type="paragraph" w:customStyle="1" w:styleId="Bulletendash">
    <w:name w:val="Bullet en dash"/>
    <w:basedOn w:val="Bullet2"/>
    <w:link w:val="BulletendashChar"/>
    <w:uiPriority w:val="4"/>
    <w:rsid w:val="00DC0AD7"/>
    <w:pPr>
      <w:spacing w:before="1440"/>
      <w:jc w:val="center"/>
    </w:pPr>
    <w:rPr>
      <w:i/>
      <w:noProof/>
      <w:sz w:val="28"/>
      <w:szCs w:val="28"/>
      <w:lang w:eastAsia="en-AU"/>
    </w:rPr>
  </w:style>
  <w:style w:type="character" w:customStyle="1" w:styleId="NormalTextChar">
    <w:name w:val="Normal Text Char"/>
    <w:basedOn w:val="DefaultParagraphFont"/>
    <w:link w:val="NormalText"/>
    <w:rsid w:val="00DC0AD7"/>
    <w:rPr>
      <w:rFonts w:ascii="Arial" w:hAnsi="Arial" w:cs="Arial"/>
      <w:color w:val="1A1B1A" w:themeColor="text1" w:themeShade="80"/>
      <w:kern w:val="20"/>
      <w:sz w:val="19"/>
      <w:szCs w:val="24"/>
      <w:u w:color="000000"/>
      <w:lang w:eastAsia="en-US"/>
    </w:rPr>
  </w:style>
  <w:style w:type="character" w:customStyle="1" w:styleId="Bullet1Char">
    <w:name w:val="Bullet1 Char"/>
    <w:basedOn w:val="NormalTextChar"/>
    <w:link w:val="Bullet1"/>
    <w:uiPriority w:val="4"/>
    <w:rsid w:val="00DC0AD7"/>
    <w:rPr>
      <w:rFonts w:ascii="Arial" w:hAnsi="Arial" w:cs="Arial"/>
      <w:color w:val="1A1B1A" w:themeColor="text1" w:themeShade="80"/>
      <w:kern w:val="20"/>
      <w:sz w:val="19"/>
      <w:szCs w:val="24"/>
      <w:u w:color="000000"/>
      <w:lang w:eastAsia="en-US"/>
    </w:rPr>
  </w:style>
  <w:style w:type="character" w:customStyle="1" w:styleId="Bullet2Char">
    <w:name w:val="Bullet2 Char"/>
    <w:basedOn w:val="Bullet1Char"/>
    <w:link w:val="Bullet2"/>
    <w:uiPriority w:val="4"/>
    <w:rsid w:val="002C1082"/>
    <w:rPr>
      <w:rFonts w:ascii="Arial" w:hAnsi="Arial" w:cs="Arial"/>
      <w:color w:val="1A1B1A" w:themeColor="text1" w:themeShade="80"/>
      <w:kern w:val="20"/>
      <w:sz w:val="19"/>
      <w:szCs w:val="24"/>
      <w:u w:color="000000"/>
      <w:lang w:eastAsia="en-US"/>
    </w:rPr>
  </w:style>
  <w:style w:type="character" w:customStyle="1" w:styleId="BulletendashChar">
    <w:name w:val="Bullet en dash Char"/>
    <w:basedOn w:val="Bullet2Char"/>
    <w:link w:val="Bulletendash"/>
    <w:uiPriority w:val="4"/>
    <w:rsid w:val="00DC0AD7"/>
    <w:rPr>
      <w:rFonts w:ascii="Arial" w:hAnsi="Arial" w:cs="Arial"/>
      <w:i/>
      <w:noProof/>
      <w:color w:val="1A1B1A" w:themeColor="text1" w:themeShade="80"/>
      <w:kern w:val="20"/>
      <w:sz w:val="28"/>
      <w:szCs w:val="28"/>
      <w:u w:color="000000"/>
      <w:lang w:eastAsia="en-US"/>
    </w:rPr>
  </w:style>
  <w:style w:type="paragraph" w:customStyle="1" w:styleId="Figurecaption">
    <w:name w:val="Figure caption"/>
    <w:basedOn w:val="Caption"/>
    <w:link w:val="FigurecaptionChar"/>
    <w:uiPriority w:val="4"/>
    <w:qFormat/>
    <w:rsid w:val="00412703"/>
  </w:style>
  <w:style w:type="character" w:customStyle="1" w:styleId="CaptionChar">
    <w:name w:val="Caption Char"/>
    <w:aliases w:val="Table caption Char"/>
    <w:basedOn w:val="DefaultParagraphFont"/>
    <w:link w:val="Caption"/>
    <w:uiPriority w:val="4"/>
    <w:rsid w:val="00412703"/>
    <w:rPr>
      <w:rFonts w:ascii="Franklin Gothic Medium" w:hAnsi="Franklin Gothic Medium"/>
      <w:color w:val="5C2946"/>
      <w:szCs w:val="24"/>
      <w:lang w:eastAsia="en-US"/>
    </w:rPr>
  </w:style>
  <w:style w:type="character" w:customStyle="1" w:styleId="FigurecaptionChar">
    <w:name w:val="Figure caption Char"/>
    <w:basedOn w:val="CaptionChar"/>
    <w:link w:val="Figurecaption"/>
    <w:uiPriority w:val="4"/>
    <w:rsid w:val="00412703"/>
    <w:rPr>
      <w:rFonts w:ascii="Franklin Gothic Medium" w:hAnsi="Franklin Gothic Medium"/>
      <w:color w:val="5C2946"/>
      <w:szCs w:val="24"/>
      <w:lang w:eastAsia="en-US"/>
    </w:rPr>
  </w:style>
  <w:style w:type="character" w:customStyle="1" w:styleId="FootnoteTextChar">
    <w:name w:val="Footnote Text Char"/>
    <w:aliases w:val="APVMA_Footnote Char"/>
    <w:basedOn w:val="DefaultParagraphFont"/>
    <w:link w:val="FootnoteText"/>
    <w:uiPriority w:val="99"/>
    <w:semiHidden/>
    <w:rsid w:val="00FA2447"/>
    <w:rPr>
      <w:rFonts w:ascii="Arial" w:hAnsi="Arial" w:cs="Arial"/>
      <w:color w:val="1A1B1A" w:themeColor="text1" w:themeShade="80"/>
      <w:spacing w:val="6"/>
      <w:kern w:val="20"/>
      <w:sz w:val="16"/>
      <w:u w:color="000000"/>
      <w:lang w:eastAsia="en-US"/>
    </w:rPr>
  </w:style>
  <w:style w:type="paragraph" w:styleId="ListParagraph">
    <w:name w:val="List Paragraph"/>
    <w:basedOn w:val="Normal"/>
    <w:uiPriority w:val="34"/>
    <w:qFormat/>
    <w:rsid w:val="00F03EB6"/>
    <w:pPr>
      <w:spacing w:before="0" w:after="160" w:line="259" w:lineRule="auto"/>
      <w:ind w:left="720"/>
      <w:contextualSpacing/>
    </w:pPr>
    <w:rPr>
      <w:rFonts w:asciiTheme="minorHAnsi" w:eastAsiaTheme="minorHAnsi" w:hAnsiTheme="minorHAnsi" w:cstheme="minorBidi"/>
      <w:color w:val="auto"/>
      <w:kern w:val="2"/>
      <w:sz w:val="22"/>
      <w:szCs w:val="22"/>
      <w14:ligatures w14:val="standardContextual"/>
    </w:rPr>
  </w:style>
  <w:style w:type="character" w:styleId="UnresolvedMention">
    <w:name w:val="Unresolved Mention"/>
    <w:basedOn w:val="DefaultParagraphFont"/>
    <w:uiPriority w:val="99"/>
    <w:semiHidden/>
    <w:unhideWhenUsed/>
    <w:rsid w:val="00F03EB6"/>
    <w:rPr>
      <w:color w:val="605E5C"/>
      <w:shd w:val="clear" w:color="auto" w:fill="E1DFDD"/>
    </w:rPr>
  </w:style>
  <w:style w:type="paragraph" w:customStyle="1" w:styleId="pf0">
    <w:name w:val="pf0"/>
    <w:basedOn w:val="Normal"/>
    <w:rsid w:val="005F0C3F"/>
    <w:pPr>
      <w:spacing w:beforeAutospacing="1" w:afterAutospacing="1" w:line="240" w:lineRule="auto"/>
    </w:pPr>
    <w:rPr>
      <w:rFonts w:ascii="Times New Roman" w:hAnsi="Times New Roman"/>
      <w:color w:val="auto"/>
      <w:sz w:val="24"/>
      <w:lang w:eastAsia="en-AU"/>
    </w:rPr>
  </w:style>
  <w:style w:type="paragraph" w:customStyle="1" w:styleId="APVMAText">
    <w:name w:val="APVMA_Text"/>
    <w:basedOn w:val="Normal"/>
    <w:link w:val="APVMATextChar"/>
    <w:rsid w:val="00AD696C"/>
    <w:pPr>
      <w:suppressAutoHyphens/>
      <w:spacing w:before="240" w:after="240" w:line="280" w:lineRule="exact"/>
    </w:pPr>
    <w:rPr>
      <w:rFonts w:cs="Arial"/>
      <w:color w:val="auto"/>
      <w:sz w:val="20"/>
      <w:u w:color="000000"/>
    </w:rPr>
  </w:style>
  <w:style w:type="character" w:customStyle="1" w:styleId="APVMATextChar">
    <w:name w:val="APVMA_Text Char"/>
    <w:basedOn w:val="DefaultParagraphFont"/>
    <w:link w:val="APVMAText"/>
    <w:rsid w:val="00AD696C"/>
    <w:rPr>
      <w:rFonts w:ascii="Arial" w:hAnsi="Arial" w:cs="Arial"/>
      <w:szCs w:val="24"/>
      <w:u w:color="000000"/>
      <w:lang w:eastAsia="en-US"/>
    </w:rPr>
  </w:style>
  <w:style w:type="numbering" w:customStyle="1" w:styleId="H2Listnumber">
    <w:name w:val="H2_List_number"/>
    <w:basedOn w:val="NoList"/>
    <w:uiPriority w:val="99"/>
    <w:rsid w:val="003643B9"/>
    <w:pPr>
      <w:numPr>
        <w:numId w:val="7"/>
      </w:numPr>
    </w:pPr>
  </w:style>
  <w:style w:type="numbering" w:customStyle="1" w:styleId="H3Listnumber">
    <w:name w:val="H3_List_number"/>
    <w:basedOn w:val="NoList"/>
    <w:uiPriority w:val="99"/>
    <w:rsid w:val="003643B9"/>
  </w:style>
  <w:style w:type="numbering" w:customStyle="1" w:styleId="H2">
    <w:name w:val="H2"/>
    <w:aliases w:val="list number"/>
    <w:basedOn w:val="NoList"/>
    <w:uiPriority w:val="99"/>
    <w:rsid w:val="008344A3"/>
    <w:pPr>
      <w:numPr>
        <w:numId w:val="8"/>
      </w:numPr>
    </w:pPr>
  </w:style>
  <w:style w:type="numbering" w:customStyle="1" w:styleId="Romannumerallist">
    <w:name w:val="Roman numeral list"/>
    <w:uiPriority w:val="99"/>
    <w:rsid w:val="00943360"/>
    <w:pPr>
      <w:numPr>
        <w:numId w:val="10"/>
      </w:numPr>
    </w:pPr>
  </w:style>
  <w:style w:type="paragraph" w:styleId="EndnoteText">
    <w:name w:val="endnote text"/>
    <w:basedOn w:val="Normal"/>
    <w:link w:val="EndnoteTextChar"/>
    <w:uiPriority w:val="99"/>
    <w:semiHidden/>
    <w:unhideWhenUsed/>
    <w:rsid w:val="00BA6FA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BA6FA3"/>
    <w:rPr>
      <w:rFonts w:ascii="Arial" w:hAnsi="Arial"/>
      <w:color w:val="1A1B1A" w:themeColor="text1" w:themeShade="80"/>
      <w:lang w:eastAsia="en-US"/>
    </w:rPr>
  </w:style>
  <w:style w:type="character" w:styleId="EndnoteReference">
    <w:name w:val="endnote reference"/>
    <w:basedOn w:val="DefaultParagraphFont"/>
    <w:uiPriority w:val="99"/>
    <w:semiHidden/>
    <w:unhideWhenUsed/>
    <w:rsid w:val="00BA6FA3"/>
    <w:rPr>
      <w:vertAlign w:val="superscript"/>
    </w:rPr>
  </w:style>
  <w:style w:type="paragraph" w:styleId="Bibliography">
    <w:name w:val="Bibliography"/>
    <w:basedOn w:val="Normal"/>
    <w:next w:val="Normal"/>
    <w:uiPriority w:val="37"/>
    <w:unhideWhenUsed/>
    <w:rsid w:val="00931598"/>
  </w:style>
  <w:style w:type="character" w:customStyle="1" w:styleId="Heading1Char">
    <w:name w:val="Heading 1 Char"/>
    <w:aliases w:val="APVMA_H1 Char"/>
    <w:basedOn w:val="DefaultParagraphFont"/>
    <w:link w:val="Heading1"/>
    <w:rsid w:val="00402E0E"/>
    <w:rPr>
      <w:rFonts w:ascii="Franklin Gothic Medium" w:hAnsi="Franklin Gothic Medium" w:cs="Arial"/>
      <w:color w:val="5C2946"/>
      <w:kern w:val="20"/>
      <w:sz w:val="32"/>
      <w:szCs w:val="32"/>
      <w:u w:color="000000"/>
      <w:lang w:eastAsia="en-US"/>
    </w:rPr>
  </w:style>
  <w:style w:type="paragraph" w:customStyle="1" w:styleId="APVMATableText">
    <w:name w:val="APVMA_TableText"/>
    <w:basedOn w:val="NormalText"/>
    <w:qFormat/>
    <w:rsid w:val="00FE7203"/>
    <w:pPr>
      <w:spacing w:before="120" w:after="120" w:line="210" w:lineRule="exact"/>
    </w:pPr>
    <w:rPr>
      <w:color w:val="auto"/>
      <w:spacing w:val="6"/>
      <w:sz w:val="17"/>
    </w:rPr>
  </w:style>
  <w:style w:type="paragraph" w:customStyle="1" w:styleId="APVMATableHead">
    <w:name w:val="APVMA_TableHead"/>
    <w:basedOn w:val="APVMATableText"/>
    <w:qFormat/>
    <w:rsid w:val="00FE7203"/>
    <w:pPr>
      <w:keepNext/>
      <w:keepLines/>
      <w:spacing w:before="60" w:after="60" w:line="240" w:lineRule="exact"/>
    </w:pPr>
    <w:rPr>
      <w:rFonts w:ascii="Franklin Gothic Medium" w:hAnsi="Franklin Gothic Medium"/>
      <w:bCs/>
      <w:color w:val="F8F8F8"/>
      <w:sz w:val="18"/>
      <w:lang w:val="en-GB"/>
    </w:rPr>
  </w:style>
  <w:style w:type="paragraph" w:customStyle="1" w:styleId="APVMAAppendixH1">
    <w:name w:val="APVMA_Appendix_H1"/>
    <w:basedOn w:val="Normal"/>
    <w:next w:val="NormalText"/>
    <w:uiPriority w:val="4"/>
    <w:rsid w:val="00FE7203"/>
    <w:pPr>
      <w:keepNext/>
      <w:keepLines/>
      <w:pageBreakBefore/>
      <w:tabs>
        <w:tab w:val="left" w:pos="2058"/>
      </w:tabs>
      <w:suppressAutoHyphens/>
      <w:spacing w:before="0" w:after="80" w:line="360" w:lineRule="exact"/>
      <w:ind w:left="2044" w:hanging="2044"/>
      <w:outlineLvl w:val="0"/>
    </w:pPr>
    <w:rPr>
      <w:rFonts w:ascii="Franklin Gothic Medium" w:hAnsi="Franklin Gothic Medium" w:cs="Arial"/>
      <w:bCs/>
      <w:color w:val="00747A" w:themeColor="background2"/>
      <w:kern w:val="20"/>
      <w:sz w:val="32"/>
      <w:szCs w:val="30"/>
      <w:u w:color="000000"/>
    </w:rPr>
  </w:style>
  <w:style w:type="numbering" w:customStyle="1" w:styleId="Style1">
    <w:name w:val="Style1"/>
    <w:uiPriority w:val="99"/>
    <w:rsid w:val="00A90B99"/>
    <w:pPr>
      <w:numPr>
        <w:numId w:val="12"/>
      </w:numPr>
    </w:pPr>
  </w:style>
  <w:style w:type="numbering" w:customStyle="1" w:styleId="Style2">
    <w:name w:val="Style2"/>
    <w:uiPriority w:val="99"/>
    <w:rsid w:val="00017E77"/>
    <w:pPr>
      <w:numPr>
        <w:numId w:val="13"/>
      </w:numPr>
    </w:pPr>
  </w:style>
  <w:style w:type="numbering" w:customStyle="1" w:styleId="Style3">
    <w:name w:val="Style3"/>
    <w:uiPriority w:val="99"/>
    <w:rsid w:val="00017E77"/>
    <w:pPr>
      <w:numPr>
        <w:numId w:val="14"/>
      </w:numPr>
    </w:pPr>
  </w:style>
  <w:style w:type="numbering" w:customStyle="1" w:styleId="Style4">
    <w:name w:val="Style4"/>
    <w:uiPriority w:val="99"/>
    <w:rsid w:val="00017E77"/>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012107">
      <w:bodyDiv w:val="1"/>
      <w:marLeft w:val="0"/>
      <w:marRight w:val="0"/>
      <w:marTop w:val="0"/>
      <w:marBottom w:val="0"/>
      <w:divBdr>
        <w:top w:val="none" w:sz="0" w:space="0" w:color="auto"/>
        <w:left w:val="none" w:sz="0" w:space="0" w:color="auto"/>
        <w:bottom w:val="none" w:sz="0" w:space="0" w:color="auto"/>
        <w:right w:val="none" w:sz="0" w:space="0" w:color="auto"/>
      </w:divBdr>
    </w:div>
    <w:div w:id="644942303">
      <w:bodyDiv w:val="1"/>
      <w:marLeft w:val="0"/>
      <w:marRight w:val="0"/>
      <w:marTop w:val="0"/>
      <w:marBottom w:val="0"/>
      <w:divBdr>
        <w:top w:val="none" w:sz="0" w:space="0" w:color="auto"/>
        <w:left w:val="none" w:sz="0" w:space="0" w:color="auto"/>
        <w:bottom w:val="none" w:sz="0" w:space="0" w:color="auto"/>
        <w:right w:val="none" w:sz="0" w:space="0" w:color="auto"/>
      </w:divBdr>
    </w:div>
    <w:div w:id="706108022">
      <w:bodyDiv w:val="1"/>
      <w:marLeft w:val="0"/>
      <w:marRight w:val="0"/>
      <w:marTop w:val="0"/>
      <w:marBottom w:val="0"/>
      <w:divBdr>
        <w:top w:val="none" w:sz="0" w:space="0" w:color="auto"/>
        <w:left w:val="none" w:sz="0" w:space="0" w:color="auto"/>
        <w:bottom w:val="none" w:sz="0" w:space="0" w:color="auto"/>
        <w:right w:val="none" w:sz="0" w:space="0" w:color="auto"/>
      </w:divBdr>
    </w:div>
    <w:div w:id="855389249">
      <w:bodyDiv w:val="1"/>
      <w:marLeft w:val="0"/>
      <w:marRight w:val="0"/>
      <w:marTop w:val="0"/>
      <w:marBottom w:val="0"/>
      <w:divBdr>
        <w:top w:val="none" w:sz="0" w:space="0" w:color="auto"/>
        <w:left w:val="none" w:sz="0" w:space="0" w:color="auto"/>
        <w:bottom w:val="none" w:sz="0" w:space="0" w:color="auto"/>
        <w:right w:val="none" w:sz="0" w:space="0" w:color="auto"/>
      </w:divBdr>
    </w:div>
    <w:div w:id="900601549">
      <w:bodyDiv w:val="1"/>
      <w:marLeft w:val="0"/>
      <w:marRight w:val="0"/>
      <w:marTop w:val="0"/>
      <w:marBottom w:val="0"/>
      <w:divBdr>
        <w:top w:val="none" w:sz="0" w:space="0" w:color="auto"/>
        <w:left w:val="none" w:sz="0" w:space="0" w:color="auto"/>
        <w:bottom w:val="none" w:sz="0" w:space="0" w:color="auto"/>
        <w:right w:val="none" w:sz="0" w:space="0" w:color="auto"/>
      </w:divBdr>
    </w:div>
    <w:div w:id="903174101">
      <w:bodyDiv w:val="1"/>
      <w:marLeft w:val="0"/>
      <w:marRight w:val="0"/>
      <w:marTop w:val="0"/>
      <w:marBottom w:val="0"/>
      <w:divBdr>
        <w:top w:val="none" w:sz="0" w:space="0" w:color="auto"/>
        <w:left w:val="none" w:sz="0" w:space="0" w:color="auto"/>
        <w:bottom w:val="none" w:sz="0" w:space="0" w:color="auto"/>
        <w:right w:val="none" w:sz="0" w:space="0" w:color="auto"/>
      </w:divBdr>
    </w:div>
    <w:div w:id="1034310994">
      <w:bodyDiv w:val="1"/>
      <w:marLeft w:val="0"/>
      <w:marRight w:val="0"/>
      <w:marTop w:val="0"/>
      <w:marBottom w:val="0"/>
      <w:divBdr>
        <w:top w:val="none" w:sz="0" w:space="0" w:color="auto"/>
        <w:left w:val="none" w:sz="0" w:space="0" w:color="auto"/>
        <w:bottom w:val="none" w:sz="0" w:space="0" w:color="auto"/>
        <w:right w:val="none" w:sz="0" w:space="0" w:color="auto"/>
      </w:divBdr>
    </w:div>
    <w:div w:id="1160999207">
      <w:bodyDiv w:val="1"/>
      <w:marLeft w:val="0"/>
      <w:marRight w:val="0"/>
      <w:marTop w:val="0"/>
      <w:marBottom w:val="0"/>
      <w:divBdr>
        <w:top w:val="none" w:sz="0" w:space="0" w:color="auto"/>
        <w:left w:val="none" w:sz="0" w:space="0" w:color="auto"/>
        <w:bottom w:val="none" w:sz="0" w:space="0" w:color="auto"/>
        <w:right w:val="none" w:sz="0" w:space="0" w:color="auto"/>
      </w:divBdr>
    </w:div>
    <w:div w:id="1320765746">
      <w:bodyDiv w:val="1"/>
      <w:marLeft w:val="0"/>
      <w:marRight w:val="0"/>
      <w:marTop w:val="0"/>
      <w:marBottom w:val="0"/>
      <w:divBdr>
        <w:top w:val="none" w:sz="0" w:space="0" w:color="auto"/>
        <w:left w:val="none" w:sz="0" w:space="0" w:color="auto"/>
        <w:bottom w:val="none" w:sz="0" w:space="0" w:color="auto"/>
        <w:right w:val="none" w:sz="0" w:space="0" w:color="auto"/>
      </w:divBdr>
    </w:div>
    <w:div w:id="1481728369">
      <w:bodyDiv w:val="1"/>
      <w:marLeft w:val="0"/>
      <w:marRight w:val="0"/>
      <w:marTop w:val="0"/>
      <w:marBottom w:val="0"/>
      <w:divBdr>
        <w:top w:val="none" w:sz="0" w:space="0" w:color="auto"/>
        <w:left w:val="none" w:sz="0" w:space="0" w:color="auto"/>
        <w:bottom w:val="none" w:sz="0" w:space="0" w:color="auto"/>
        <w:right w:val="none" w:sz="0" w:space="0" w:color="auto"/>
      </w:divBdr>
    </w:div>
    <w:div w:id="1675448670">
      <w:bodyDiv w:val="1"/>
      <w:marLeft w:val="0"/>
      <w:marRight w:val="0"/>
      <w:marTop w:val="0"/>
      <w:marBottom w:val="0"/>
      <w:divBdr>
        <w:top w:val="none" w:sz="0" w:space="0" w:color="auto"/>
        <w:left w:val="none" w:sz="0" w:space="0" w:color="auto"/>
        <w:bottom w:val="none" w:sz="0" w:space="0" w:color="auto"/>
        <w:right w:val="none" w:sz="0" w:space="0" w:color="auto"/>
      </w:divBdr>
    </w:div>
    <w:div w:id="1771899769">
      <w:bodyDiv w:val="1"/>
      <w:marLeft w:val="0"/>
      <w:marRight w:val="0"/>
      <w:marTop w:val="0"/>
      <w:marBottom w:val="0"/>
      <w:divBdr>
        <w:top w:val="none" w:sz="0" w:space="0" w:color="auto"/>
        <w:left w:val="none" w:sz="0" w:space="0" w:color="auto"/>
        <w:bottom w:val="none" w:sz="0" w:space="0" w:color="auto"/>
        <w:right w:val="none" w:sz="0" w:space="0" w:color="auto"/>
      </w:divBdr>
    </w:div>
    <w:div w:id="1969310439">
      <w:bodyDiv w:val="1"/>
      <w:marLeft w:val="0"/>
      <w:marRight w:val="0"/>
      <w:marTop w:val="0"/>
      <w:marBottom w:val="0"/>
      <w:divBdr>
        <w:top w:val="none" w:sz="0" w:space="0" w:color="auto"/>
        <w:left w:val="none" w:sz="0" w:space="0" w:color="auto"/>
        <w:bottom w:val="none" w:sz="0" w:space="0" w:color="auto"/>
        <w:right w:val="none" w:sz="0" w:space="0" w:color="auto"/>
      </w:divBdr>
    </w:div>
    <w:div w:id="198877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reativecommons.org/licenses/by/4.0/" TargetMode="External"/><Relationship Id="rId18" Type="http://schemas.openxmlformats.org/officeDocument/2006/relationships/header" Target="header1.xml"/><Relationship Id="rId26" Type="http://schemas.openxmlformats.org/officeDocument/2006/relationships/hyperlink" Target="https://apvma.gov.au/node/401" TargetMode="External"/><Relationship Id="rId3" Type="http://schemas.openxmlformats.org/officeDocument/2006/relationships/numbering" Target="numbering.xml"/><Relationship Id="rId21" Type="http://schemas.openxmlformats.org/officeDocument/2006/relationships/hyperlink" Target="https://apvma.gov.au/node/72856"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apvma.gov.au" TargetMode="External"/><Relationship Id="rId25" Type="http://schemas.openxmlformats.org/officeDocument/2006/relationships/hyperlink" Target="https://apvma.gov.au/node/633"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ommunications@apvma.gov.au" TargetMode="External"/><Relationship Id="rId20" Type="http://schemas.openxmlformats.org/officeDocument/2006/relationships/footer" Target="footer1.xml"/><Relationship Id="rId29" Type="http://schemas.openxmlformats.org/officeDocument/2006/relationships/hyperlink" Target="https://www.fda.gov/regulatory-information/search-fda-guidance-documents/cvm-gfi-123-development-data-supporting-approval-nsaids-use-animal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3.xml"/><Relationship Id="rId32"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yperlink" Target="https://www.pmc.gov.au/honours-and-symbols/commonwealth-coat-arms" TargetMode="External"/><Relationship Id="rId23" Type="http://schemas.openxmlformats.org/officeDocument/2006/relationships/hyperlink" Target="file:///C:\Users\Njeffery\Objective\edrms.nra.local-8008\Njeffery\Objects\enquiries@apvma.gov.au" TargetMode="External"/><Relationship Id="rId28" Type="http://schemas.openxmlformats.org/officeDocument/2006/relationships/hyperlink" Target="https://www.ema.europa.eu/en/conduct-efficacy-studies-non-steroidal-anti-inflammatory-drugs-nsaids-scientific-guideline" TargetMode="External"/><Relationship Id="rId10" Type="http://schemas.openxmlformats.org/officeDocument/2006/relationships/image" Target="media/image2.png"/><Relationship Id="rId19" Type="http://schemas.openxmlformats.org/officeDocument/2006/relationships/header" Target="header2.xml"/><Relationship Id="rId31"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reativecommons.org/licenses/by/4.0/legalcode" TargetMode="External"/><Relationship Id="rId22" Type="http://schemas.openxmlformats.org/officeDocument/2006/relationships/hyperlink" Target="https://apvma.gov.au/node/72856" TargetMode="External"/><Relationship Id="rId27" Type="http://schemas.openxmlformats.org/officeDocument/2006/relationships/header" Target="header4.xml"/><Relationship Id="rId30" Type="http://schemas.openxmlformats.org/officeDocument/2006/relationships/hyperlink" Target="https://www.apvma.gov.au/registrations-and-permits/data-guidelines/veterinary-data-guidelines/efficacy-target-animal-safety" TargetMode="Externa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AVPMA%20Publications%20(7).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A3386764</value>
    </field>
    <field name="Objective-Title">
      <value order="0">DRAFT APVMA Guideline for the evaluation of the efficacy and safety of NSAIDs - Public Consultation Copy V2 - clean copy</value>
    </field>
    <field name="Objective-Description">
      <value order="0"/>
    </field>
    <field name="Objective-CreationStamp">
      <value order="0">2024-10-22T03:58:45Z</value>
    </field>
    <field name="Objective-IsApproved">
      <value order="0">false</value>
    </field>
    <field name="Objective-IsPublished">
      <value order="0">false</value>
    </field>
    <field name="Objective-DatePublished">
      <value order="0"/>
    </field>
    <field name="Objective-ModificationStamp">
      <value order="0">2024-10-31T05:05:02Z</value>
    </field>
    <field name="Objective-Owner">
      <value order="0">Nathan Jeffery</value>
    </field>
    <field name="Objective-Path">
      <value order="0">APVMA:SCIENTIFIC ASSESSMENT:Scientific Assessment - Efficacy:Scientific Assessment - Efficacy - Projects:Ethicals Guideline Development</value>
    </field>
    <field name="Objective-Parent">
      <value order="0">Ethicals Guideline Development</value>
    </field>
    <field name="Objective-State">
      <value order="0">Being Edited</value>
    </field>
    <field name="Objective-VersionId">
      <value order="0">vA5079158</value>
    </field>
    <field name="Objective-Version">
      <value order="0">1.5</value>
    </field>
    <field name="Objective-VersionNumber">
      <value order="0">6</value>
    </field>
    <field name="Objective-VersionComment">
      <value order="0"/>
    </field>
    <field name="Objective-FileNumber">
      <value order="0">2023\2418</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9AF688D9-8404-4CC3-8234-074CE152F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AVPMA Publications (7).dotx</Template>
  <TotalTime>1</TotalTime>
  <Pages>20</Pages>
  <Words>6074</Words>
  <Characters>37796</Characters>
  <Application>Microsoft Office Word</Application>
  <DocSecurity>0</DocSecurity>
  <Lines>590</Lines>
  <Paragraphs>302</Paragraphs>
  <ScaleCrop>false</ScaleCrop>
  <HeadingPairs>
    <vt:vector size="2" baseType="variant">
      <vt:variant>
        <vt:lpstr>Title</vt:lpstr>
      </vt:variant>
      <vt:variant>
        <vt:i4>1</vt:i4>
      </vt:variant>
    </vt:vector>
  </HeadingPairs>
  <TitlesOfParts>
    <vt:vector size="1" baseType="lpstr">
      <vt:lpstr>APVMA Publication Template</vt:lpstr>
    </vt:vector>
  </TitlesOfParts>
  <Manager/>
  <Company>Australian Pesticides and Veterinary Medicines Authority</Company>
  <LinksUpToDate>false</LinksUpToDate>
  <CharactersWithSpaces>43568</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 Guideline for public consultation</dc:title>
  <dc:subject/>
  <dc:creator>APVMA</dc:creator>
  <cp:keywords/>
  <dc:description/>
  <cp:lastModifiedBy>GRIFFIN, Jordanna</cp:lastModifiedBy>
  <cp:revision>2</cp:revision>
  <cp:lastPrinted>2020-11-12T03:52:00Z</cp:lastPrinted>
  <dcterms:created xsi:type="dcterms:W3CDTF">2024-10-31T05:23:00Z</dcterms:created>
  <dcterms:modified xsi:type="dcterms:W3CDTF">2024-10-31T05:23:00Z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A3386764</vt:lpwstr>
  </property>
  <property fmtid="{D5CDD505-2E9C-101B-9397-08002B2CF9AE}" pid="4" name="Objective-Title">
    <vt:lpwstr>DRAFT APVMA Guideline for the evaluation of the efficacy and safety of NSAIDs - Public Consultation Copy V2 - clean copy</vt:lpwstr>
  </property>
  <property fmtid="{D5CDD505-2E9C-101B-9397-08002B2CF9AE}" pid="5" name="Objective-Comment">
    <vt:lpwstr/>
  </property>
  <property fmtid="{D5CDD505-2E9C-101B-9397-08002B2CF9AE}" pid="6" name="Objective-CreationStamp">
    <vt:filetime>2024-10-22T03:58:45Z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2024-10-31T05:05:02Z</vt:filetime>
  </property>
  <property fmtid="{D5CDD505-2E9C-101B-9397-08002B2CF9AE}" pid="11" name="Objective-Owner">
    <vt:lpwstr>Nathan Jeffery</vt:lpwstr>
  </property>
  <property fmtid="{D5CDD505-2E9C-101B-9397-08002B2CF9AE}" pid="12" name="Objective-Path">
    <vt:lpwstr>APVMA:SCIENTIFIC ASSESSMENT:Scientific Assessment - Efficacy:Scientific Assessment - Efficacy - Projects:Ethicals Guideline Development:</vt:lpwstr>
  </property>
  <property fmtid="{D5CDD505-2E9C-101B-9397-08002B2CF9AE}" pid="13" name="Objective-Parent">
    <vt:lpwstr>Ethicals Guideline Development</vt:lpwstr>
  </property>
  <property fmtid="{D5CDD505-2E9C-101B-9397-08002B2CF9AE}" pid="14" name="Objective-State">
    <vt:lpwstr>Being Edited</vt:lpwstr>
  </property>
  <property fmtid="{D5CDD505-2E9C-101B-9397-08002B2CF9AE}" pid="15" name="Objective-Version">
    <vt:lpwstr>1.5</vt:lpwstr>
  </property>
  <property fmtid="{D5CDD505-2E9C-101B-9397-08002B2CF9AE}" pid="16" name="Objective-VersionNumber">
    <vt:r8>6</vt:r8>
  </property>
  <property fmtid="{D5CDD505-2E9C-101B-9397-08002B2CF9AE}" pid="17" name="Objective-VersionComment">
    <vt:lpwstr/>
  </property>
  <property fmtid="{D5CDD505-2E9C-101B-9397-08002B2CF9AE}" pid="18" name="Objective-FileNumber">
    <vt:lpwstr>2023\2418</vt:lpwstr>
  </property>
  <property fmtid="{D5CDD505-2E9C-101B-9397-08002B2CF9AE}" pid="19" name="Objective-Classification">
    <vt:lpwstr>[Inherited - OFFICIAL:Sensitive, Legislative-Secrecy]</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vA5079158</vt:lpwstr>
  </property>
  <property fmtid="{D5CDD505-2E9C-101B-9397-08002B2CF9AE}" pid="23" name="Objective-Connect Creator">
    <vt:lpwstr/>
  </property>
</Properties>
</file>