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18CED" w14:textId="61444FD9" w:rsidR="002E20AC" w:rsidRPr="00427F9C" w:rsidRDefault="005D0823" w:rsidP="00190AE0">
      <w:r w:rsidRPr="00427F9C">
        <w:rPr>
          <w:noProof/>
        </w:rPr>
        <w:drawing>
          <wp:anchor distT="0" distB="1440180" distL="114300" distR="114300" simplePos="0" relativeHeight="251654144" behindDoc="0" locked="0" layoutInCell="1" allowOverlap="1" wp14:anchorId="6CF7D859" wp14:editId="4E866B8A">
            <wp:simplePos x="0" y="0"/>
            <wp:positionH relativeFrom="column">
              <wp:posOffset>2500630</wp:posOffset>
            </wp:positionH>
            <wp:positionV relativeFrom="page">
              <wp:posOffset>723900</wp:posOffset>
            </wp:positionV>
            <wp:extent cx="1829435" cy="1104900"/>
            <wp:effectExtent l="0" t="0" r="0" b="0"/>
            <wp:wrapThrough wrapText="bothSides">
              <wp:wrapPolygon edited="0">
                <wp:start x="9897" y="0"/>
                <wp:lineTo x="7422" y="1862"/>
                <wp:lineTo x="5848" y="4469"/>
                <wp:lineTo x="5848" y="5959"/>
                <wp:lineTo x="1574" y="11917"/>
                <wp:lineTo x="0" y="14524"/>
                <wp:lineTo x="0" y="15269"/>
                <wp:lineTo x="1574" y="17876"/>
                <wp:lineTo x="0" y="18621"/>
                <wp:lineTo x="0" y="21228"/>
                <wp:lineTo x="5848" y="21228"/>
                <wp:lineTo x="21368" y="21228"/>
                <wp:lineTo x="21368" y="19366"/>
                <wp:lineTo x="19793" y="17876"/>
                <wp:lineTo x="21368" y="15269"/>
                <wp:lineTo x="21368" y="14524"/>
                <wp:lineTo x="20243" y="11917"/>
                <wp:lineTo x="13945" y="1862"/>
                <wp:lineTo x="11471" y="0"/>
                <wp:lineTo x="9897" y="0"/>
              </wp:wrapPolygon>
            </wp:wrapThrough>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9435" cy="110490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AFE3B76" w14:textId="77777777" w:rsidR="000425FB" w:rsidRDefault="005D0823" w:rsidP="00860B66">
      <w:pPr>
        <w:jc w:val="center"/>
      </w:pPr>
      <w:r w:rsidRPr="00427F9C">
        <w:rPr>
          <w:noProof/>
        </w:rPr>
        <w:drawing>
          <wp:anchor distT="1440180" distB="0" distL="114300" distR="114300" simplePos="0" relativeHeight="251653119" behindDoc="0" locked="0" layoutInCell="1" allowOverlap="0" wp14:anchorId="7B33AFCF" wp14:editId="76607B04">
            <wp:simplePos x="0" y="0"/>
            <wp:positionH relativeFrom="column">
              <wp:posOffset>-343535</wp:posOffset>
            </wp:positionH>
            <wp:positionV relativeFrom="paragraph">
              <wp:posOffset>2599690</wp:posOffset>
            </wp:positionV>
            <wp:extent cx="7516495" cy="3081020"/>
            <wp:effectExtent l="0" t="0" r="8255" b="5080"/>
            <wp:wrapTopAndBottom/>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6495" cy="3081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621F2" w14:textId="279A06A9" w:rsidR="002E20AC" w:rsidRPr="00427F9C" w:rsidRDefault="005D0823">
      <w:pPr>
        <w:pStyle w:val="APVMACoverSubtitle"/>
      </w:pPr>
      <w:r w:rsidRPr="00427F9C">
        <w:rPr>
          <w:noProof/>
        </w:rPr>
        <mc:AlternateContent>
          <mc:Choice Requires="wps">
            <w:drawing>
              <wp:anchor distT="45720" distB="45720" distL="114300" distR="114300" simplePos="0" relativeHeight="251656192" behindDoc="0" locked="1" layoutInCell="1" allowOverlap="0" wp14:anchorId="08ECA48B" wp14:editId="405B9BBD">
                <wp:simplePos x="0" y="0"/>
                <wp:positionH relativeFrom="column">
                  <wp:posOffset>5031740</wp:posOffset>
                </wp:positionH>
                <wp:positionV relativeFrom="page">
                  <wp:posOffset>4813300</wp:posOffset>
                </wp:positionV>
                <wp:extent cx="2084070" cy="26225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262255"/>
                        </a:xfrm>
                        <a:prstGeom prst="rect">
                          <a:avLst/>
                        </a:prstGeom>
                        <a:noFill/>
                        <a:ln w="9525">
                          <a:noFill/>
                          <a:miter lim="800000"/>
                          <a:headEnd/>
                          <a:tailEnd/>
                        </a:ln>
                      </wps:spPr>
                      <wps:txbx>
                        <w:txbxContent>
                          <w:p w14:paraId="674F7B6C" w14:textId="3E7F093A" w:rsidR="00422BC8" w:rsidRPr="00D8740C" w:rsidRDefault="0025684C" w:rsidP="005527B9">
                            <w:pPr>
                              <w:pStyle w:val="APVMACoverDate"/>
                              <w:rPr>
                                <w:lang w:val="en-US"/>
                              </w:rPr>
                            </w:pPr>
                            <w:r>
                              <w:rPr>
                                <w:lang w:val="en-US"/>
                              </w:rPr>
                              <w:t>JULY</w:t>
                            </w:r>
                            <w:r w:rsidR="0068425F">
                              <w:rPr>
                                <w:lang w:val="en-US"/>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ECA48B" id="_x0000_t202" coordsize="21600,21600" o:spt="202" path="m,l,21600r21600,l21600,xe">
                <v:stroke joinstyle="miter"/>
                <v:path gradientshapeok="t" o:connecttype="rect"/>
              </v:shapetype>
              <v:shape id="Text Box 2" o:spid="_x0000_s1026" type="#_x0000_t202" style="position:absolute;left:0;text-align:left;margin-left:396.2pt;margin-top:379pt;width:164.1pt;height:20.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" o:allowoverlap="f" filled="f" stroked="f">
                <v:textbox>
                  <w:txbxContent>
                    <w:p w14:paraId="674F7B6C" w14:textId="3E7F093A" w:rsidR="00422BC8" w:rsidRPr="00D8740C" w:rsidRDefault="0025684C" w:rsidP="005527B9">
                      <w:pPr>
                        <w:pStyle w:val="APVMACoverDate"/>
                        <w:rPr>
                          <w:lang w:val="en-US"/>
                        </w:rPr>
                      </w:pPr>
                      <w:r>
                        <w:rPr>
                          <w:lang w:val="en-US"/>
                        </w:rPr>
                        <w:t>JULY</w:t>
                      </w:r>
                      <w:r w:rsidR="0068425F">
                        <w:rPr>
                          <w:lang w:val="en-US"/>
                        </w:rPr>
                        <w:t xml:space="preserve"> 2024</w:t>
                      </w:r>
                    </w:p>
                  </w:txbxContent>
                </v:textbox>
                <w10:wrap anchory="page"/>
                <w10:anchorlock/>
              </v:shape>
            </w:pict>
          </mc:Fallback>
        </mc:AlternateContent>
      </w:r>
    </w:p>
    <w:p w14:paraId="0930F657" w14:textId="64C93E39" w:rsidR="002E20AC" w:rsidRPr="00427F9C" w:rsidRDefault="005D0823">
      <w:r w:rsidRPr="00427F9C">
        <w:rPr>
          <w:noProof/>
        </w:rPr>
        <mc:AlternateContent>
          <mc:Choice Requires="wps">
            <w:drawing>
              <wp:anchor distT="0" distB="0" distL="114300" distR="114300" simplePos="0" relativeHeight="251657216" behindDoc="0" locked="1" layoutInCell="1" allowOverlap="0" wp14:anchorId="79712436" wp14:editId="0EEF1681">
                <wp:simplePos x="0" y="0"/>
                <wp:positionH relativeFrom="column">
                  <wp:posOffset>1121410</wp:posOffset>
                </wp:positionH>
                <wp:positionV relativeFrom="page">
                  <wp:posOffset>6736080</wp:posOffset>
                </wp:positionV>
                <wp:extent cx="4584065" cy="2847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4065" cy="2847340"/>
                        </a:xfrm>
                        <a:prstGeom prst="rect">
                          <a:avLst/>
                        </a:prstGeom>
                        <a:noFill/>
                        <a:ln w="6350">
                          <a:noFill/>
                        </a:ln>
                        <a:effectLst/>
                      </wps:spPr>
                      <wps:txbx>
                        <w:txbxContent>
                          <w:p w14:paraId="78CCE89F" w14:textId="77777777" w:rsidR="00AC4E98" w:rsidRPr="00AC4E98" w:rsidRDefault="00422BC8" w:rsidP="0068425F">
                            <w:pPr>
                              <w:pStyle w:val="APVMACoverTitle"/>
                              <w:spacing w:before="60" w:after="60" w:line="240" w:lineRule="auto"/>
                              <w:jc w:val="center"/>
                              <w:rPr>
                                <w:sz w:val="48"/>
                                <w:szCs w:val="44"/>
                              </w:rPr>
                            </w:pPr>
                            <w:r w:rsidRPr="00AC4E98">
                              <w:rPr>
                                <w:sz w:val="48"/>
                                <w:szCs w:val="44"/>
                              </w:rPr>
                              <w:t>Good Manufacturing Practice</w:t>
                            </w:r>
                          </w:p>
                          <w:p w14:paraId="57A95A39" w14:textId="68050170" w:rsidR="00422BC8" w:rsidRPr="00AC4E98" w:rsidRDefault="00422BC8" w:rsidP="0068425F">
                            <w:pPr>
                              <w:pStyle w:val="APVMACoverTitle"/>
                              <w:spacing w:before="60" w:after="60" w:line="240" w:lineRule="auto"/>
                              <w:jc w:val="center"/>
                              <w:rPr>
                                <w:sz w:val="48"/>
                                <w:szCs w:val="44"/>
                              </w:rPr>
                            </w:pPr>
                            <w:r w:rsidRPr="00AC4E98">
                              <w:rPr>
                                <w:sz w:val="48"/>
                                <w:szCs w:val="44"/>
                              </w:rPr>
                              <w:t xml:space="preserve">Audit </w:t>
                            </w:r>
                            <w:r w:rsidR="00862ECC" w:rsidRPr="00AC4E98">
                              <w:rPr>
                                <w:sz w:val="48"/>
                                <w:szCs w:val="44"/>
                              </w:rPr>
                              <w:t>P</w:t>
                            </w:r>
                            <w:r w:rsidRPr="00AC4E98">
                              <w:rPr>
                                <w:sz w:val="48"/>
                                <w:szCs w:val="44"/>
                              </w:rPr>
                              <w:t>rocedure</w:t>
                            </w:r>
                          </w:p>
                          <w:p w14:paraId="7A6A4F61" w14:textId="77777777" w:rsidR="00AC4E98" w:rsidRDefault="00AC4E98" w:rsidP="000C159B">
                            <w:pPr>
                              <w:pStyle w:val="APVMACoverTitle"/>
                              <w:jc w:val="center"/>
                            </w:pPr>
                          </w:p>
                          <w:p w14:paraId="16030402" w14:textId="12070C8C" w:rsidR="00AC4E98" w:rsidRDefault="00AC4E98" w:rsidP="000C159B">
                            <w:pPr>
                              <w:pStyle w:val="APVMACoverTitle"/>
                              <w:jc w:val="center"/>
                            </w:pPr>
                            <w:r>
                              <w:t xml:space="preserve">Draft for </w:t>
                            </w:r>
                            <w:r w:rsidR="0068425F">
                              <w:t xml:space="preserve">Public </w:t>
                            </w:r>
                            <w:r>
                              <w:t>Comment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12436" id="Text Box 1" o:spid="_x0000_s1027" type="#_x0000_t202" style="position:absolute;margin-left:88.3pt;margin-top:530.4pt;width:360.95pt;height:2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" o:allowoverlap="f" filled="f" stroked="f" strokeweight=".5pt">
                <v:textbox>
                  <w:txbxContent>
                    <w:p w14:paraId="78CCE89F" w14:textId="77777777" w:rsidR="00AC4E98" w:rsidRPr="00AC4E98" w:rsidRDefault="00422BC8" w:rsidP="0068425F">
                      <w:pPr>
                        <w:pStyle w:val="APVMACoverTitle"/>
                        <w:spacing w:before="60" w:after="60" w:line="240" w:lineRule="auto"/>
                        <w:jc w:val="center"/>
                        <w:rPr>
                          <w:sz w:val="48"/>
                          <w:szCs w:val="44"/>
                        </w:rPr>
                      </w:pPr>
                      <w:r w:rsidRPr="00AC4E98">
                        <w:rPr>
                          <w:sz w:val="48"/>
                          <w:szCs w:val="44"/>
                        </w:rPr>
                        <w:t>Good Manufacturing Practice</w:t>
                      </w:r>
                    </w:p>
                    <w:p w14:paraId="57A95A39" w14:textId="68050170" w:rsidR="00422BC8" w:rsidRPr="00AC4E98" w:rsidRDefault="00422BC8" w:rsidP="0068425F">
                      <w:pPr>
                        <w:pStyle w:val="APVMACoverTitle"/>
                        <w:spacing w:before="60" w:after="60" w:line="240" w:lineRule="auto"/>
                        <w:jc w:val="center"/>
                        <w:rPr>
                          <w:sz w:val="48"/>
                          <w:szCs w:val="44"/>
                        </w:rPr>
                      </w:pPr>
                      <w:r w:rsidRPr="00AC4E98">
                        <w:rPr>
                          <w:sz w:val="48"/>
                          <w:szCs w:val="44"/>
                        </w:rPr>
                        <w:t xml:space="preserve">Audit </w:t>
                      </w:r>
                      <w:r w:rsidR="00862ECC" w:rsidRPr="00AC4E98">
                        <w:rPr>
                          <w:sz w:val="48"/>
                          <w:szCs w:val="44"/>
                        </w:rPr>
                        <w:t>P</w:t>
                      </w:r>
                      <w:r w:rsidRPr="00AC4E98">
                        <w:rPr>
                          <w:sz w:val="48"/>
                          <w:szCs w:val="44"/>
                        </w:rPr>
                        <w:t>rocedure</w:t>
                      </w:r>
                    </w:p>
                    <w:p w14:paraId="7A6A4F61" w14:textId="77777777" w:rsidR="00AC4E98" w:rsidRDefault="00AC4E98" w:rsidP="000C159B">
                      <w:pPr>
                        <w:pStyle w:val="APVMACoverTitle"/>
                        <w:jc w:val="center"/>
                      </w:pPr>
                    </w:p>
                    <w:p w14:paraId="16030402" w14:textId="12070C8C" w:rsidR="00AC4E98" w:rsidRDefault="00AC4E98" w:rsidP="000C159B">
                      <w:pPr>
                        <w:pStyle w:val="APVMACoverTitle"/>
                        <w:jc w:val="center"/>
                      </w:pPr>
                      <w:r>
                        <w:t xml:space="preserve">Draft for </w:t>
                      </w:r>
                      <w:r w:rsidR="0068425F">
                        <w:t xml:space="preserve">Public </w:t>
                      </w:r>
                      <w:r>
                        <w:t>Comment</w:t>
                      </w:r>
                    </w:p>
                  </w:txbxContent>
                </v:textbox>
                <w10:wrap anchory="page"/>
                <w10:anchorlock/>
              </v:shape>
            </w:pict>
          </mc:Fallback>
        </mc:AlternateContent>
      </w:r>
    </w:p>
    <w:p w14:paraId="36672EA3" w14:textId="77777777" w:rsidR="002E20AC" w:rsidRPr="00427F9C" w:rsidRDefault="002E20AC">
      <w:pPr>
        <w:pStyle w:val="NormalText"/>
        <w:rPr>
          <w:sz w:val="28"/>
          <w:szCs w:val="28"/>
        </w:rPr>
        <w:sectPr w:rsidR="002E20AC" w:rsidRPr="00427F9C" w:rsidSect="00860B66">
          <w:footerReference w:type="even" r:id="rId11"/>
          <w:pgSz w:w="11906" w:h="16838" w:code="9"/>
          <w:pgMar w:top="1134" w:right="232" w:bottom="567" w:left="567" w:header="567" w:footer="567" w:gutter="0"/>
          <w:pgNumType w:fmt="lowerRoman"/>
          <w:cols w:space="708"/>
          <w:docGrid w:linePitch="360"/>
        </w:sectPr>
      </w:pPr>
    </w:p>
    <w:p w14:paraId="2F75048C" w14:textId="456FE1E2" w:rsidR="00862E63" w:rsidRPr="00427F9C" w:rsidRDefault="00862E63" w:rsidP="003B2921">
      <w:pPr>
        <w:autoSpaceDE w:val="0"/>
        <w:autoSpaceDN w:val="0"/>
        <w:adjustRightInd w:val="0"/>
        <w:spacing w:after="120" w:line="240" w:lineRule="exact"/>
        <w:ind w:left="-284" w:right="-330"/>
        <w:jc w:val="both"/>
        <w:rPr>
          <w:rFonts w:cs="Arial"/>
          <w:sz w:val="16"/>
          <w:szCs w:val="16"/>
          <w:lang w:eastAsia="en-AU"/>
        </w:rPr>
      </w:pPr>
      <w:bookmarkStart w:id="0" w:name="_Toc168724484"/>
      <w:r w:rsidRPr="00427F9C">
        <w:rPr>
          <w:rFonts w:cs="Arial"/>
          <w:sz w:val="16"/>
          <w:szCs w:val="16"/>
          <w:lang w:eastAsia="en-AU"/>
        </w:rPr>
        <w:lastRenderedPageBreak/>
        <w:t xml:space="preserve">© Australian Pesticides and Veterinary Medicines Authority </w:t>
      </w:r>
      <w:r w:rsidR="00862ECC">
        <w:rPr>
          <w:rFonts w:cs="Arial"/>
          <w:sz w:val="16"/>
          <w:szCs w:val="16"/>
          <w:lang w:eastAsia="en-AU"/>
        </w:rPr>
        <w:t>202</w:t>
      </w:r>
      <w:r w:rsidR="0068425F">
        <w:rPr>
          <w:rFonts w:cs="Arial"/>
          <w:sz w:val="16"/>
          <w:szCs w:val="16"/>
          <w:lang w:eastAsia="en-AU"/>
        </w:rPr>
        <w:t>4</w:t>
      </w:r>
    </w:p>
    <w:p w14:paraId="373C46D3" w14:textId="77777777" w:rsidR="00862E63" w:rsidRPr="00427F9C" w:rsidRDefault="00862E63" w:rsidP="003B2921">
      <w:pPr>
        <w:autoSpaceDE w:val="0"/>
        <w:autoSpaceDN w:val="0"/>
        <w:adjustRightInd w:val="0"/>
        <w:spacing w:before="240" w:line="240" w:lineRule="exact"/>
        <w:ind w:left="-284" w:right="-330"/>
        <w:jc w:val="both"/>
        <w:rPr>
          <w:rFonts w:cs="Arial"/>
          <w:b/>
          <w:bCs/>
          <w:sz w:val="16"/>
          <w:szCs w:val="16"/>
          <w:lang w:eastAsia="en-AU"/>
        </w:rPr>
      </w:pPr>
      <w:r w:rsidRPr="00427F9C">
        <w:rPr>
          <w:rFonts w:cs="Arial"/>
          <w:b/>
          <w:bCs/>
          <w:sz w:val="16"/>
          <w:szCs w:val="16"/>
          <w:lang w:eastAsia="en-AU"/>
        </w:rPr>
        <w:t>Ownership of intellectual property rights in this publication</w:t>
      </w:r>
    </w:p>
    <w:p w14:paraId="1E75EFEF" w14:textId="77777777" w:rsidR="00862E63" w:rsidRPr="00427F9C" w:rsidRDefault="00862E63" w:rsidP="003B2921">
      <w:pPr>
        <w:autoSpaceDE w:val="0"/>
        <w:autoSpaceDN w:val="0"/>
        <w:adjustRightInd w:val="0"/>
        <w:spacing w:before="60" w:after="240" w:line="240" w:lineRule="exact"/>
        <w:ind w:left="-284" w:right="-330"/>
        <w:jc w:val="both"/>
        <w:rPr>
          <w:rFonts w:cs="Arial"/>
          <w:sz w:val="16"/>
          <w:szCs w:val="16"/>
          <w:lang w:eastAsia="en-AU"/>
        </w:rPr>
      </w:pPr>
      <w:r w:rsidRPr="00427F9C">
        <w:rPr>
          <w:rFonts w:cs="Arial"/>
          <w:sz w:val="16"/>
          <w:szCs w:val="16"/>
          <w:lang w:eastAsia="en-AU"/>
        </w:rPr>
        <w:t>Unless otherwise noted, copyright (and any other intellectual property rights, if any) in this publication is owned by the Australian Pesticides and Veterinary Medicines Authority (APVMA).</w:t>
      </w:r>
    </w:p>
    <w:p w14:paraId="2D827127" w14:textId="77777777" w:rsidR="00862E63" w:rsidRPr="00427F9C" w:rsidRDefault="00862E63" w:rsidP="003B2921">
      <w:pPr>
        <w:autoSpaceDE w:val="0"/>
        <w:autoSpaceDN w:val="0"/>
        <w:adjustRightInd w:val="0"/>
        <w:spacing w:line="240" w:lineRule="exact"/>
        <w:ind w:left="-284" w:right="-330"/>
        <w:jc w:val="both"/>
        <w:rPr>
          <w:rFonts w:cs="Arial"/>
          <w:b/>
          <w:bCs/>
          <w:sz w:val="16"/>
          <w:szCs w:val="16"/>
          <w:lang w:eastAsia="en-AU"/>
        </w:rPr>
      </w:pPr>
      <w:r w:rsidRPr="00427F9C">
        <w:rPr>
          <w:rFonts w:cs="Arial"/>
          <w:b/>
          <w:bCs/>
          <w:sz w:val="16"/>
          <w:szCs w:val="16"/>
          <w:lang w:eastAsia="en-AU"/>
        </w:rPr>
        <w:t>Creative Commons licence</w:t>
      </w:r>
    </w:p>
    <w:p w14:paraId="003BAA08" w14:textId="1B676E46" w:rsidR="00862E63" w:rsidRPr="00427F9C" w:rsidRDefault="005D0823" w:rsidP="00066006">
      <w:pPr>
        <w:autoSpaceDE w:val="0"/>
        <w:autoSpaceDN w:val="0"/>
        <w:adjustRightInd w:val="0"/>
        <w:spacing w:before="60" w:after="600" w:line="240" w:lineRule="exact"/>
        <w:ind w:left="-284" w:right="-330"/>
        <w:rPr>
          <w:rFonts w:cs="Arial"/>
          <w:sz w:val="16"/>
          <w:szCs w:val="16"/>
          <w:lang w:eastAsia="en-AU"/>
        </w:rPr>
      </w:pPr>
      <w:r w:rsidRPr="00427F9C">
        <w:rPr>
          <w:noProof/>
        </w:rPr>
        <w:drawing>
          <wp:anchor distT="0" distB="0" distL="114300" distR="114300" simplePos="0" relativeHeight="251660288" behindDoc="1" locked="0" layoutInCell="1" allowOverlap="1" wp14:anchorId="048722E8" wp14:editId="559A4C21">
            <wp:simplePos x="0" y="0"/>
            <wp:positionH relativeFrom="column">
              <wp:posOffset>495300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5" name="Picture 8" descr="Description: Description: Description: C:\Users\mchandra\Desktop\b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F9C">
        <w:rPr>
          <w:noProof/>
        </w:rPr>
        <w:drawing>
          <wp:anchor distT="0" distB="0" distL="114300" distR="114300" simplePos="0" relativeHeight="251661312" behindDoc="1" locked="0" layoutInCell="1" allowOverlap="1" wp14:anchorId="4F52D85A" wp14:editId="39129B9C">
            <wp:simplePos x="0" y="0"/>
            <wp:positionH relativeFrom="column">
              <wp:posOffset>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4" name="Picture 9" descr="Description: Description: Description: C:\Users\mchandra\Desktop\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62E63" w:rsidRPr="00427F9C">
        <w:rPr>
          <w:rFonts w:cs="Arial"/>
          <w:sz w:val="16"/>
          <w:szCs w:val="16"/>
          <w:lang w:eastAsia="en-AU"/>
        </w:rPr>
        <w:t>With the exception of the Coat of Arms and other elements specifically identified, this publication is licensed under a Creative Commons Attribution 3.0 Australia Licence. This is a standard form agreement that allows you to copy, distribute, transmit and adapt this publication provided that you attribute the work.</w:t>
      </w:r>
      <w:r w:rsidR="00862E63" w:rsidRPr="00427F9C">
        <w:rPr>
          <w:rFonts w:cs="Arial"/>
          <w:sz w:val="16"/>
          <w:szCs w:val="16"/>
          <w:lang w:eastAsia="en-AU"/>
        </w:rPr>
        <w:br/>
      </w:r>
    </w:p>
    <w:p w14:paraId="0BF6A59D" w14:textId="241D501E" w:rsidR="00862E63" w:rsidRPr="00427F9C" w:rsidRDefault="00862E63" w:rsidP="003B2921">
      <w:pPr>
        <w:autoSpaceDE w:val="0"/>
        <w:autoSpaceDN w:val="0"/>
        <w:adjustRightInd w:val="0"/>
        <w:spacing w:before="120" w:line="240" w:lineRule="exact"/>
        <w:ind w:left="-284" w:right="-330"/>
        <w:jc w:val="both"/>
        <w:rPr>
          <w:rFonts w:cs="Arial"/>
          <w:sz w:val="16"/>
          <w:szCs w:val="16"/>
          <w:lang w:eastAsia="en-AU"/>
        </w:rPr>
      </w:pPr>
      <w:r w:rsidRPr="00427F9C">
        <w:rPr>
          <w:rFonts w:cs="Arial"/>
          <w:sz w:val="16"/>
          <w:szCs w:val="16"/>
          <w:lang w:eastAsia="en-AU"/>
        </w:rPr>
        <w:t xml:space="preserve">A summary of the licence terms is available from </w:t>
      </w:r>
      <w:hyperlink r:id="rId14" w:history="1">
        <w:r w:rsidRPr="00427F9C">
          <w:rPr>
            <w:rStyle w:val="Hyperlink"/>
            <w:rFonts w:cs="Arial"/>
            <w:sz w:val="16"/>
            <w:szCs w:val="16"/>
            <w:lang w:eastAsia="en-AU"/>
          </w:rPr>
          <w:t>www.creativecommons.org/licenses/by/3.0/au/deed.en</w:t>
        </w:r>
      </w:hyperlink>
      <w:r w:rsidRPr="00427F9C">
        <w:rPr>
          <w:rFonts w:cs="Arial"/>
          <w:sz w:val="16"/>
          <w:szCs w:val="16"/>
          <w:lang w:eastAsia="en-AU"/>
        </w:rPr>
        <w:t xml:space="preserve">. The full licence terms are available from </w:t>
      </w:r>
      <w:hyperlink r:id="rId15" w:history="1">
        <w:r w:rsidRPr="00427F9C">
          <w:rPr>
            <w:rStyle w:val="Hyperlink"/>
            <w:rFonts w:cs="Arial"/>
            <w:sz w:val="16"/>
            <w:szCs w:val="16"/>
            <w:lang w:eastAsia="en-AU"/>
          </w:rPr>
          <w:t>www.creativecommons.org/licenses/by/3.0/au/legalcode</w:t>
        </w:r>
      </w:hyperlink>
      <w:r w:rsidRPr="00427F9C">
        <w:rPr>
          <w:rFonts w:cs="Arial"/>
          <w:sz w:val="16"/>
          <w:szCs w:val="16"/>
          <w:lang w:eastAsia="en-AU"/>
        </w:rPr>
        <w:t>.</w:t>
      </w:r>
    </w:p>
    <w:p w14:paraId="103C2E10" w14:textId="77777777" w:rsidR="00862E63" w:rsidRPr="00427F9C" w:rsidRDefault="00862E63" w:rsidP="003B2921">
      <w:pPr>
        <w:autoSpaceDE w:val="0"/>
        <w:autoSpaceDN w:val="0"/>
        <w:adjustRightInd w:val="0"/>
        <w:spacing w:before="120" w:line="240" w:lineRule="exact"/>
        <w:ind w:left="-284" w:right="-330"/>
        <w:jc w:val="both"/>
        <w:rPr>
          <w:rFonts w:cs="Arial"/>
          <w:i/>
          <w:iCs/>
          <w:sz w:val="16"/>
          <w:szCs w:val="16"/>
          <w:lang w:eastAsia="en-AU"/>
        </w:rPr>
      </w:pPr>
      <w:r w:rsidRPr="00427F9C">
        <w:rPr>
          <w:rFonts w:cs="Arial"/>
          <w:sz w:val="16"/>
          <w:szCs w:val="16"/>
          <w:lang w:eastAsia="en-AU"/>
        </w:rPr>
        <w:t>The APVMA’s preference is that you attribute this publication (and any approved material sourced from it) using the following wording:</w:t>
      </w:r>
    </w:p>
    <w:p w14:paraId="6FBFDC3D" w14:textId="77777777" w:rsidR="00862E63" w:rsidRPr="00427F9C" w:rsidRDefault="00862E63" w:rsidP="003B2921">
      <w:pPr>
        <w:autoSpaceDE w:val="0"/>
        <w:autoSpaceDN w:val="0"/>
        <w:adjustRightInd w:val="0"/>
        <w:spacing w:before="120" w:line="240" w:lineRule="exact"/>
        <w:ind w:left="-284" w:right="-330"/>
        <w:jc w:val="both"/>
        <w:rPr>
          <w:rFonts w:cs="Arial"/>
          <w:i/>
          <w:iCs/>
          <w:sz w:val="16"/>
          <w:szCs w:val="16"/>
          <w:lang w:eastAsia="en-AU"/>
        </w:rPr>
      </w:pPr>
      <w:r w:rsidRPr="00427F9C">
        <w:rPr>
          <w:rFonts w:cs="Arial"/>
          <w:i/>
          <w:iCs/>
          <w:sz w:val="16"/>
          <w:szCs w:val="16"/>
          <w:lang w:eastAsia="en-AU"/>
        </w:rPr>
        <w:t xml:space="preserve">Source: Licensed from the Australian Pesticides and Veterinary Medicines Authority (APVMA) under a Creative Commons Attribution 3.0 Australia Licence. </w:t>
      </w:r>
    </w:p>
    <w:p w14:paraId="2E710935" w14:textId="77777777" w:rsidR="00862E63" w:rsidRPr="00427F9C" w:rsidRDefault="00862E63" w:rsidP="003B2921">
      <w:pPr>
        <w:autoSpaceDE w:val="0"/>
        <w:autoSpaceDN w:val="0"/>
        <w:adjustRightInd w:val="0"/>
        <w:spacing w:before="120" w:after="120" w:line="240" w:lineRule="exact"/>
        <w:ind w:left="-284" w:right="-330"/>
        <w:jc w:val="both"/>
        <w:rPr>
          <w:rFonts w:cs="Arial"/>
          <w:sz w:val="16"/>
          <w:szCs w:val="16"/>
          <w:lang w:eastAsia="en-AU"/>
        </w:rPr>
      </w:pPr>
      <w:r w:rsidRPr="00427F9C">
        <w:rPr>
          <w:rFonts w:cs="Arial"/>
          <w:sz w:val="16"/>
          <w:szCs w:val="16"/>
          <w:lang w:eastAsia="en-AU"/>
        </w:rPr>
        <w:t>In referencing this document the Australian Pesticides and Veterinary Medicines Authority should be cited as the author, publisher and copyright owner.</w:t>
      </w:r>
    </w:p>
    <w:p w14:paraId="417B0DD8" w14:textId="77777777" w:rsidR="00862E63" w:rsidRPr="00427F9C" w:rsidRDefault="00862E63" w:rsidP="003B2921">
      <w:pPr>
        <w:autoSpaceDE w:val="0"/>
        <w:autoSpaceDN w:val="0"/>
        <w:adjustRightInd w:val="0"/>
        <w:spacing w:before="120" w:line="240" w:lineRule="exact"/>
        <w:ind w:left="-284" w:right="-330"/>
        <w:jc w:val="both"/>
        <w:rPr>
          <w:rFonts w:cs="Arial"/>
          <w:b/>
          <w:bCs/>
          <w:sz w:val="16"/>
          <w:szCs w:val="16"/>
          <w:lang w:eastAsia="en-AU"/>
        </w:rPr>
      </w:pPr>
      <w:r w:rsidRPr="00427F9C">
        <w:rPr>
          <w:rFonts w:cs="Arial"/>
          <w:b/>
          <w:bCs/>
          <w:sz w:val="16"/>
          <w:szCs w:val="16"/>
          <w:lang w:eastAsia="en-AU"/>
        </w:rPr>
        <w:t>Use of the Coat of Arms</w:t>
      </w:r>
    </w:p>
    <w:p w14:paraId="28CEFE46" w14:textId="2F864FC5" w:rsidR="00862E63" w:rsidRPr="00427F9C" w:rsidRDefault="00862E63" w:rsidP="003B2921">
      <w:pPr>
        <w:autoSpaceDE w:val="0"/>
        <w:autoSpaceDN w:val="0"/>
        <w:adjustRightInd w:val="0"/>
        <w:spacing w:before="60" w:line="240" w:lineRule="exact"/>
        <w:ind w:left="-284" w:right="-330"/>
        <w:jc w:val="both"/>
        <w:rPr>
          <w:rFonts w:cs="Arial"/>
          <w:sz w:val="16"/>
          <w:szCs w:val="16"/>
          <w:lang w:eastAsia="en-AU"/>
        </w:rPr>
      </w:pPr>
      <w:r w:rsidRPr="00427F9C">
        <w:rPr>
          <w:rFonts w:cs="Arial"/>
          <w:sz w:val="16"/>
          <w:szCs w:val="16"/>
          <w:lang w:eastAsia="en-AU"/>
        </w:rPr>
        <w:t xml:space="preserve">The terms under which the Coat of Arms can be used are set out on the Department of the Prime Minister and Cabinet website (see </w:t>
      </w:r>
      <w:hyperlink r:id="rId16" w:history="1">
        <w:r w:rsidRPr="00427F9C">
          <w:rPr>
            <w:rStyle w:val="Hyperlink"/>
            <w:rFonts w:cs="Arial"/>
            <w:sz w:val="16"/>
            <w:szCs w:val="16"/>
            <w:lang w:eastAsia="en-AU"/>
          </w:rPr>
          <w:t>www.dpmc.gov.au/guidelines</w:t>
        </w:r>
      </w:hyperlink>
      <w:r w:rsidRPr="00427F9C">
        <w:rPr>
          <w:rFonts w:cs="Arial"/>
          <w:sz w:val="16"/>
          <w:szCs w:val="16"/>
          <w:lang w:eastAsia="en-AU"/>
        </w:rPr>
        <w:t>).</w:t>
      </w:r>
    </w:p>
    <w:p w14:paraId="27FD7F00" w14:textId="77777777" w:rsidR="00862E63" w:rsidRPr="00427F9C" w:rsidRDefault="00862E63" w:rsidP="003B2921">
      <w:pPr>
        <w:spacing w:before="120" w:line="240" w:lineRule="exact"/>
        <w:ind w:left="-284" w:right="-330"/>
        <w:jc w:val="both"/>
        <w:rPr>
          <w:rFonts w:cs="Arial"/>
          <w:b/>
          <w:bCs/>
          <w:sz w:val="16"/>
          <w:szCs w:val="16"/>
          <w:lang w:eastAsia="en-AU"/>
        </w:rPr>
      </w:pPr>
      <w:r w:rsidRPr="00427F9C">
        <w:rPr>
          <w:rFonts w:cs="Arial"/>
          <w:b/>
          <w:bCs/>
          <w:sz w:val="16"/>
          <w:szCs w:val="16"/>
          <w:lang w:eastAsia="en-AU"/>
        </w:rPr>
        <w:t>Disclaimer</w:t>
      </w:r>
    </w:p>
    <w:p w14:paraId="42FDE5FC" w14:textId="236EE82E" w:rsidR="00862E63" w:rsidRPr="00427F9C" w:rsidRDefault="00A91BD8" w:rsidP="003B2921">
      <w:pPr>
        <w:autoSpaceDE w:val="0"/>
        <w:autoSpaceDN w:val="0"/>
        <w:adjustRightInd w:val="0"/>
        <w:spacing w:before="60" w:line="240" w:lineRule="exact"/>
        <w:ind w:left="-284" w:right="-330"/>
        <w:jc w:val="both"/>
        <w:rPr>
          <w:rFonts w:cs="Arial"/>
          <w:sz w:val="16"/>
          <w:szCs w:val="16"/>
          <w:lang w:eastAsia="en-AU"/>
        </w:rPr>
      </w:pPr>
      <w:r w:rsidRPr="00A91BD8">
        <w:rPr>
          <w:rFonts w:cs="Arial"/>
          <w:sz w:val="16"/>
          <w:szCs w:val="16"/>
          <w:lang w:eastAsia="en-AU"/>
        </w:rPr>
        <w:t xml:space="preserve">The material in or linking from this report may contain the views or recommendations of </w:t>
      </w:r>
      <w:r w:rsidR="000C3F4D">
        <w:rPr>
          <w:rFonts w:cs="Arial"/>
          <w:sz w:val="16"/>
          <w:szCs w:val="16"/>
          <w:lang w:eastAsia="en-AU"/>
        </w:rPr>
        <w:t>a</w:t>
      </w:r>
      <w:r w:rsidRPr="00A91BD8">
        <w:rPr>
          <w:rFonts w:cs="Arial"/>
          <w:sz w:val="16"/>
          <w:szCs w:val="16"/>
          <w:lang w:eastAsia="en-AU"/>
        </w:rPr>
        <w:t>third parties. Third party material does not necessarily reflect the views of the APVMA</w:t>
      </w:r>
      <w:r w:rsidR="00862E63" w:rsidRPr="00427F9C">
        <w:rPr>
          <w:rFonts w:cs="Arial"/>
          <w:sz w:val="16"/>
          <w:szCs w:val="16"/>
          <w:lang w:eastAsia="en-AU"/>
        </w:rPr>
        <w:t>, or indicate a commitment to</w:t>
      </w:r>
      <w:r w:rsidR="009A7614" w:rsidRPr="00427F9C">
        <w:rPr>
          <w:rFonts w:cs="Arial"/>
          <w:sz w:val="16"/>
          <w:szCs w:val="16"/>
          <w:lang w:eastAsia="en-AU"/>
        </w:rPr>
        <w:t xml:space="preserve"> a particular course of action. </w:t>
      </w:r>
      <w:r w:rsidR="00862E63" w:rsidRPr="00427F9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sidRPr="00427F9C">
        <w:rPr>
          <w:rFonts w:cs="Arial"/>
          <w:sz w:val="16"/>
          <w:szCs w:val="16"/>
          <w:lang w:eastAsia="en-AU"/>
        </w:rPr>
        <w:t xml:space="preserve"> </w:t>
      </w:r>
      <w:r w:rsidR="00862E63" w:rsidRPr="00427F9C">
        <w:rPr>
          <w:rFonts w:cs="Arial"/>
          <w:bCs/>
          <w:sz w:val="16"/>
          <w:szCs w:val="16"/>
          <w:lang w:eastAsia="en-AU"/>
        </w:rPr>
        <w:t>The APVMA is not responsible for any errors, omissions or matters of interpretation in any third-party information contained within this document.</w:t>
      </w:r>
    </w:p>
    <w:p w14:paraId="216CDD39" w14:textId="77777777" w:rsidR="00862E63" w:rsidRPr="00427F9C" w:rsidRDefault="00862E63" w:rsidP="003B2921">
      <w:pPr>
        <w:autoSpaceDE w:val="0"/>
        <w:autoSpaceDN w:val="0"/>
        <w:adjustRightInd w:val="0"/>
        <w:spacing w:before="120" w:line="240" w:lineRule="exact"/>
        <w:ind w:left="-284" w:right="-330"/>
        <w:jc w:val="both"/>
        <w:rPr>
          <w:rFonts w:cs="Arial"/>
          <w:b/>
          <w:bCs/>
          <w:sz w:val="16"/>
          <w:szCs w:val="16"/>
          <w:lang w:eastAsia="en-AU"/>
        </w:rPr>
      </w:pPr>
      <w:r w:rsidRPr="00427F9C">
        <w:rPr>
          <w:rFonts w:cs="Arial"/>
          <w:b/>
          <w:bCs/>
          <w:sz w:val="16"/>
          <w:szCs w:val="16"/>
          <w:lang w:eastAsia="en-AU"/>
        </w:rPr>
        <w:t>Comments and enquiries regarding copyright:</w:t>
      </w:r>
    </w:p>
    <w:p w14:paraId="686FA407" w14:textId="77777777" w:rsidR="00862E63" w:rsidRPr="00427F9C" w:rsidRDefault="00066006" w:rsidP="003B2921">
      <w:pPr>
        <w:autoSpaceDE w:val="0"/>
        <w:autoSpaceDN w:val="0"/>
        <w:adjustRightInd w:val="0"/>
        <w:spacing w:before="60" w:line="240" w:lineRule="exact"/>
        <w:ind w:left="-284" w:right="-330"/>
        <w:jc w:val="both"/>
        <w:rPr>
          <w:rFonts w:cs="Arial"/>
          <w:sz w:val="16"/>
          <w:szCs w:val="16"/>
          <w:lang w:eastAsia="en-AU"/>
        </w:rPr>
      </w:pPr>
      <w:r w:rsidRPr="00427F9C">
        <w:rPr>
          <w:rFonts w:cs="Arial"/>
          <w:sz w:val="16"/>
          <w:szCs w:val="16"/>
          <w:lang w:eastAsia="en-AU"/>
        </w:rPr>
        <w:t>Director</w:t>
      </w:r>
      <w:r w:rsidR="00862E63" w:rsidRPr="00427F9C">
        <w:rPr>
          <w:rFonts w:cs="Arial"/>
          <w:sz w:val="16"/>
          <w:szCs w:val="16"/>
          <w:lang w:eastAsia="en-AU"/>
        </w:rPr>
        <w:t xml:space="preserve"> Public Affairs</w:t>
      </w:r>
    </w:p>
    <w:p w14:paraId="1DF495F5" w14:textId="77777777" w:rsidR="00862E63" w:rsidRPr="00427F9C" w:rsidRDefault="00862E63" w:rsidP="003B2921">
      <w:pPr>
        <w:autoSpaceDE w:val="0"/>
        <w:autoSpaceDN w:val="0"/>
        <w:adjustRightInd w:val="0"/>
        <w:spacing w:line="240" w:lineRule="exact"/>
        <w:ind w:left="-284" w:right="-330"/>
        <w:jc w:val="both"/>
        <w:rPr>
          <w:rFonts w:cs="Arial"/>
          <w:sz w:val="16"/>
          <w:szCs w:val="16"/>
          <w:lang w:eastAsia="en-AU"/>
        </w:rPr>
      </w:pPr>
      <w:r w:rsidRPr="00427F9C">
        <w:rPr>
          <w:rFonts w:cs="Arial"/>
          <w:sz w:val="16"/>
          <w:szCs w:val="16"/>
          <w:lang w:eastAsia="en-AU"/>
        </w:rPr>
        <w:t>Australian Pesticides and Veterinary Medicines Authority</w:t>
      </w:r>
    </w:p>
    <w:p w14:paraId="20097A22" w14:textId="04DEDE33" w:rsidR="00862E63" w:rsidRPr="00427F9C" w:rsidRDefault="001E2567" w:rsidP="003B2921">
      <w:pPr>
        <w:autoSpaceDE w:val="0"/>
        <w:autoSpaceDN w:val="0"/>
        <w:adjustRightInd w:val="0"/>
        <w:spacing w:before="120" w:line="240" w:lineRule="exact"/>
        <w:ind w:left="-284" w:right="-330"/>
        <w:jc w:val="both"/>
        <w:rPr>
          <w:rFonts w:cs="Arial"/>
          <w:sz w:val="16"/>
          <w:szCs w:val="16"/>
          <w:lang w:eastAsia="en-AU"/>
        </w:rPr>
      </w:pPr>
      <w:r w:rsidRPr="00427F9C">
        <w:rPr>
          <w:rFonts w:cs="Arial"/>
          <w:sz w:val="16"/>
          <w:szCs w:val="16"/>
          <w:lang w:eastAsia="en-AU"/>
        </w:rPr>
        <w:t>GPO Box 3262SYDNEY, NSW, 2001, Australia</w:t>
      </w:r>
      <w:r w:rsidR="009214C9">
        <w:rPr>
          <w:rFonts w:cs="Arial"/>
          <w:sz w:val="16"/>
          <w:szCs w:val="16"/>
          <w:lang w:eastAsia="en-AU"/>
        </w:rPr>
        <w:t xml:space="preserve"> </w:t>
      </w:r>
      <w:r w:rsidR="00862E63" w:rsidRPr="00427F9C">
        <w:rPr>
          <w:rFonts w:cs="Arial"/>
          <w:sz w:val="16"/>
          <w:szCs w:val="16"/>
          <w:lang w:eastAsia="en-AU"/>
        </w:rPr>
        <w:t xml:space="preserve">Telephone: </w:t>
      </w:r>
      <w:r w:rsidRPr="00427F9C">
        <w:rPr>
          <w:rFonts w:cs="Arial"/>
          <w:sz w:val="16"/>
          <w:szCs w:val="16"/>
          <w:lang w:eastAsia="en-AU"/>
        </w:rPr>
        <w:t>+61 2 6770 2300</w:t>
      </w:r>
    </w:p>
    <w:p w14:paraId="269F3E7F" w14:textId="2A0F17BC" w:rsidR="00862E63" w:rsidRPr="00427F9C" w:rsidRDefault="00862E63" w:rsidP="003B2921">
      <w:pPr>
        <w:autoSpaceDE w:val="0"/>
        <w:autoSpaceDN w:val="0"/>
        <w:adjustRightInd w:val="0"/>
        <w:spacing w:before="120" w:line="240" w:lineRule="exact"/>
        <w:ind w:left="-284" w:right="-330"/>
        <w:jc w:val="both"/>
        <w:rPr>
          <w:rFonts w:cs="Arial"/>
          <w:color w:val="0000FF"/>
          <w:sz w:val="16"/>
          <w:szCs w:val="16"/>
          <w:u w:val="single"/>
          <w:lang w:eastAsia="en-AU"/>
        </w:rPr>
      </w:pPr>
      <w:r w:rsidRPr="00427F9C">
        <w:rPr>
          <w:rFonts w:cs="Arial"/>
          <w:sz w:val="16"/>
          <w:szCs w:val="16"/>
          <w:lang w:eastAsia="en-AU"/>
        </w:rPr>
        <w:t xml:space="preserve">Email: </w:t>
      </w:r>
      <w:hyperlink r:id="rId17" w:history="1">
        <w:r w:rsidRPr="00427F9C">
          <w:rPr>
            <w:rFonts w:cs="Arial"/>
            <w:color w:val="0000FF"/>
            <w:sz w:val="16"/>
            <w:szCs w:val="16"/>
            <w:u w:val="single"/>
            <w:lang w:eastAsia="en-AU"/>
          </w:rPr>
          <w:t>communications@apvma.gov.au</w:t>
        </w:r>
      </w:hyperlink>
      <w:r w:rsidRPr="00427F9C">
        <w:rPr>
          <w:rFonts w:cs="Arial"/>
          <w:color w:val="0000FF"/>
          <w:sz w:val="16"/>
          <w:szCs w:val="16"/>
          <w:u w:val="single"/>
          <w:lang w:eastAsia="en-AU"/>
        </w:rPr>
        <w:t>.</w:t>
      </w:r>
    </w:p>
    <w:p w14:paraId="653AE238" w14:textId="61751B9C" w:rsidR="000425FB" w:rsidRDefault="00862E63" w:rsidP="003B2921">
      <w:pPr>
        <w:pStyle w:val="APVMAImprintText"/>
        <w:ind w:left="-284" w:right="-330"/>
        <w:jc w:val="both"/>
        <w:rPr>
          <w:spacing w:val="0"/>
          <w:szCs w:val="16"/>
          <w:lang w:eastAsia="en-AU"/>
        </w:rPr>
      </w:pPr>
      <w:r w:rsidRPr="00427F9C">
        <w:rPr>
          <w:spacing w:val="0"/>
          <w:szCs w:val="16"/>
          <w:lang w:eastAsia="en-AU"/>
        </w:rPr>
        <w:t xml:space="preserve">This publication is available from the APVMA website: </w:t>
      </w:r>
      <w:hyperlink r:id="rId18" w:history="1">
        <w:r w:rsidRPr="00427F9C">
          <w:rPr>
            <w:rStyle w:val="Hyperlink"/>
            <w:spacing w:val="0"/>
            <w:szCs w:val="16"/>
            <w:lang w:eastAsia="en-AU"/>
          </w:rPr>
          <w:t>www.apvma.gov.au</w:t>
        </w:r>
      </w:hyperlink>
      <w:r w:rsidRPr="00427F9C">
        <w:rPr>
          <w:spacing w:val="0"/>
          <w:szCs w:val="16"/>
          <w:lang w:eastAsia="en-AU"/>
        </w:rPr>
        <w:t>.</w:t>
      </w:r>
      <w:bookmarkEnd w:id="0"/>
    </w:p>
    <w:p w14:paraId="017F8053" w14:textId="77777777" w:rsidR="00A91BD8" w:rsidRDefault="00A91BD8" w:rsidP="003B2921">
      <w:pPr>
        <w:pStyle w:val="APVMAImprintText"/>
        <w:ind w:left="-284" w:right="-330"/>
        <w:jc w:val="both"/>
        <w:rPr>
          <w:spacing w:val="0"/>
          <w:szCs w:val="16"/>
          <w:lang w:eastAsia="en-AU"/>
        </w:rPr>
      </w:pPr>
    </w:p>
    <w:p w14:paraId="7F4D4F8D" w14:textId="77777777" w:rsidR="00A91BD8" w:rsidRDefault="00A91BD8" w:rsidP="003B2921">
      <w:pPr>
        <w:pStyle w:val="APVMAImprintText"/>
        <w:ind w:left="-284" w:right="-330"/>
        <w:jc w:val="both"/>
        <w:rPr>
          <w:spacing w:val="0"/>
          <w:szCs w:val="16"/>
          <w:lang w:eastAsia="en-AU"/>
        </w:rPr>
      </w:pPr>
    </w:p>
    <w:p w14:paraId="7F8A7A26" w14:textId="77777777" w:rsidR="00A91BD8" w:rsidRDefault="00A91BD8">
      <w:pPr>
        <w:rPr>
          <w:rFonts w:ascii="Franklin Gothic Medium" w:hAnsi="Franklin Gothic Medium" w:cs="Arial"/>
          <w:bCs/>
          <w:caps/>
          <w:color w:val="53284F"/>
          <w:kern w:val="20"/>
          <w:sz w:val="32"/>
          <w:szCs w:val="20"/>
          <w:u w:color="000000"/>
        </w:rPr>
      </w:pPr>
      <w:r>
        <w:br w:type="page"/>
      </w:r>
    </w:p>
    <w:p w14:paraId="60D4357A" w14:textId="53F1D523" w:rsidR="002E20AC" w:rsidRPr="00427F9C" w:rsidRDefault="002E20AC" w:rsidP="00862E63">
      <w:pPr>
        <w:pStyle w:val="TOAHeading"/>
      </w:pPr>
      <w:r w:rsidRPr="00427F9C">
        <w:lastRenderedPageBreak/>
        <w:t>Contents</w:t>
      </w:r>
    </w:p>
    <w:p w14:paraId="542A348F" w14:textId="306627EC" w:rsidR="003A0149" w:rsidRDefault="005064D5">
      <w:pPr>
        <w:pStyle w:val="TOC1"/>
        <w:rPr>
          <w:rFonts w:asciiTheme="minorHAnsi" w:eastAsiaTheme="minorEastAsia" w:hAnsiTheme="minorHAnsi" w:cstheme="minorBidi"/>
          <w:b w:val="0"/>
          <w:bCs w:val="0"/>
          <w:caps w:val="0"/>
          <w:color w:val="auto"/>
          <w:kern w:val="2"/>
          <w:sz w:val="22"/>
          <w:szCs w:val="22"/>
          <w:lang w:eastAsia="en-AU"/>
          <w14:ligatures w14:val="standardContextual"/>
        </w:rPr>
      </w:pPr>
      <w:r w:rsidRPr="00427F9C">
        <w:rPr>
          <w:b w:val="0"/>
          <w:bCs w:val="0"/>
          <w:caps w:val="0"/>
        </w:rPr>
        <w:fldChar w:fldCharType="begin"/>
      </w:r>
      <w:r w:rsidRPr="00427F9C">
        <w:rPr>
          <w:b w:val="0"/>
          <w:bCs w:val="0"/>
          <w:caps w:val="0"/>
        </w:rPr>
        <w:instrText xml:space="preserve"> TOC \o "1-3" \h \z \u </w:instrText>
      </w:r>
      <w:r w:rsidRPr="00427F9C">
        <w:rPr>
          <w:b w:val="0"/>
          <w:bCs w:val="0"/>
          <w:caps w:val="0"/>
        </w:rPr>
        <w:fldChar w:fldCharType="separate"/>
      </w:r>
      <w:hyperlink w:anchor="_Toc160083837" w:history="1">
        <w:r w:rsidR="003A0149" w:rsidRPr="00974EC2">
          <w:rPr>
            <w:rStyle w:val="Hyperlink"/>
          </w:rPr>
          <w:t>Introduction</w:t>
        </w:r>
        <w:r w:rsidR="003A0149">
          <w:rPr>
            <w:webHidden/>
          </w:rPr>
          <w:tab/>
        </w:r>
        <w:r w:rsidR="003A0149">
          <w:rPr>
            <w:webHidden/>
          </w:rPr>
          <w:fldChar w:fldCharType="begin"/>
        </w:r>
        <w:r w:rsidR="003A0149">
          <w:rPr>
            <w:webHidden/>
          </w:rPr>
          <w:instrText xml:space="preserve"> PAGEREF _Toc160083837 \h </w:instrText>
        </w:r>
        <w:r w:rsidR="003A0149">
          <w:rPr>
            <w:webHidden/>
          </w:rPr>
        </w:r>
        <w:r w:rsidR="003A0149">
          <w:rPr>
            <w:webHidden/>
          </w:rPr>
          <w:fldChar w:fldCharType="separate"/>
        </w:r>
        <w:r w:rsidR="003A0149">
          <w:rPr>
            <w:webHidden/>
          </w:rPr>
          <w:t>1</w:t>
        </w:r>
        <w:r w:rsidR="003A0149">
          <w:rPr>
            <w:webHidden/>
          </w:rPr>
          <w:fldChar w:fldCharType="end"/>
        </w:r>
      </w:hyperlink>
    </w:p>
    <w:p w14:paraId="722F311B" w14:textId="2C9EE33D" w:rsidR="003A0149" w:rsidRDefault="00000000">
      <w:pPr>
        <w:pStyle w:val="TOC1"/>
        <w:rPr>
          <w:rFonts w:asciiTheme="minorHAnsi" w:eastAsiaTheme="minorEastAsia" w:hAnsiTheme="minorHAnsi" w:cstheme="minorBidi"/>
          <w:b w:val="0"/>
          <w:bCs w:val="0"/>
          <w:caps w:val="0"/>
          <w:color w:val="auto"/>
          <w:kern w:val="2"/>
          <w:sz w:val="22"/>
          <w:szCs w:val="22"/>
          <w:lang w:eastAsia="en-AU"/>
          <w14:ligatures w14:val="standardContextual"/>
        </w:rPr>
      </w:pPr>
      <w:hyperlink w:anchor="_Toc160083838" w:history="1">
        <w:r w:rsidR="003A0149" w:rsidRPr="00974EC2">
          <w:rPr>
            <w:rStyle w:val="Hyperlink"/>
          </w:rPr>
          <w:t>1</w:t>
        </w:r>
        <w:r w:rsidR="003A0149">
          <w:rPr>
            <w:rFonts w:asciiTheme="minorHAnsi" w:eastAsiaTheme="minorEastAsia" w:hAnsiTheme="minorHAnsi" w:cstheme="minorBidi"/>
            <w:b w:val="0"/>
            <w:bCs w:val="0"/>
            <w:caps w:val="0"/>
            <w:color w:val="auto"/>
            <w:kern w:val="2"/>
            <w:sz w:val="22"/>
            <w:szCs w:val="22"/>
            <w:lang w:eastAsia="en-AU"/>
            <w14:ligatures w14:val="standardContextual"/>
          </w:rPr>
          <w:tab/>
        </w:r>
        <w:r w:rsidR="003A0149" w:rsidRPr="00974EC2">
          <w:rPr>
            <w:rStyle w:val="Hyperlink"/>
          </w:rPr>
          <w:t>General principles</w:t>
        </w:r>
        <w:r w:rsidR="003A0149">
          <w:rPr>
            <w:webHidden/>
          </w:rPr>
          <w:tab/>
        </w:r>
        <w:r w:rsidR="003A0149">
          <w:rPr>
            <w:webHidden/>
          </w:rPr>
          <w:fldChar w:fldCharType="begin"/>
        </w:r>
        <w:r w:rsidR="003A0149">
          <w:rPr>
            <w:webHidden/>
          </w:rPr>
          <w:instrText xml:space="preserve"> PAGEREF _Toc160083838 \h </w:instrText>
        </w:r>
        <w:r w:rsidR="003A0149">
          <w:rPr>
            <w:webHidden/>
          </w:rPr>
        </w:r>
        <w:r w:rsidR="003A0149">
          <w:rPr>
            <w:webHidden/>
          </w:rPr>
          <w:fldChar w:fldCharType="separate"/>
        </w:r>
        <w:r w:rsidR="003A0149">
          <w:rPr>
            <w:webHidden/>
          </w:rPr>
          <w:t>2</w:t>
        </w:r>
        <w:r w:rsidR="003A0149">
          <w:rPr>
            <w:webHidden/>
          </w:rPr>
          <w:fldChar w:fldCharType="end"/>
        </w:r>
      </w:hyperlink>
    </w:p>
    <w:p w14:paraId="177BCCE0" w14:textId="17E7EE96"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39" w:history="1">
        <w:r w:rsidR="003A0149" w:rsidRPr="00974EC2">
          <w:rPr>
            <w:rStyle w:val="Hyperlink"/>
          </w:rPr>
          <w:t>Supplying manufactured goods to Australia</w:t>
        </w:r>
        <w:r w:rsidR="003A0149">
          <w:rPr>
            <w:webHidden/>
          </w:rPr>
          <w:tab/>
        </w:r>
        <w:r w:rsidR="003A0149">
          <w:rPr>
            <w:webHidden/>
          </w:rPr>
          <w:fldChar w:fldCharType="begin"/>
        </w:r>
        <w:r w:rsidR="003A0149">
          <w:rPr>
            <w:webHidden/>
          </w:rPr>
          <w:instrText xml:space="preserve"> PAGEREF _Toc160083839 \h </w:instrText>
        </w:r>
        <w:r w:rsidR="003A0149">
          <w:rPr>
            <w:webHidden/>
          </w:rPr>
        </w:r>
        <w:r w:rsidR="003A0149">
          <w:rPr>
            <w:webHidden/>
          </w:rPr>
          <w:fldChar w:fldCharType="separate"/>
        </w:r>
        <w:r w:rsidR="003A0149">
          <w:rPr>
            <w:webHidden/>
          </w:rPr>
          <w:t>2</w:t>
        </w:r>
        <w:r w:rsidR="003A0149">
          <w:rPr>
            <w:webHidden/>
          </w:rPr>
          <w:fldChar w:fldCharType="end"/>
        </w:r>
      </w:hyperlink>
    </w:p>
    <w:p w14:paraId="036F6ECB" w14:textId="33ED3526"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40" w:history="1">
        <w:r w:rsidR="003A0149" w:rsidRPr="00974EC2">
          <w:rPr>
            <w:rStyle w:val="Hyperlink"/>
          </w:rPr>
          <w:t>Confidentiality</w:t>
        </w:r>
        <w:r w:rsidR="003A0149">
          <w:rPr>
            <w:webHidden/>
          </w:rPr>
          <w:tab/>
        </w:r>
        <w:r w:rsidR="003A0149">
          <w:rPr>
            <w:webHidden/>
          </w:rPr>
          <w:fldChar w:fldCharType="begin"/>
        </w:r>
        <w:r w:rsidR="003A0149">
          <w:rPr>
            <w:webHidden/>
          </w:rPr>
          <w:instrText xml:space="preserve"> PAGEREF _Toc160083840 \h </w:instrText>
        </w:r>
        <w:r w:rsidR="003A0149">
          <w:rPr>
            <w:webHidden/>
          </w:rPr>
        </w:r>
        <w:r w:rsidR="003A0149">
          <w:rPr>
            <w:webHidden/>
          </w:rPr>
          <w:fldChar w:fldCharType="separate"/>
        </w:r>
        <w:r w:rsidR="003A0149">
          <w:rPr>
            <w:webHidden/>
          </w:rPr>
          <w:t>2</w:t>
        </w:r>
        <w:r w:rsidR="003A0149">
          <w:rPr>
            <w:webHidden/>
          </w:rPr>
          <w:fldChar w:fldCharType="end"/>
        </w:r>
      </w:hyperlink>
    </w:p>
    <w:p w14:paraId="64FA04D0" w14:textId="72897B1D"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41" w:history="1">
        <w:r w:rsidR="003A0149" w:rsidRPr="00974EC2">
          <w:rPr>
            <w:rStyle w:val="Hyperlink"/>
          </w:rPr>
          <w:t>Determining whether a licencing or GMP compliance letter is required</w:t>
        </w:r>
        <w:r w:rsidR="003A0149">
          <w:rPr>
            <w:webHidden/>
          </w:rPr>
          <w:tab/>
        </w:r>
        <w:r w:rsidR="003A0149">
          <w:rPr>
            <w:webHidden/>
          </w:rPr>
          <w:fldChar w:fldCharType="begin"/>
        </w:r>
        <w:r w:rsidR="003A0149">
          <w:rPr>
            <w:webHidden/>
          </w:rPr>
          <w:instrText xml:space="preserve"> PAGEREF _Toc160083841 \h </w:instrText>
        </w:r>
        <w:r w:rsidR="003A0149">
          <w:rPr>
            <w:webHidden/>
          </w:rPr>
        </w:r>
        <w:r w:rsidR="003A0149">
          <w:rPr>
            <w:webHidden/>
          </w:rPr>
          <w:fldChar w:fldCharType="separate"/>
        </w:r>
        <w:r w:rsidR="003A0149">
          <w:rPr>
            <w:webHidden/>
          </w:rPr>
          <w:t>2</w:t>
        </w:r>
        <w:r w:rsidR="003A0149">
          <w:rPr>
            <w:webHidden/>
          </w:rPr>
          <w:fldChar w:fldCharType="end"/>
        </w:r>
      </w:hyperlink>
    </w:p>
    <w:p w14:paraId="669779B3" w14:textId="2FD072A6"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42" w:history="1">
        <w:r w:rsidR="003A0149" w:rsidRPr="00974EC2">
          <w:rPr>
            <w:rStyle w:val="Hyperlink"/>
          </w:rPr>
          <w:t>Independent advice</w:t>
        </w:r>
        <w:r w:rsidR="003A0149">
          <w:rPr>
            <w:webHidden/>
          </w:rPr>
          <w:tab/>
        </w:r>
        <w:r w:rsidR="003A0149">
          <w:rPr>
            <w:webHidden/>
          </w:rPr>
          <w:fldChar w:fldCharType="begin"/>
        </w:r>
        <w:r w:rsidR="003A0149">
          <w:rPr>
            <w:webHidden/>
          </w:rPr>
          <w:instrText xml:space="preserve"> PAGEREF _Toc160083842 \h </w:instrText>
        </w:r>
        <w:r w:rsidR="003A0149">
          <w:rPr>
            <w:webHidden/>
          </w:rPr>
        </w:r>
        <w:r w:rsidR="003A0149">
          <w:rPr>
            <w:webHidden/>
          </w:rPr>
          <w:fldChar w:fldCharType="separate"/>
        </w:r>
        <w:r w:rsidR="003A0149">
          <w:rPr>
            <w:webHidden/>
          </w:rPr>
          <w:t>3</w:t>
        </w:r>
        <w:r w:rsidR="003A0149">
          <w:rPr>
            <w:webHidden/>
          </w:rPr>
          <w:fldChar w:fldCharType="end"/>
        </w:r>
      </w:hyperlink>
    </w:p>
    <w:p w14:paraId="5C24B592" w14:textId="16C3E8D5"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43" w:history="1">
        <w:r w:rsidR="003A0149" w:rsidRPr="00974EC2">
          <w:rPr>
            <w:rStyle w:val="Hyperlink"/>
          </w:rPr>
          <w:t>Responsibilities of key persons</w:t>
        </w:r>
        <w:r w:rsidR="003A0149">
          <w:rPr>
            <w:webHidden/>
          </w:rPr>
          <w:tab/>
        </w:r>
        <w:r w:rsidR="003A0149">
          <w:rPr>
            <w:webHidden/>
          </w:rPr>
          <w:fldChar w:fldCharType="begin"/>
        </w:r>
        <w:r w:rsidR="003A0149">
          <w:rPr>
            <w:webHidden/>
          </w:rPr>
          <w:instrText xml:space="preserve"> PAGEREF _Toc160083843 \h </w:instrText>
        </w:r>
        <w:r w:rsidR="003A0149">
          <w:rPr>
            <w:webHidden/>
          </w:rPr>
        </w:r>
        <w:r w:rsidR="003A0149">
          <w:rPr>
            <w:webHidden/>
          </w:rPr>
          <w:fldChar w:fldCharType="separate"/>
        </w:r>
        <w:r w:rsidR="003A0149">
          <w:rPr>
            <w:webHidden/>
          </w:rPr>
          <w:t>3</w:t>
        </w:r>
        <w:r w:rsidR="003A0149">
          <w:rPr>
            <w:webHidden/>
          </w:rPr>
          <w:fldChar w:fldCharType="end"/>
        </w:r>
      </w:hyperlink>
    </w:p>
    <w:p w14:paraId="07569150" w14:textId="1A8B7A63"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44" w:history="1">
        <w:r w:rsidR="003A0149" w:rsidRPr="00974EC2">
          <w:rPr>
            <w:rStyle w:val="Hyperlink"/>
          </w:rPr>
          <w:t>Variations to a licence or its conditions</w:t>
        </w:r>
        <w:r w:rsidR="003A0149">
          <w:rPr>
            <w:webHidden/>
          </w:rPr>
          <w:tab/>
        </w:r>
        <w:r w:rsidR="003A0149">
          <w:rPr>
            <w:webHidden/>
          </w:rPr>
          <w:fldChar w:fldCharType="begin"/>
        </w:r>
        <w:r w:rsidR="003A0149">
          <w:rPr>
            <w:webHidden/>
          </w:rPr>
          <w:instrText xml:space="preserve"> PAGEREF _Toc160083844 \h </w:instrText>
        </w:r>
        <w:r w:rsidR="003A0149">
          <w:rPr>
            <w:webHidden/>
          </w:rPr>
        </w:r>
        <w:r w:rsidR="003A0149">
          <w:rPr>
            <w:webHidden/>
          </w:rPr>
          <w:fldChar w:fldCharType="separate"/>
        </w:r>
        <w:r w:rsidR="003A0149">
          <w:rPr>
            <w:webHidden/>
          </w:rPr>
          <w:t>3</w:t>
        </w:r>
        <w:r w:rsidR="003A0149">
          <w:rPr>
            <w:webHidden/>
          </w:rPr>
          <w:fldChar w:fldCharType="end"/>
        </w:r>
      </w:hyperlink>
    </w:p>
    <w:p w14:paraId="1F11536D" w14:textId="69DC8EE3"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45" w:history="1">
        <w:r w:rsidR="003A0149" w:rsidRPr="00974EC2">
          <w:rPr>
            <w:rStyle w:val="Hyperlink"/>
          </w:rPr>
          <w:t>Recalls</w:t>
        </w:r>
        <w:r w:rsidR="003A0149">
          <w:rPr>
            <w:webHidden/>
          </w:rPr>
          <w:tab/>
        </w:r>
        <w:r w:rsidR="003A0149">
          <w:rPr>
            <w:webHidden/>
          </w:rPr>
          <w:fldChar w:fldCharType="begin"/>
        </w:r>
        <w:r w:rsidR="003A0149">
          <w:rPr>
            <w:webHidden/>
          </w:rPr>
          <w:instrText xml:space="preserve"> PAGEREF _Toc160083845 \h </w:instrText>
        </w:r>
        <w:r w:rsidR="003A0149">
          <w:rPr>
            <w:webHidden/>
          </w:rPr>
        </w:r>
        <w:r w:rsidR="003A0149">
          <w:rPr>
            <w:webHidden/>
          </w:rPr>
          <w:fldChar w:fldCharType="separate"/>
        </w:r>
        <w:r w:rsidR="003A0149">
          <w:rPr>
            <w:webHidden/>
          </w:rPr>
          <w:t>3</w:t>
        </w:r>
        <w:r w:rsidR="003A0149">
          <w:rPr>
            <w:webHidden/>
          </w:rPr>
          <w:fldChar w:fldCharType="end"/>
        </w:r>
      </w:hyperlink>
    </w:p>
    <w:p w14:paraId="76BA3A43" w14:textId="17A1E4ED" w:rsidR="003A0149" w:rsidRDefault="00000000">
      <w:pPr>
        <w:pStyle w:val="TOC1"/>
        <w:rPr>
          <w:rFonts w:asciiTheme="minorHAnsi" w:eastAsiaTheme="minorEastAsia" w:hAnsiTheme="minorHAnsi" w:cstheme="minorBidi"/>
          <w:b w:val="0"/>
          <w:bCs w:val="0"/>
          <w:caps w:val="0"/>
          <w:color w:val="auto"/>
          <w:kern w:val="2"/>
          <w:sz w:val="22"/>
          <w:szCs w:val="22"/>
          <w:lang w:eastAsia="en-AU"/>
          <w14:ligatures w14:val="standardContextual"/>
        </w:rPr>
      </w:pPr>
      <w:hyperlink w:anchor="_Toc160083846" w:history="1">
        <w:r w:rsidR="003A0149" w:rsidRPr="00974EC2">
          <w:rPr>
            <w:rStyle w:val="Hyperlink"/>
          </w:rPr>
          <w:t>2</w:t>
        </w:r>
        <w:r w:rsidR="003A0149">
          <w:rPr>
            <w:rFonts w:asciiTheme="minorHAnsi" w:eastAsiaTheme="minorEastAsia" w:hAnsiTheme="minorHAnsi" w:cstheme="minorBidi"/>
            <w:b w:val="0"/>
            <w:bCs w:val="0"/>
            <w:caps w:val="0"/>
            <w:color w:val="auto"/>
            <w:kern w:val="2"/>
            <w:sz w:val="22"/>
            <w:szCs w:val="22"/>
            <w:lang w:eastAsia="en-AU"/>
            <w14:ligatures w14:val="standardContextual"/>
          </w:rPr>
          <w:tab/>
        </w:r>
        <w:r w:rsidR="003A0149" w:rsidRPr="00974EC2">
          <w:rPr>
            <w:rStyle w:val="Hyperlink"/>
          </w:rPr>
          <w:t>Audit pathways: overview</w:t>
        </w:r>
        <w:r w:rsidR="003A0149">
          <w:rPr>
            <w:webHidden/>
          </w:rPr>
          <w:tab/>
        </w:r>
        <w:r w:rsidR="003A0149">
          <w:rPr>
            <w:webHidden/>
          </w:rPr>
          <w:fldChar w:fldCharType="begin"/>
        </w:r>
        <w:r w:rsidR="003A0149">
          <w:rPr>
            <w:webHidden/>
          </w:rPr>
          <w:instrText xml:space="preserve"> PAGEREF _Toc160083846 \h </w:instrText>
        </w:r>
        <w:r w:rsidR="003A0149">
          <w:rPr>
            <w:webHidden/>
          </w:rPr>
        </w:r>
        <w:r w:rsidR="003A0149">
          <w:rPr>
            <w:webHidden/>
          </w:rPr>
          <w:fldChar w:fldCharType="separate"/>
        </w:r>
        <w:r w:rsidR="003A0149">
          <w:rPr>
            <w:webHidden/>
          </w:rPr>
          <w:t>5</w:t>
        </w:r>
        <w:r w:rsidR="003A0149">
          <w:rPr>
            <w:webHidden/>
          </w:rPr>
          <w:fldChar w:fldCharType="end"/>
        </w:r>
      </w:hyperlink>
    </w:p>
    <w:p w14:paraId="615A08FC" w14:textId="2C96B13D" w:rsidR="003A0149"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083847" w:history="1">
        <w:r w:rsidR="003A0149" w:rsidRPr="00974EC2">
          <w:rPr>
            <w:rStyle w:val="Hyperlink"/>
          </w:rPr>
          <w:t>2.1</w:t>
        </w:r>
        <w:r w:rsidR="003A0149">
          <w:rPr>
            <w:rFonts w:asciiTheme="minorHAnsi" w:eastAsiaTheme="minorEastAsia" w:hAnsiTheme="minorHAnsi" w:cstheme="minorBidi"/>
            <w:b w:val="0"/>
            <w:color w:val="auto"/>
            <w:kern w:val="2"/>
            <w:sz w:val="22"/>
            <w:szCs w:val="22"/>
            <w:lang w:eastAsia="en-AU"/>
            <w14:ligatures w14:val="standardContextual"/>
          </w:rPr>
          <w:tab/>
        </w:r>
        <w:r w:rsidR="003A0149" w:rsidRPr="00974EC2">
          <w:rPr>
            <w:rStyle w:val="Hyperlink"/>
          </w:rPr>
          <w:t>APVMA Audits</w:t>
        </w:r>
        <w:r w:rsidR="003A0149">
          <w:rPr>
            <w:webHidden/>
          </w:rPr>
          <w:tab/>
        </w:r>
        <w:r w:rsidR="003A0149">
          <w:rPr>
            <w:webHidden/>
          </w:rPr>
          <w:fldChar w:fldCharType="begin"/>
        </w:r>
        <w:r w:rsidR="003A0149">
          <w:rPr>
            <w:webHidden/>
          </w:rPr>
          <w:instrText xml:space="preserve"> PAGEREF _Toc160083847 \h </w:instrText>
        </w:r>
        <w:r w:rsidR="003A0149">
          <w:rPr>
            <w:webHidden/>
          </w:rPr>
        </w:r>
        <w:r w:rsidR="003A0149">
          <w:rPr>
            <w:webHidden/>
          </w:rPr>
          <w:fldChar w:fldCharType="separate"/>
        </w:r>
        <w:r w:rsidR="003A0149">
          <w:rPr>
            <w:webHidden/>
          </w:rPr>
          <w:t>5</w:t>
        </w:r>
        <w:r w:rsidR="003A0149">
          <w:rPr>
            <w:webHidden/>
          </w:rPr>
          <w:fldChar w:fldCharType="end"/>
        </w:r>
      </w:hyperlink>
    </w:p>
    <w:p w14:paraId="56179412" w14:textId="7519657F"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48" w:history="1">
        <w:r w:rsidR="003A0149" w:rsidRPr="00974EC2">
          <w:rPr>
            <w:rStyle w:val="Hyperlink"/>
          </w:rPr>
          <w:t>Routine GMP audits</w:t>
        </w:r>
        <w:r w:rsidR="003A0149">
          <w:rPr>
            <w:webHidden/>
          </w:rPr>
          <w:tab/>
        </w:r>
        <w:r w:rsidR="003A0149">
          <w:rPr>
            <w:webHidden/>
          </w:rPr>
          <w:fldChar w:fldCharType="begin"/>
        </w:r>
        <w:r w:rsidR="003A0149">
          <w:rPr>
            <w:webHidden/>
          </w:rPr>
          <w:instrText xml:space="preserve"> PAGEREF _Toc160083848 \h </w:instrText>
        </w:r>
        <w:r w:rsidR="003A0149">
          <w:rPr>
            <w:webHidden/>
          </w:rPr>
        </w:r>
        <w:r w:rsidR="003A0149">
          <w:rPr>
            <w:webHidden/>
          </w:rPr>
          <w:fldChar w:fldCharType="separate"/>
        </w:r>
        <w:r w:rsidR="003A0149">
          <w:rPr>
            <w:webHidden/>
          </w:rPr>
          <w:t>5</w:t>
        </w:r>
        <w:r w:rsidR="003A0149">
          <w:rPr>
            <w:webHidden/>
          </w:rPr>
          <w:fldChar w:fldCharType="end"/>
        </w:r>
      </w:hyperlink>
    </w:p>
    <w:p w14:paraId="61985F49" w14:textId="26D794A2"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49" w:history="1">
        <w:r w:rsidR="003A0149" w:rsidRPr="00974EC2">
          <w:rPr>
            <w:rStyle w:val="Hyperlink"/>
          </w:rPr>
          <w:t>Adding a new manufacturing site(s)</w:t>
        </w:r>
        <w:r w:rsidR="003A0149">
          <w:rPr>
            <w:webHidden/>
          </w:rPr>
          <w:tab/>
        </w:r>
        <w:r w:rsidR="003A0149">
          <w:rPr>
            <w:webHidden/>
          </w:rPr>
          <w:fldChar w:fldCharType="begin"/>
        </w:r>
        <w:r w:rsidR="003A0149">
          <w:rPr>
            <w:webHidden/>
          </w:rPr>
          <w:instrText xml:space="preserve"> PAGEREF _Toc160083849 \h </w:instrText>
        </w:r>
        <w:r w:rsidR="003A0149">
          <w:rPr>
            <w:webHidden/>
          </w:rPr>
        </w:r>
        <w:r w:rsidR="003A0149">
          <w:rPr>
            <w:webHidden/>
          </w:rPr>
          <w:fldChar w:fldCharType="separate"/>
        </w:r>
        <w:r w:rsidR="003A0149">
          <w:rPr>
            <w:webHidden/>
          </w:rPr>
          <w:t>6</w:t>
        </w:r>
        <w:r w:rsidR="003A0149">
          <w:rPr>
            <w:webHidden/>
          </w:rPr>
          <w:fldChar w:fldCharType="end"/>
        </w:r>
      </w:hyperlink>
    </w:p>
    <w:p w14:paraId="2D8C712D" w14:textId="66F40C5F"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50" w:history="1">
        <w:r w:rsidR="003A0149" w:rsidRPr="00974EC2">
          <w:rPr>
            <w:rStyle w:val="Hyperlink"/>
          </w:rPr>
          <w:t>Varying a licence</w:t>
        </w:r>
        <w:r w:rsidR="003A0149">
          <w:rPr>
            <w:webHidden/>
          </w:rPr>
          <w:tab/>
        </w:r>
        <w:r w:rsidR="003A0149">
          <w:rPr>
            <w:webHidden/>
          </w:rPr>
          <w:fldChar w:fldCharType="begin"/>
        </w:r>
        <w:r w:rsidR="003A0149">
          <w:rPr>
            <w:webHidden/>
          </w:rPr>
          <w:instrText xml:space="preserve"> PAGEREF _Toc160083850 \h </w:instrText>
        </w:r>
        <w:r w:rsidR="003A0149">
          <w:rPr>
            <w:webHidden/>
          </w:rPr>
        </w:r>
        <w:r w:rsidR="003A0149">
          <w:rPr>
            <w:webHidden/>
          </w:rPr>
          <w:fldChar w:fldCharType="separate"/>
        </w:r>
        <w:r w:rsidR="003A0149">
          <w:rPr>
            <w:webHidden/>
          </w:rPr>
          <w:t>7</w:t>
        </w:r>
        <w:r w:rsidR="003A0149">
          <w:rPr>
            <w:webHidden/>
          </w:rPr>
          <w:fldChar w:fldCharType="end"/>
        </w:r>
      </w:hyperlink>
    </w:p>
    <w:p w14:paraId="7FDE9646" w14:textId="1A9F8C28"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51" w:history="1">
        <w:r w:rsidR="003A0149" w:rsidRPr="00974EC2">
          <w:rPr>
            <w:rStyle w:val="Hyperlink"/>
          </w:rPr>
          <w:t>Observing audits</w:t>
        </w:r>
        <w:r w:rsidR="003A0149">
          <w:rPr>
            <w:webHidden/>
          </w:rPr>
          <w:tab/>
        </w:r>
        <w:r w:rsidR="003A0149">
          <w:rPr>
            <w:webHidden/>
          </w:rPr>
          <w:fldChar w:fldCharType="begin"/>
        </w:r>
        <w:r w:rsidR="003A0149">
          <w:rPr>
            <w:webHidden/>
          </w:rPr>
          <w:instrText xml:space="preserve"> PAGEREF _Toc160083851 \h </w:instrText>
        </w:r>
        <w:r w:rsidR="003A0149">
          <w:rPr>
            <w:webHidden/>
          </w:rPr>
        </w:r>
        <w:r w:rsidR="003A0149">
          <w:rPr>
            <w:webHidden/>
          </w:rPr>
          <w:fldChar w:fldCharType="separate"/>
        </w:r>
        <w:r w:rsidR="003A0149">
          <w:rPr>
            <w:webHidden/>
          </w:rPr>
          <w:t>7</w:t>
        </w:r>
        <w:r w:rsidR="003A0149">
          <w:rPr>
            <w:webHidden/>
          </w:rPr>
          <w:fldChar w:fldCharType="end"/>
        </w:r>
      </w:hyperlink>
    </w:p>
    <w:p w14:paraId="1937EDD9" w14:textId="701E7899" w:rsidR="003A0149"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083852" w:history="1">
        <w:r w:rsidR="003A0149" w:rsidRPr="00974EC2">
          <w:rPr>
            <w:rStyle w:val="Hyperlink"/>
          </w:rPr>
          <w:t>2.2</w:t>
        </w:r>
        <w:r w:rsidR="003A0149">
          <w:rPr>
            <w:rFonts w:asciiTheme="minorHAnsi" w:eastAsiaTheme="minorEastAsia" w:hAnsiTheme="minorHAnsi" w:cstheme="minorBidi"/>
            <w:b w:val="0"/>
            <w:color w:val="auto"/>
            <w:kern w:val="2"/>
            <w:sz w:val="22"/>
            <w:szCs w:val="22"/>
            <w:lang w:eastAsia="en-AU"/>
            <w14:ligatures w14:val="standardContextual"/>
          </w:rPr>
          <w:tab/>
        </w:r>
        <w:r w:rsidR="003A0149" w:rsidRPr="00974EC2">
          <w:rPr>
            <w:rStyle w:val="Hyperlink"/>
          </w:rPr>
          <w:t>TGA Audits</w:t>
        </w:r>
        <w:r w:rsidR="003A0149">
          <w:rPr>
            <w:webHidden/>
          </w:rPr>
          <w:tab/>
        </w:r>
        <w:r w:rsidR="003A0149">
          <w:rPr>
            <w:webHidden/>
          </w:rPr>
          <w:fldChar w:fldCharType="begin"/>
        </w:r>
        <w:r w:rsidR="003A0149">
          <w:rPr>
            <w:webHidden/>
          </w:rPr>
          <w:instrText xml:space="preserve"> PAGEREF _Toc160083852 \h </w:instrText>
        </w:r>
        <w:r w:rsidR="003A0149">
          <w:rPr>
            <w:webHidden/>
          </w:rPr>
        </w:r>
        <w:r w:rsidR="003A0149">
          <w:rPr>
            <w:webHidden/>
          </w:rPr>
          <w:fldChar w:fldCharType="separate"/>
        </w:r>
        <w:r w:rsidR="003A0149">
          <w:rPr>
            <w:webHidden/>
          </w:rPr>
          <w:t>8</w:t>
        </w:r>
        <w:r w:rsidR="003A0149">
          <w:rPr>
            <w:webHidden/>
          </w:rPr>
          <w:fldChar w:fldCharType="end"/>
        </w:r>
      </w:hyperlink>
    </w:p>
    <w:p w14:paraId="11AC5F66" w14:textId="58D4B907"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53" w:history="1">
        <w:r w:rsidR="003A0149" w:rsidRPr="00974EC2">
          <w:rPr>
            <w:rStyle w:val="Hyperlink"/>
          </w:rPr>
          <w:t>APVMA-TGA memorandum of understanding</w:t>
        </w:r>
        <w:r w:rsidR="003A0149">
          <w:rPr>
            <w:webHidden/>
          </w:rPr>
          <w:tab/>
        </w:r>
        <w:r w:rsidR="003A0149">
          <w:rPr>
            <w:webHidden/>
          </w:rPr>
          <w:fldChar w:fldCharType="begin"/>
        </w:r>
        <w:r w:rsidR="003A0149">
          <w:rPr>
            <w:webHidden/>
          </w:rPr>
          <w:instrText xml:space="preserve"> PAGEREF _Toc160083853 \h </w:instrText>
        </w:r>
        <w:r w:rsidR="003A0149">
          <w:rPr>
            <w:webHidden/>
          </w:rPr>
        </w:r>
        <w:r w:rsidR="003A0149">
          <w:rPr>
            <w:webHidden/>
          </w:rPr>
          <w:fldChar w:fldCharType="separate"/>
        </w:r>
        <w:r w:rsidR="003A0149">
          <w:rPr>
            <w:webHidden/>
          </w:rPr>
          <w:t>8</w:t>
        </w:r>
        <w:r w:rsidR="003A0149">
          <w:rPr>
            <w:webHidden/>
          </w:rPr>
          <w:fldChar w:fldCharType="end"/>
        </w:r>
      </w:hyperlink>
    </w:p>
    <w:p w14:paraId="1CD47D0F" w14:textId="4C95D8DA"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54" w:history="1">
        <w:r w:rsidR="003A0149" w:rsidRPr="00974EC2">
          <w:rPr>
            <w:rStyle w:val="Hyperlink"/>
          </w:rPr>
          <w:t>TGA Audit process</w:t>
        </w:r>
        <w:r w:rsidR="003A0149">
          <w:rPr>
            <w:webHidden/>
          </w:rPr>
          <w:tab/>
        </w:r>
        <w:r w:rsidR="003A0149">
          <w:rPr>
            <w:webHidden/>
          </w:rPr>
          <w:fldChar w:fldCharType="begin"/>
        </w:r>
        <w:r w:rsidR="003A0149">
          <w:rPr>
            <w:webHidden/>
          </w:rPr>
          <w:instrText xml:space="preserve"> PAGEREF _Toc160083854 \h </w:instrText>
        </w:r>
        <w:r w:rsidR="003A0149">
          <w:rPr>
            <w:webHidden/>
          </w:rPr>
        </w:r>
        <w:r w:rsidR="003A0149">
          <w:rPr>
            <w:webHidden/>
          </w:rPr>
          <w:fldChar w:fldCharType="separate"/>
        </w:r>
        <w:r w:rsidR="003A0149">
          <w:rPr>
            <w:webHidden/>
          </w:rPr>
          <w:t>8</w:t>
        </w:r>
        <w:r w:rsidR="003A0149">
          <w:rPr>
            <w:webHidden/>
          </w:rPr>
          <w:fldChar w:fldCharType="end"/>
        </w:r>
      </w:hyperlink>
    </w:p>
    <w:p w14:paraId="1ECE7A59" w14:textId="4E4CFB0C" w:rsidR="003A0149"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083855" w:history="1">
        <w:r w:rsidR="003A0149" w:rsidRPr="00974EC2">
          <w:rPr>
            <w:rStyle w:val="Hyperlink"/>
          </w:rPr>
          <w:t>2.3</w:t>
        </w:r>
        <w:r w:rsidR="003A0149">
          <w:rPr>
            <w:rFonts w:asciiTheme="minorHAnsi" w:eastAsiaTheme="minorEastAsia" w:hAnsiTheme="minorHAnsi" w:cstheme="minorBidi"/>
            <w:b w:val="0"/>
            <w:color w:val="auto"/>
            <w:kern w:val="2"/>
            <w:sz w:val="22"/>
            <w:szCs w:val="22"/>
            <w:lang w:eastAsia="en-AU"/>
            <w14:ligatures w14:val="standardContextual"/>
          </w:rPr>
          <w:tab/>
        </w:r>
        <w:r w:rsidR="003A0149" w:rsidRPr="00974EC2">
          <w:rPr>
            <w:rStyle w:val="Hyperlink"/>
          </w:rPr>
          <w:t>NATA Audits</w:t>
        </w:r>
        <w:r w:rsidR="003A0149">
          <w:rPr>
            <w:webHidden/>
          </w:rPr>
          <w:tab/>
        </w:r>
        <w:r w:rsidR="003A0149">
          <w:rPr>
            <w:webHidden/>
          </w:rPr>
          <w:fldChar w:fldCharType="begin"/>
        </w:r>
        <w:r w:rsidR="003A0149">
          <w:rPr>
            <w:webHidden/>
          </w:rPr>
          <w:instrText xml:space="preserve"> PAGEREF _Toc160083855 \h </w:instrText>
        </w:r>
        <w:r w:rsidR="003A0149">
          <w:rPr>
            <w:webHidden/>
          </w:rPr>
        </w:r>
        <w:r w:rsidR="003A0149">
          <w:rPr>
            <w:webHidden/>
          </w:rPr>
          <w:fldChar w:fldCharType="separate"/>
        </w:r>
        <w:r w:rsidR="003A0149">
          <w:rPr>
            <w:webHidden/>
          </w:rPr>
          <w:t>10</w:t>
        </w:r>
        <w:r w:rsidR="003A0149">
          <w:rPr>
            <w:webHidden/>
          </w:rPr>
          <w:fldChar w:fldCharType="end"/>
        </w:r>
      </w:hyperlink>
    </w:p>
    <w:p w14:paraId="72387043" w14:textId="397BD592" w:rsidR="003A0149" w:rsidRDefault="00000000">
      <w:pPr>
        <w:pStyle w:val="TOC1"/>
        <w:rPr>
          <w:rFonts w:asciiTheme="minorHAnsi" w:eastAsiaTheme="minorEastAsia" w:hAnsiTheme="minorHAnsi" w:cstheme="minorBidi"/>
          <w:b w:val="0"/>
          <w:bCs w:val="0"/>
          <w:caps w:val="0"/>
          <w:color w:val="auto"/>
          <w:kern w:val="2"/>
          <w:sz w:val="22"/>
          <w:szCs w:val="22"/>
          <w:lang w:eastAsia="en-AU"/>
          <w14:ligatures w14:val="standardContextual"/>
        </w:rPr>
      </w:pPr>
      <w:hyperlink w:anchor="_Toc160083856" w:history="1">
        <w:r w:rsidR="003A0149" w:rsidRPr="00974EC2">
          <w:rPr>
            <w:rStyle w:val="Hyperlink"/>
          </w:rPr>
          <w:t>3</w:t>
        </w:r>
        <w:r w:rsidR="003A0149">
          <w:rPr>
            <w:rFonts w:asciiTheme="minorHAnsi" w:eastAsiaTheme="minorEastAsia" w:hAnsiTheme="minorHAnsi" w:cstheme="minorBidi"/>
            <w:b w:val="0"/>
            <w:bCs w:val="0"/>
            <w:caps w:val="0"/>
            <w:color w:val="auto"/>
            <w:kern w:val="2"/>
            <w:sz w:val="22"/>
            <w:szCs w:val="22"/>
            <w:lang w:eastAsia="en-AU"/>
            <w14:ligatures w14:val="standardContextual"/>
          </w:rPr>
          <w:tab/>
        </w:r>
        <w:r w:rsidR="003A0149" w:rsidRPr="00974EC2">
          <w:rPr>
            <w:rStyle w:val="Hyperlink"/>
          </w:rPr>
          <w:t>APVMA audits: procedure</w:t>
        </w:r>
        <w:r w:rsidR="003A0149">
          <w:rPr>
            <w:webHidden/>
          </w:rPr>
          <w:tab/>
        </w:r>
        <w:r w:rsidR="003A0149">
          <w:rPr>
            <w:webHidden/>
          </w:rPr>
          <w:fldChar w:fldCharType="begin"/>
        </w:r>
        <w:r w:rsidR="003A0149">
          <w:rPr>
            <w:webHidden/>
          </w:rPr>
          <w:instrText xml:space="preserve"> PAGEREF _Toc160083856 \h </w:instrText>
        </w:r>
        <w:r w:rsidR="003A0149">
          <w:rPr>
            <w:webHidden/>
          </w:rPr>
        </w:r>
        <w:r w:rsidR="003A0149">
          <w:rPr>
            <w:webHidden/>
          </w:rPr>
          <w:fldChar w:fldCharType="separate"/>
        </w:r>
        <w:r w:rsidR="003A0149">
          <w:rPr>
            <w:webHidden/>
          </w:rPr>
          <w:t>12</w:t>
        </w:r>
        <w:r w:rsidR="003A0149">
          <w:rPr>
            <w:webHidden/>
          </w:rPr>
          <w:fldChar w:fldCharType="end"/>
        </w:r>
      </w:hyperlink>
    </w:p>
    <w:p w14:paraId="7A37A290" w14:textId="4178C6A2" w:rsidR="003A0149"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083857" w:history="1">
        <w:r w:rsidR="003A0149" w:rsidRPr="00974EC2">
          <w:rPr>
            <w:rStyle w:val="Hyperlink"/>
          </w:rPr>
          <w:t>3.1</w:t>
        </w:r>
        <w:r w:rsidR="003A0149">
          <w:rPr>
            <w:rFonts w:asciiTheme="minorHAnsi" w:eastAsiaTheme="minorEastAsia" w:hAnsiTheme="minorHAnsi" w:cstheme="minorBidi"/>
            <w:b w:val="0"/>
            <w:color w:val="auto"/>
            <w:kern w:val="2"/>
            <w:sz w:val="22"/>
            <w:szCs w:val="22"/>
            <w:lang w:eastAsia="en-AU"/>
            <w14:ligatures w14:val="standardContextual"/>
          </w:rPr>
          <w:tab/>
        </w:r>
        <w:r w:rsidR="003A0149" w:rsidRPr="00974EC2">
          <w:rPr>
            <w:rStyle w:val="Hyperlink"/>
          </w:rPr>
          <w:t>Before the audit</w:t>
        </w:r>
        <w:r w:rsidR="003A0149">
          <w:rPr>
            <w:webHidden/>
          </w:rPr>
          <w:tab/>
        </w:r>
        <w:r w:rsidR="003A0149">
          <w:rPr>
            <w:webHidden/>
          </w:rPr>
          <w:fldChar w:fldCharType="begin"/>
        </w:r>
        <w:r w:rsidR="003A0149">
          <w:rPr>
            <w:webHidden/>
          </w:rPr>
          <w:instrText xml:space="preserve"> PAGEREF _Toc160083857 \h </w:instrText>
        </w:r>
        <w:r w:rsidR="003A0149">
          <w:rPr>
            <w:webHidden/>
          </w:rPr>
        </w:r>
        <w:r w:rsidR="003A0149">
          <w:rPr>
            <w:webHidden/>
          </w:rPr>
          <w:fldChar w:fldCharType="separate"/>
        </w:r>
        <w:r w:rsidR="003A0149">
          <w:rPr>
            <w:webHidden/>
          </w:rPr>
          <w:t>12</w:t>
        </w:r>
        <w:r w:rsidR="003A0149">
          <w:rPr>
            <w:webHidden/>
          </w:rPr>
          <w:fldChar w:fldCharType="end"/>
        </w:r>
      </w:hyperlink>
    </w:p>
    <w:p w14:paraId="436461A1" w14:textId="3E9C1B57"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58" w:history="1">
        <w:r w:rsidR="003A0149" w:rsidRPr="00974EC2">
          <w:rPr>
            <w:rStyle w:val="Hyperlink"/>
          </w:rPr>
          <w:t>APVMA determines audit duration</w:t>
        </w:r>
        <w:r w:rsidR="003A0149">
          <w:rPr>
            <w:webHidden/>
          </w:rPr>
          <w:tab/>
        </w:r>
        <w:r w:rsidR="003A0149">
          <w:rPr>
            <w:webHidden/>
          </w:rPr>
          <w:fldChar w:fldCharType="begin"/>
        </w:r>
        <w:r w:rsidR="003A0149">
          <w:rPr>
            <w:webHidden/>
          </w:rPr>
          <w:instrText xml:space="preserve"> PAGEREF _Toc160083858 \h </w:instrText>
        </w:r>
        <w:r w:rsidR="003A0149">
          <w:rPr>
            <w:webHidden/>
          </w:rPr>
        </w:r>
        <w:r w:rsidR="003A0149">
          <w:rPr>
            <w:webHidden/>
          </w:rPr>
          <w:fldChar w:fldCharType="separate"/>
        </w:r>
        <w:r w:rsidR="003A0149">
          <w:rPr>
            <w:webHidden/>
          </w:rPr>
          <w:t>12</w:t>
        </w:r>
        <w:r w:rsidR="003A0149">
          <w:rPr>
            <w:webHidden/>
          </w:rPr>
          <w:fldChar w:fldCharType="end"/>
        </w:r>
      </w:hyperlink>
    </w:p>
    <w:p w14:paraId="7D0225F1" w14:textId="763BFFD2"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59" w:history="1">
        <w:r w:rsidR="003A0149" w:rsidRPr="00974EC2">
          <w:rPr>
            <w:rStyle w:val="Hyperlink"/>
          </w:rPr>
          <w:t>Communicating audit duration to the Licence Holder</w:t>
        </w:r>
        <w:r w:rsidR="003A0149">
          <w:rPr>
            <w:webHidden/>
          </w:rPr>
          <w:tab/>
        </w:r>
        <w:r w:rsidR="003A0149">
          <w:rPr>
            <w:webHidden/>
          </w:rPr>
          <w:fldChar w:fldCharType="begin"/>
        </w:r>
        <w:r w:rsidR="003A0149">
          <w:rPr>
            <w:webHidden/>
          </w:rPr>
          <w:instrText xml:space="preserve"> PAGEREF _Toc160083859 \h </w:instrText>
        </w:r>
        <w:r w:rsidR="003A0149">
          <w:rPr>
            <w:webHidden/>
          </w:rPr>
        </w:r>
        <w:r w:rsidR="003A0149">
          <w:rPr>
            <w:webHidden/>
          </w:rPr>
          <w:fldChar w:fldCharType="separate"/>
        </w:r>
        <w:r w:rsidR="003A0149">
          <w:rPr>
            <w:webHidden/>
          </w:rPr>
          <w:t>14</w:t>
        </w:r>
        <w:r w:rsidR="003A0149">
          <w:rPr>
            <w:webHidden/>
          </w:rPr>
          <w:fldChar w:fldCharType="end"/>
        </w:r>
      </w:hyperlink>
    </w:p>
    <w:p w14:paraId="56768131" w14:textId="7EC526F8"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60" w:history="1">
        <w:r w:rsidR="003A0149" w:rsidRPr="00974EC2">
          <w:rPr>
            <w:rStyle w:val="Hyperlink"/>
          </w:rPr>
          <w:t>Choosing an APVMA-authorised auditor</w:t>
        </w:r>
        <w:r w:rsidR="003A0149">
          <w:rPr>
            <w:webHidden/>
          </w:rPr>
          <w:tab/>
        </w:r>
        <w:r w:rsidR="003A0149">
          <w:rPr>
            <w:webHidden/>
          </w:rPr>
          <w:fldChar w:fldCharType="begin"/>
        </w:r>
        <w:r w:rsidR="003A0149">
          <w:rPr>
            <w:webHidden/>
          </w:rPr>
          <w:instrText xml:space="preserve"> PAGEREF _Toc160083860 \h </w:instrText>
        </w:r>
        <w:r w:rsidR="003A0149">
          <w:rPr>
            <w:webHidden/>
          </w:rPr>
        </w:r>
        <w:r w:rsidR="003A0149">
          <w:rPr>
            <w:webHidden/>
          </w:rPr>
          <w:fldChar w:fldCharType="separate"/>
        </w:r>
        <w:r w:rsidR="003A0149">
          <w:rPr>
            <w:webHidden/>
          </w:rPr>
          <w:t>14</w:t>
        </w:r>
        <w:r w:rsidR="003A0149">
          <w:rPr>
            <w:webHidden/>
          </w:rPr>
          <w:fldChar w:fldCharType="end"/>
        </w:r>
      </w:hyperlink>
    </w:p>
    <w:p w14:paraId="1B470B58" w14:textId="723F5045"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61" w:history="1">
        <w:r w:rsidR="003A0149" w:rsidRPr="00974EC2">
          <w:rPr>
            <w:rStyle w:val="Hyperlink"/>
          </w:rPr>
          <w:t>Pre-audit notification and information form</w:t>
        </w:r>
        <w:r w:rsidR="003A0149">
          <w:rPr>
            <w:webHidden/>
          </w:rPr>
          <w:tab/>
        </w:r>
        <w:r w:rsidR="003A0149">
          <w:rPr>
            <w:webHidden/>
          </w:rPr>
          <w:fldChar w:fldCharType="begin"/>
        </w:r>
        <w:r w:rsidR="003A0149">
          <w:rPr>
            <w:webHidden/>
          </w:rPr>
          <w:instrText xml:space="preserve"> PAGEREF _Toc160083861 \h </w:instrText>
        </w:r>
        <w:r w:rsidR="003A0149">
          <w:rPr>
            <w:webHidden/>
          </w:rPr>
        </w:r>
        <w:r w:rsidR="003A0149">
          <w:rPr>
            <w:webHidden/>
          </w:rPr>
          <w:fldChar w:fldCharType="separate"/>
        </w:r>
        <w:r w:rsidR="003A0149">
          <w:rPr>
            <w:webHidden/>
          </w:rPr>
          <w:t>15</w:t>
        </w:r>
        <w:r w:rsidR="003A0149">
          <w:rPr>
            <w:webHidden/>
          </w:rPr>
          <w:fldChar w:fldCharType="end"/>
        </w:r>
      </w:hyperlink>
    </w:p>
    <w:p w14:paraId="0F8B00F2" w14:textId="565F50C0" w:rsidR="003A0149"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083862" w:history="1">
        <w:r w:rsidR="003A0149" w:rsidRPr="00974EC2">
          <w:rPr>
            <w:rStyle w:val="Hyperlink"/>
          </w:rPr>
          <w:t>3.2</w:t>
        </w:r>
        <w:r w:rsidR="003A0149">
          <w:rPr>
            <w:rFonts w:asciiTheme="minorHAnsi" w:eastAsiaTheme="minorEastAsia" w:hAnsiTheme="minorHAnsi" w:cstheme="minorBidi"/>
            <w:b w:val="0"/>
            <w:color w:val="auto"/>
            <w:kern w:val="2"/>
            <w:sz w:val="22"/>
            <w:szCs w:val="22"/>
            <w:lang w:eastAsia="en-AU"/>
            <w14:ligatures w14:val="standardContextual"/>
          </w:rPr>
          <w:tab/>
        </w:r>
        <w:r w:rsidR="003A0149" w:rsidRPr="00974EC2">
          <w:rPr>
            <w:rStyle w:val="Hyperlink"/>
          </w:rPr>
          <w:t>During the audit</w:t>
        </w:r>
        <w:r w:rsidR="003A0149">
          <w:rPr>
            <w:webHidden/>
          </w:rPr>
          <w:tab/>
        </w:r>
        <w:r w:rsidR="003A0149">
          <w:rPr>
            <w:webHidden/>
          </w:rPr>
          <w:fldChar w:fldCharType="begin"/>
        </w:r>
        <w:r w:rsidR="003A0149">
          <w:rPr>
            <w:webHidden/>
          </w:rPr>
          <w:instrText xml:space="preserve"> PAGEREF _Toc160083862 \h </w:instrText>
        </w:r>
        <w:r w:rsidR="003A0149">
          <w:rPr>
            <w:webHidden/>
          </w:rPr>
        </w:r>
        <w:r w:rsidR="003A0149">
          <w:rPr>
            <w:webHidden/>
          </w:rPr>
          <w:fldChar w:fldCharType="separate"/>
        </w:r>
        <w:r w:rsidR="003A0149">
          <w:rPr>
            <w:webHidden/>
          </w:rPr>
          <w:t>15</w:t>
        </w:r>
        <w:r w:rsidR="003A0149">
          <w:rPr>
            <w:webHidden/>
          </w:rPr>
          <w:fldChar w:fldCharType="end"/>
        </w:r>
      </w:hyperlink>
    </w:p>
    <w:p w14:paraId="62AFEC73" w14:textId="030C6025"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63" w:history="1">
        <w:r w:rsidR="003A0149" w:rsidRPr="00974EC2">
          <w:rPr>
            <w:rStyle w:val="Hyperlink"/>
          </w:rPr>
          <w:t>Audit agenda</w:t>
        </w:r>
        <w:r w:rsidR="003A0149">
          <w:rPr>
            <w:webHidden/>
          </w:rPr>
          <w:tab/>
        </w:r>
        <w:r w:rsidR="003A0149">
          <w:rPr>
            <w:webHidden/>
          </w:rPr>
          <w:fldChar w:fldCharType="begin"/>
        </w:r>
        <w:r w:rsidR="003A0149">
          <w:rPr>
            <w:webHidden/>
          </w:rPr>
          <w:instrText xml:space="preserve"> PAGEREF _Toc160083863 \h </w:instrText>
        </w:r>
        <w:r w:rsidR="003A0149">
          <w:rPr>
            <w:webHidden/>
          </w:rPr>
        </w:r>
        <w:r w:rsidR="003A0149">
          <w:rPr>
            <w:webHidden/>
          </w:rPr>
          <w:fldChar w:fldCharType="separate"/>
        </w:r>
        <w:r w:rsidR="003A0149">
          <w:rPr>
            <w:webHidden/>
          </w:rPr>
          <w:t>15</w:t>
        </w:r>
        <w:r w:rsidR="003A0149">
          <w:rPr>
            <w:webHidden/>
          </w:rPr>
          <w:fldChar w:fldCharType="end"/>
        </w:r>
      </w:hyperlink>
    </w:p>
    <w:p w14:paraId="120EDBE2" w14:textId="04071C99"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64" w:history="1">
        <w:r w:rsidR="003A0149" w:rsidRPr="00974EC2">
          <w:rPr>
            <w:rStyle w:val="Hyperlink"/>
          </w:rPr>
          <w:t>Language and translation</w:t>
        </w:r>
        <w:r w:rsidR="003A0149">
          <w:rPr>
            <w:webHidden/>
          </w:rPr>
          <w:tab/>
        </w:r>
        <w:r w:rsidR="003A0149">
          <w:rPr>
            <w:webHidden/>
          </w:rPr>
          <w:fldChar w:fldCharType="begin"/>
        </w:r>
        <w:r w:rsidR="003A0149">
          <w:rPr>
            <w:webHidden/>
          </w:rPr>
          <w:instrText xml:space="preserve"> PAGEREF _Toc160083864 \h </w:instrText>
        </w:r>
        <w:r w:rsidR="003A0149">
          <w:rPr>
            <w:webHidden/>
          </w:rPr>
        </w:r>
        <w:r w:rsidR="003A0149">
          <w:rPr>
            <w:webHidden/>
          </w:rPr>
          <w:fldChar w:fldCharType="separate"/>
        </w:r>
        <w:r w:rsidR="003A0149">
          <w:rPr>
            <w:webHidden/>
          </w:rPr>
          <w:t>16</w:t>
        </w:r>
        <w:r w:rsidR="003A0149">
          <w:rPr>
            <w:webHidden/>
          </w:rPr>
          <w:fldChar w:fldCharType="end"/>
        </w:r>
      </w:hyperlink>
    </w:p>
    <w:p w14:paraId="5F163A5A" w14:textId="4CC72541"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65" w:history="1">
        <w:r w:rsidR="003A0149" w:rsidRPr="00974EC2">
          <w:rPr>
            <w:rStyle w:val="Hyperlink"/>
          </w:rPr>
          <w:t>Preliminary identification of non-conformances</w:t>
        </w:r>
        <w:r w:rsidR="003A0149">
          <w:rPr>
            <w:webHidden/>
          </w:rPr>
          <w:tab/>
        </w:r>
        <w:r w:rsidR="003A0149">
          <w:rPr>
            <w:webHidden/>
          </w:rPr>
          <w:fldChar w:fldCharType="begin"/>
        </w:r>
        <w:r w:rsidR="003A0149">
          <w:rPr>
            <w:webHidden/>
          </w:rPr>
          <w:instrText xml:space="preserve"> PAGEREF _Toc160083865 \h </w:instrText>
        </w:r>
        <w:r w:rsidR="003A0149">
          <w:rPr>
            <w:webHidden/>
          </w:rPr>
        </w:r>
        <w:r w:rsidR="003A0149">
          <w:rPr>
            <w:webHidden/>
          </w:rPr>
          <w:fldChar w:fldCharType="separate"/>
        </w:r>
        <w:r w:rsidR="003A0149">
          <w:rPr>
            <w:webHidden/>
          </w:rPr>
          <w:t>16</w:t>
        </w:r>
        <w:r w:rsidR="003A0149">
          <w:rPr>
            <w:webHidden/>
          </w:rPr>
          <w:fldChar w:fldCharType="end"/>
        </w:r>
      </w:hyperlink>
    </w:p>
    <w:p w14:paraId="72C972F2" w14:textId="2BBEBDDF"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66" w:history="1">
        <w:r w:rsidR="003A0149" w:rsidRPr="00974EC2">
          <w:rPr>
            <w:rStyle w:val="Hyperlink"/>
          </w:rPr>
          <w:t>Notification of completed Audit form and the GMP Audit Report</w:t>
        </w:r>
        <w:r w:rsidR="003A0149">
          <w:rPr>
            <w:webHidden/>
          </w:rPr>
          <w:tab/>
        </w:r>
        <w:r w:rsidR="003A0149">
          <w:rPr>
            <w:webHidden/>
          </w:rPr>
          <w:fldChar w:fldCharType="begin"/>
        </w:r>
        <w:r w:rsidR="003A0149">
          <w:rPr>
            <w:webHidden/>
          </w:rPr>
          <w:instrText xml:space="preserve"> PAGEREF _Toc160083866 \h </w:instrText>
        </w:r>
        <w:r w:rsidR="003A0149">
          <w:rPr>
            <w:webHidden/>
          </w:rPr>
        </w:r>
        <w:r w:rsidR="003A0149">
          <w:rPr>
            <w:webHidden/>
          </w:rPr>
          <w:fldChar w:fldCharType="separate"/>
        </w:r>
        <w:r w:rsidR="003A0149">
          <w:rPr>
            <w:webHidden/>
          </w:rPr>
          <w:t>17</w:t>
        </w:r>
        <w:r w:rsidR="003A0149">
          <w:rPr>
            <w:webHidden/>
          </w:rPr>
          <w:fldChar w:fldCharType="end"/>
        </w:r>
      </w:hyperlink>
    </w:p>
    <w:p w14:paraId="354BAF77" w14:textId="204F7B98"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67" w:history="1">
        <w:r w:rsidR="003A0149" w:rsidRPr="00974EC2">
          <w:rPr>
            <w:rStyle w:val="Hyperlink"/>
          </w:rPr>
          <w:t>Dispute resolution</w:t>
        </w:r>
        <w:r w:rsidR="003A0149">
          <w:rPr>
            <w:webHidden/>
          </w:rPr>
          <w:tab/>
        </w:r>
        <w:r w:rsidR="003A0149">
          <w:rPr>
            <w:webHidden/>
          </w:rPr>
          <w:fldChar w:fldCharType="begin"/>
        </w:r>
        <w:r w:rsidR="003A0149">
          <w:rPr>
            <w:webHidden/>
          </w:rPr>
          <w:instrText xml:space="preserve"> PAGEREF _Toc160083867 \h </w:instrText>
        </w:r>
        <w:r w:rsidR="003A0149">
          <w:rPr>
            <w:webHidden/>
          </w:rPr>
        </w:r>
        <w:r w:rsidR="003A0149">
          <w:rPr>
            <w:webHidden/>
          </w:rPr>
          <w:fldChar w:fldCharType="separate"/>
        </w:r>
        <w:r w:rsidR="003A0149">
          <w:rPr>
            <w:webHidden/>
          </w:rPr>
          <w:t>18</w:t>
        </w:r>
        <w:r w:rsidR="003A0149">
          <w:rPr>
            <w:webHidden/>
          </w:rPr>
          <w:fldChar w:fldCharType="end"/>
        </w:r>
      </w:hyperlink>
    </w:p>
    <w:p w14:paraId="33974452" w14:textId="6D051D69" w:rsidR="003A0149"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083868" w:history="1">
        <w:r w:rsidR="003A0149" w:rsidRPr="00974EC2">
          <w:rPr>
            <w:rStyle w:val="Hyperlink"/>
          </w:rPr>
          <w:t>3.3</w:t>
        </w:r>
        <w:r w:rsidR="003A0149">
          <w:rPr>
            <w:rFonts w:asciiTheme="minorHAnsi" w:eastAsiaTheme="minorEastAsia" w:hAnsiTheme="minorHAnsi" w:cstheme="minorBidi"/>
            <w:b w:val="0"/>
            <w:color w:val="auto"/>
            <w:kern w:val="2"/>
            <w:sz w:val="22"/>
            <w:szCs w:val="22"/>
            <w:lang w:eastAsia="en-AU"/>
            <w14:ligatures w14:val="standardContextual"/>
          </w:rPr>
          <w:tab/>
        </w:r>
        <w:r w:rsidR="003A0149" w:rsidRPr="00974EC2">
          <w:rPr>
            <w:rStyle w:val="Hyperlink"/>
          </w:rPr>
          <w:t>Audit close-out</w:t>
        </w:r>
        <w:r w:rsidR="003A0149">
          <w:rPr>
            <w:webHidden/>
          </w:rPr>
          <w:tab/>
        </w:r>
        <w:r w:rsidR="003A0149">
          <w:rPr>
            <w:webHidden/>
          </w:rPr>
          <w:fldChar w:fldCharType="begin"/>
        </w:r>
        <w:r w:rsidR="003A0149">
          <w:rPr>
            <w:webHidden/>
          </w:rPr>
          <w:instrText xml:space="preserve"> PAGEREF _Toc160083868 \h </w:instrText>
        </w:r>
        <w:r w:rsidR="003A0149">
          <w:rPr>
            <w:webHidden/>
          </w:rPr>
        </w:r>
        <w:r w:rsidR="003A0149">
          <w:rPr>
            <w:webHidden/>
          </w:rPr>
          <w:fldChar w:fldCharType="separate"/>
        </w:r>
        <w:r w:rsidR="003A0149">
          <w:rPr>
            <w:webHidden/>
          </w:rPr>
          <w:t>19</w:t>
        </w:r>
        <w:r w:rsidR="003A0149">
          <w:rPr>
            <w:webHidden/>
          </w:rPr>
          <w:fldChar w:fldCharType="end"/>
        </w:r>
      </w:hyperlink>
    </w:p>
    <w:p w14:paraId="4D24BA55" w14:textId="7D2A687A"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69" w:history="1">
        <w:r w:rsidR="003A0149" w:rsidRPr="00974EC2">
          <w:rPr>
            <w:rStyle w:val="Hyperlink"/>
          </w:rPr>
          <w:t>Audit close-out by APVMA-authorised auditor</w:t>
        </w:r>
        <w:r w:rsidR="003A0149">
          <w:rPr>
            <w:webHidden/>
          </w:rPr>
          <w:tab/>
        </w:r>
        <w:r w:rsidR="003A0149">
          <w:rPr>
            <w:webHidden/>
          </w:rPr>
          <w:fldChar w:fldCharType="begin"/>
        </w:r>
        <w:r w:rsidR="003A0149">
          <w:rPr>
            <w:webHidden/>
          </w:rPr>
          <w:instrText xml:space="preserve"> PAGEREF _Toc160083869 \h </w:instrText>
        </w:r>
        <w:r w:rsidR="003A0149">
          <w:rPr>
            <w:webHidden/>
          </w:rPr>
        </w:r>
        <w:r w:rsidR="003A0149">
          <w:rPr>
            <w:webHidden/>
          </w:rPr>
          <w:fldChar w:fldCharType="separate"/>
        </w:r>
        <w:r w:rsidR="003A0149">
          <w:rPr>
            <w:webHidden/>
          </w:rPr>
          <w:t>19</w:t>
        </w:r>
        <w:r w:rsidR="003A0149">
          <w:rPr>
            <w:webHidden/>
          </w:rPr>
          <w:fldChar w:fldCharType="end"/>
        </w:r>
      </w:hyperlink>
    </w:p>
    <w:p w14:paraId="150D1FBB" w14:textId="278F31C9"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70" w:history="1">
        <w:r w:rsidR="003A0149" w:rsidRPr="00974EC2">
          <w:rPr>
            <w:rStyle w:val="Hyperlink"/>
          </w:rPr>
          <w:t>Audit close-out by CAPA Plan</w:t>
        </w:r>
        <w:r w:rsidR="003A0149">
          <w:rPr>
            <w:webHidden/>
          </w:rPr>
          <w:tab/>
        </w:r>
        <w:r w:rsidR="003A0149">
          <w:rPr>
            <w:webHidden/>
          </w:rPr>
          <w:fldChar w:fldCharType="begin"/>
        </w:r>
        <w:r w:rsidR="003A0149">
          <w:rPr>
            <w:webHidden/>
          </w:rPr>
          <w:instrText xml:space="preserve"> PAGEREF _Toc160083870 \h </w:instrText>
        </w:r>
        <w:r w:rsidR="003A0149">
          <w:rPr>
            <w:webHidden/>
          </w:rPr>
        </w:r>
        <w:r w:rsidR="003A0149">
          <w:rPr>
            <w:webHidden/>
          </w:rPr>
          <w:fldChar w:fldCharType="separate"/>
        </w:r>
        <w:r w:rsidR="003A0149">
          <w:rPr>
            <w:webHidden/>
          </w:rPr>
          <w:t>20</w:t>
        </w:r>
        <w:r w:rsidR="003A0149">
          <w:rPr>
            <w:webHidden/>
          </w:rPr>
          <w:fldChar w:fldCharType="end"/>
        </w:r>
      </w:hyperlink>
    </w:p>
    <w:p w14:paraId="3386FC09" w14:textId="368EB212" w:rsidR="003A0149" w:rsidRDefault="00000000">
      <w:pPr>
        <w:pStyle w:val="TOC3"/>
        <w:rPr>
          <w:rFonts w:asciiTheme="minorHAnsi" w:eastAsiaTheme="minorEastAsia" w:hAnsiTheme="minorHAnsi" w:cstheme="minorBidi"/>
          <w:kern w:val="2"/>
          <w:sz w:val="22"/>
          <w:szCs w:val="22"/>
          <w:lang w:eastAsia="en-AU"/>
          <w14:ligatures w14:val="standardContextual"/>
        </w:rPr>
      </w:pPr>
      <w:hyperlink w:anchor="_Toc160083871" w:history="1">
        <w:r w:rsidR="003A0149" w:rsidRPr="00974EC2">
          <w:rPr>
            <w:rStyle w:val="Hyperlink"/>
          </w:rPr>
          <w:t>Verification audits</w:t>
        </w:r>
        <w:r w:rsidR="003A0149">
          <w:rPr>
            <w:webHidden/>
          </w:rPr>
          <w:tab/>
        </w:r>
        <w:r w:rsidR="003A0149">
          <w:rPr>
            <w:webHidden/>
          </w:rPr>
          <w:fldChar w:fldCharType="begin"/>
        </w:r>
        <w:r w:rsidR="003A0149">
          <w:rPr>
            <w:webHidden/>
          </w:rPr>
          <w:instrText xml:space="preserve"> PAGEREF _Toc160083871 \h </w:instrText>
        </w:r>
        <w:r w:rsidR="003A0149">
          <w:rPr>
            <w:webHidden/>
          </w:rPr>
        </w:r>
        <w:r w:rsidR="003A0149">
          <w:rPr>
            <w:webHidden/>
          </w:rPr>
          <w:fldChar w:fldCharType="separate"/>
        </w:r>
        <w:r w:rsidR="003A0149">
          <w:rPr>
            <w:webHidden/>
          </w:rPr>
          <w:t>21</w:t>
        </w:r>
        <w:r w:rsidR="003A0149">
          <w:rPr>
            <w:webHidden/>
          </w:rPr>
          <w:fldChar w:fldCharType="end"/>
        </w:r>
      </w:hyperlink>
    </w:p>
    <w:p w14:paraId="5C7FBA76" w14:textId="671F2C54" w:rsidR="003A0149" w:rsidRDefault="00000000">
      <w:pPr>
        <w:pStyle w:val="TOC1"/>
        <w:rPr>
          <w:rFonts w:asciiTheme="minorHAnsi" w:eastAsiaTheme="minorEastAsia" w:hAnsiTheme="minorHAnsi" w:cstheme="minorBidi"/>
          <w:b w:val="0"/>
          <w:bCs w:val="0"/>
          <w:caps w:val="0"/>
          <w:color w:val="auto"/>
          <w:kern w:val="2"/>
          <w:sz w:val="22"/>
          <w:szCs w:val="22"/>
          <w:lang w:eastAsia="en-AU"/>
          <w14:ligatures w14:val="standardContextual"/>
        </w:rPr>
      </w:pPr>
      <w:hyperlink w:anchor="_Toc160083872" w:history="1">
        <w:r w:rsidR="003A0149" w:rsidRPr="00974EC2">
          <w:rPr>
            <w:rStyle w:val="Hyperlink"/>
          </w:rPr>
          <w:t>4</w:t>
        </w:r>
        <w:r w:rsidR="003A0149">
          <w:rPr>
            <w:rFonts w:asciiTheme="minorHAnsi" w:eastAsiaTheme="minorEastAsia" w:hAnsiTheme="minorHAnsi" w:cstheme="minorBidi"/>
            <w:b w:val="0"/>
            <w:bCs w:val="0"/>
            <w:caps w:val="0"/>
            <w:color w:val="auto"/>
            <w:kern w:val="2"/>
            <w:sz w:val="22"/>
            <w:szCs w:val="22"/>
            <w:lang w:eastAsia="en-AU"/>
            <w14:ligatures w14:val="standardContextual"/>
          </w:rPr>
          <w:tab/>
        </w:r>
        <w:r w:rsidR="003A0149" w:rsidRPr="00974EC2">
          <w:rPr>
            <w:rStyle w:val="Hyperlink"/>
          </w:rPr>
          <w:t>Audit interval and scheduling</w:t>
        </w:r>
        <w:r w:rsidR="003A0149">
          <w:rPr>
            <w:webHidden/>
          </w:rPr>
          <w:tab/>
        </w:r>
        <w:r w:rsidR="003A0149">
          <w:rPr>
            <w:webHidden/>
          </w:rPr>
          <w:fldChar w:fldCharType="begin"/>
        </w:r>
        <w:r w:rsidR="003A0149">
          <w:rPr>
            <w:webHidden/>
          </w:rPr>
          <w:instrText xml:space="preserve"> PAGEREF _Toc160083872 \h </w:instrText>
        </w:r>
        <w:r w:rsidR="003A0149">
          <w:rPr>
            <w:webHidden/>
          </w:rPr>
        </w:r>
        <w:r w:rsidR="003A0149">
          <w:rPr>
            <w:webHidden/>
          </w:rPr>
          <w:fldChar w:fldCharType="separate"/>
        </w:r>
        <w:r w:rsidR="003A0149">
          <w:rPr>
            <w:webHidden/>
          </w:rPr>
          <w:t>23</w:t>
        </w:r>
        <w:r w:rsidR="003A0149">
          <w:rPr>
            <w:webHidden/>
          </w:rPr>
          <w:fldChar w:fldCharType="end"/>
        </w:r>
      </w:hyperlink>
    </w:p>
    <w:p w14:paraId="2B212EDD" w14:textId="2EF20BC6" w:rsidR="003A0149" w:rsidRDefault="00000000">
      <w:pPr>
        <w:pStyle w:val="TOC1"/>
        <w:rPr>
          <w:rFonts w:asciiTheme="minorHAnsi" w:eastAsiaTheme="minorEastAsia" w:hAnsiTheme="minorHAnsi" w:cstheme="minorBidi"/>
          <w:b w:val="0"/>
          <w:bCs w:val="0"/>
          <w:caps w:val="0"/>
          <w:color w:val="auto"/>
          <w:kern w:val="2"/>
          <w:sz w:val="22"/>
          <w:szCs w:val="22"/>
          <w:lang w:eastAsia="en-AU"/>
          <w14:ligatures w14:val="standardContextual"/>
        </w:rPr>
      </w:pPr>
      <w:hyperlink w:anchor="_Toc160083873" w:history="1">
        <w:r w:rsidR="003A0149" w:rsidRPr="00974EC2">
          <w:rPr>
            <w:rStyle w:val="Hyperlink"/>
          </w:rPr>
          <w:t>5</w:t>
        </w:r>
        <w:r w:rsidR="003A0149">
          <w:rPr>
            <w:rFonts w:asciiTheme="minorHAnsi" w:eastAsiaTheme="minorEastAsia" w:hAnsiTheme="minorHAnsi" w:cstheme="minorBidi"/>
            <w:b w:val="0"/>
            <w:bCs w:val="0"/>
            <w:caps w:val="0"/>
            <w:color w:val="auto"/>
            <w:kern w:val="2"/>
            <w:sz w:val="22"/>
            <w:szCs w:val="22"/>
            <w:lang w:eastAsia="en-AU"/>
            <w14:ligatures w14:val="standardContextual"/>
          </w:rPr>
          <w:tab/>
        </w:r>
        <w:r w:rsidR="003A0149" w:rsidRPr="00974EC2">
          <w:rPr>
            <w:rStyle w:val="Hyperlink"/>
          </w:rPr>
          <w:t>APVMA audits of overseas sites</w:t>
        </w:r>
        <w:r w:rsidR="003A0149">
          <w:rPr>
            <w:webHidden/>
          </w:rPr>
          <w:tab/>
        </w:r>
        <w:r w:rsidR="003A0149">
          <w:rPr>
            <w:webHidden/>
          </w:rPr>
          <w:fldChar w:fldCharType="begin"/>
        </w:r>
        <w:r w:rsidR="003A0149">
          <w:rPr>
            <w:webHidden/>
          </w:rPr>
          <w:instrText xml:space="preserve"> PAGEREF _Toc160083873 \h </w:instrText>
        </w:r>
        <w:r w:rsidR="003A0149">
          <w:rPr>
            <w:webHidden/>
          </w:rPr>
        </w:r>
        <w:r w:rsidR="003A0149">
          <w:rPr>
            <w:webHidden/>
          </w:rPr>
          <w:fldChar w:fldCharType="separate"/>
        </w:r>
        <w:r w:rsidR="003A0149">
          <w:rPr>
            <w:webHidden/>
          </w:rPr>
          <w:t>25</w:t>
        </w:r>
        <w:r w:rsidR="003A0149">
          <w:rPr>
            <w:webHidden/>
          </w:rPr>
          <w:fldChar w:fldCharType="end"/>
        </w:r>
      </w:hyperlink>
    </w:p>
    <w:p w14:paraId="330FA0A3" w14:textId="21BAF5AD" w:rsidR="003A0149" w:rsidRDefault="00000000">
      <w:pPr>
        <w:pStyle w:val="TOC1"/>
        <w:rPr>
          <w:rFonts w:asciiTheme="minorHAnsi" w:eastAsiaTheme="minorEastAsia" w:hAnsiTheme="minorHAnsi" w:cstheme="minorBidi"/>
          <w:b w:val="0"/>
          <w:bCs w:val="0"/>
          <w:caps w:val="0"/>
          <w:color w:val="auto"/>
          <w:kern w:val="2"/>
          <w:sz w:val="22"/>
          <w:szCs w:val="22"/>
          <w:lang w:eastAsia="en-AU"/>
          <w14:ligatures w14:val="standardContextual"/>
        </w:rPr>
      </w:pPr>
      <w:hyperlink w:anchor="_Toc160083874" w:history="1">
        <w:r w:rsidR="003A0149" w:rsidRPr="00974EC2">
          <w:rPr>
            <w:rStyle w:val="Hyperlink"/>
          </w:rPr>
          <w:t>6</w:t>
        </w:r>
        <w:r w:rsidR="003A0149">
          <w:rPr>
            <w:rFonts w:asciiTheme="minorHAnsi" w:eastAsiaTheme="minorEastAsia" w:hAnsiTheme="minorHAnsi" w:cstheme="minorBidi"/>
            <w:b w:val="0"/>
            <w:bCs w:val="0"/>
            <w:caps w:val="0"/>
            <w:color w:val="auto"/>
            <w:kern w:val="2"/>
            <w:sz w:val="22"/>
            <w:szCs w:val="22"/>
            <w:lang w:eastAsia="en-AU"/>
            <w14:ligatures w14:val="standardContextual"/>
          </w:rPr>
          <w:tab/>
        </w:r>
        <w:r w:rsidR="003A0149" w:rsidRPr="00974EC2">
          <w:rPr>
            <w:rStyle w:val="Hyperlink"/>
          </w:rPr>
          <w:t>Summary: key responsibilities</w:t>
        </w:r>
        <w:r w:rsidR="003A0149">
          <w:rPr>
            <w:webHidden/>
          </w:rPr>
          <w:tab/>
        </w:r>
        <w:r w:rsidR="003A0149">
          <w:rPr>
            <w:webHidden/>
          </w:rPr>
          <w:fldChar w:fldCharType="begin"/>
        </w:r>
        <w:r w:rsidR="003A0149">
          <w:rPr>
            <w:webHidden/>
          </w:rPr>
          <w:instrText xml:space="preserve"> PAGEREF _Toc160083874 \h </w:instrText>
        </w:r>
        <w:r w:rsidR="003A0149">
          <w:rPr>
            <w:webHidden/>
          </w:rPr>
        </w:r>
        <w:r w:rsidR="003A0149">
          <w:rPr>
            <w:webHidden/>
          </w:rPr>
          <w:fldChar w:fldCharType="separate"/>
        </w:r>
        <w:r w:rsidR="003A0149">
          <w:rPr>
            <w:webHidden/>
          </w:rPr>
          <w:t>26</w:t>
        </w:r>
        <w:r w:rsidR="003A0149">
          <w:rPr>
            <w:webHidden/>
          </w:rPr>
          <w:fldChar w:fldCharType="end"/>
        </w:r>
      </w:hyperlink>
    </w:p>
    <w:p w14:paraId="79926A93" w14:textId="4044E6B5" w:rsidR="003A0149" w:rsidRDefault="00000000">
      <w:pPr>
        <w:pStyle w:val="TOC1"/>
        <w:rPr>
          <w:rFonts w:asciiTheme="minorHAnsi" w:eastAsiaTheme="minorEastAsia" w:hAnsiTheme="minorHAnsi" w:cstheme="minorBidi"/>
          <w:b w:val="0"/>
          <w:bCs w:val="0"/>
          <w:caps w:val="0"/>
          <w:color w:val="auto"/>
          <w:kern w:val="2"/>
          <w:sz w:val="22"/>
          <w:szCs w:val="22"/>
          <w:lang w:eastAsia="en-AU"/>
          <w14:ligatures w14:val="standardContextual"/>
        </w:rPr>
      </w:pPr>
      <w:hyperlink w:anchor="_Toc160083875" w:history="1">
        <w:r w:rsidR="003A0149" w:rsidRPr="00974EC2">
          <w:rPr>
            <w:rStyle w:val="Hyperlink"/>
          </w:rPr>
          <w:t>Appendix A – Forms and templates</w:t>
        </w:r>
        <w:r w:rsidR="003A0149">
          <w:rPr>
            <w:webHidden/>
          </w:rPr>
          <w:tab/>
        </w:r>
        <w:r w:rsidR="003A0149">
          <w:rPr>
            <w:webHidden/>
          </w:rPr>
          <w:fldChar w:fldCharType="begin"/>
        </w:r>
        <w:r w:rsidR="003A0149">
          <w:rPr>
            <w:webHidden/>
          </w:rPr>
          <w:instrText xml:space="preserve"> PAGEREF _Toc160083875 \h </w:instrText>
        </w:r>
        <w:r w:rsidR="003A0149">
          <w:rPr>
            <w:webHidden/>
          </w:rPr>
        </w:r>
        <w:r w:rsidR="003A0149">
          <w:rPr>
            <w:webHidden/>
          </w:rPr>
          <w:fldChar w:fldCharType="separate"/>
        </w:r>
        <w:r w:rsidR="003A0149">
          <w:rPr>
            <w:webHidden/>
          </w:rPr>
          <w:t>29</w:t>
        </w:r>
        <w:r w:rsidR="003A0149">
          <w:rPr>
            <w:webHidden/>
          </w:rPr>
          <w:fldChar w:fldCharType="end"/>
        </w:r>
      </w:hyperlink>
    </w:p>
    <w:p w14:paraId="010F6FAF" w14:textId="18749975" w:rsidR="003A0149" w:rsidRDefault="00000000">
      <w:pPr>
        <w:pStyle w:val="TOC1"/>
        <w:rPr>
          <w:rFonts w:asciiTheme="minorHAnsi" w:eastAsiaTheme="minorEastAsia" w:hAnsiTheme="minorHAnsi" w:cstheme="minorBidi"/>
          <w:b w:val="0"/>
          <w:bCs w:val="0"/>
          <w:caps w:val="0"/>
          <w:color w:val="auto"/>
          <w:kern w:val="2"/>
          <w:sz w:val="22"/>
          <w:szCs w:val="22"/>
          <w:lang w:eastAsia="en-AU"/>
          <w14:ligatures w14:val="standardContextual"/>
        </w:rPr>
      </w:pPr>
      <w:hyperlink w:anchor="_Toc160083876" w:history="1">
        <w:r w:rsidR="003A0149" w:rsidRPr="00974EC2">
          <w:rPr>
            <w:rStyle w:val="Hyperlink"/>
          </w:rPr>
          <w:t>Appendix B – Guidance on writing non-conformances (for auditors)</w:t>
        </w:r>
        <w:r w:rsidR="003A0149">
          <w:rPr>
            <w:webHidden/>
          </w:rPr>
          <w:tab/>
        </w:r>
        <w:r w:rsidR="003A0149">
          <w:rPr>
            <w:webHidden/>
          </w:rPr>
          <w:fldChar w:fldCharType="begin"/>
        </w:r>
        <w:r w:rsidR="003A0149">
          <w:rPr>
            <w:webHidden/>
          </w:rPr>
          <w:instrText xml:space="preserve"> PAGEREF _Toc160083876 \h </w:instrText>
        </w:r>
        <w:r w:rsidR="003A0149">
          <w:rPr>
            <w:webHidden/>
          </w:rPr>
        </w:r>
        <w:r w:rsidR="003A0149">
          <w:rPr>
            <w:webHidden/>
          </w:rPr>
          <w:fldChar w:fldCharType="separate"/>
        </w:r>
        <w:r w:rsidR="003A0149">
          <w:rPr>
            <w:webHidden/>
          </w:rPr>
          <w:t>30</w:t>
        </w:r>
        <w:r w:rsidR="003A0149">
          <w:rPr>
            <w:webHidden/>
          </w:rPr>
          <w:fldChar w:fldCharType="end"/>
        </w:r>
      </w:hyperlink>
    </w:p>
    <w:p w14:paraId="483C3DCD" w14:textId="6DF0AB14" w:rsidR="003A0149" w:rsidRDefault="00000000">
      <w:pPr>
        <w:pStyle w:val="TOC1"/>
        <w:rPr>
          <w:rFonts w:asciiTheme="minorHAnsi" w:eastAsiaTheme="minorEastAsia" w:hAnsiTheme="minorHAnsi" w:cstheme="minorBidi"/>
          <w:b w:val="0"/>
          <w:bCs w:val="0"/>
          <w:caps w:val="0"/>
          <w:color w:val="auto"/>
          <w:kern w:val="2"/>
          <w:sz w:val="22"/>
          <w:szCs w:val="22"/>
          <w:lang w:eastAsia="en-AU"/>
          <w14:ligatures w14:val="standardContextual"/>
        </w:rPr>
      </w:pPr>
      <w:hyperlink w:anchor="_Toc160083877" w:history="1">
        <w:r w:rsidR="003A0149" w:rsidRPr="00974EC2">
          <w:rPr>
            <w:rStyle w:val="Hyperlink"/>
          </w:rPr>
          <w:t>Appendix C – Guidance on preparing a CAPA plan (for Licence HolderS)</w:t>
        </w:r>
        <w:r w:rsidR="003A0149">
          <w:rPr>
            <w:webHidden/>
          </w:rPr>
          <w:tab/>
        </w:r>
        <w:r w:rsidR="003A0149">
          <w:rPr>
            <w:webHidden/>
          </w:rPr>
          <w:fldChar w:fldCharType="begin"/>
        </w:r>
        <w:r w:rsidR="003A0149">
          <w:rPr>
            <w:webHidden/>
          </w:rPr>
          <w:instrText xml:space="preserve"> PAGEREF _Toc160083877 \h </w:instrText>
        </w:r>
        <w:r w:rsidR="003A0149">
          <w:rPr>
            <w:webHidden/>
          </w:rPr>
        </w:r>
        <w:r w:rsidR="003A0149">
          <w:rPr>
            <w:webHidden/>
          </w:rPr>
          <w:fldChar w:fldCharType="separate"/>
        </w:r>
        <w:r w:rsidR="003A0149">
          <w:rPr>
            <w:webHidden/>
          </w:rPr>
          <w:t>33</w:t>
        </w:r>
        <w:r w:rsidR="003A0149">
          <w:rPr>
            <w:webHidden/>
          </w:rPr>
          <w:fldChar w:fldCharType="end"/>
        </w:r>
      </w:hyperlink>
    </w:p>
    <w:p w14:paraId="4A1BC846" w14:textId="589706AA" w:rsidR="003A0149" w:rsidRDefault="00000000">
      <w:pPr>
        <w:pStyle w:val="TOC1"/>
        <w:rPr>
          <w:rFonts w:asciiTheme="minorHAnsi" w:eastAsiaTheme="minorEastAsia" w:hAnsiTheme="minorHAnsi" w:cstheme="minorBidi"/>
          <w:b w:val="0"/>
          <w:bCs w:val="0"/>
          <w:caps w:val="0"/>
          <w:color w:val="auto"/>
          <w:kern w:val="2"/>
          <w:sz w:val="22"/>
          <w:szCs w:val="22"/>
          <w:lang w:eastAsia="en-AU"/>
          <w14:ligatures w14:val="standardContextual"/>
        </w:rPr>
      </w:pPr>
      <w:hyperlink w:anchor="_Toc160083878" w:history="1">
        <w:r w:rsidR="003A0149" w:rsidRPr="00974EC2">
          <w:rPr>
            <w:rStyle w:val="Hyperlink"/>
          </w:rPr>
          <w:t>Appendix D – Guidance on assessing CAPA plans (for auditors)</w:t>
        </w:r>
        <w:r w:rsidR="003A0149">
          <w:rPr>
            <w:webHidden/>
          </w:rPr>
          <w:tab/>
        </w:r>
        <w:r w:rsidR="003A0149">
          <w:rPr>
            <w:webHidden/>
          </w:rPr>
          <w:fldChar w:fldCharType="begin"/>
        </w:r>
        <w:r w:rsidR="003A0149">
          <w:rPr>
            <w:webHidden/>
          </w:rPr>
          <w:instrText xml:space="preserve"> PAGEREF _Toc160083878 \h </w:instrText>
        </w:r>
        <w:r w:rsidR="003A0149">
          <w:rPr>
            <w:webHidden/>
          </w:rPr>
        </w:r>
        <w:r w:rsidR="003A0149">
          <w:rPr>
            <w:webHidden/>
          </w:rPr>
          <w:fldChar w:fldCharType="separate"/>
        </w:r>
        <w:r w:rsidR="003A0149">
          <w:rPr>
            <w:webHidden/>
          </w:rPr>
          <w:t>34</w:t>
        </w:r>
        <w:r w:rsidR="003A0149">
          <w:rPr>
            <w:webHidden/>
          </w:rPr>
          <w:fldChar w:fldCharType="end"/>
        </w:r>
      </w:hyperlink>
    </w:p>
    <w:p w14:paraId="6BCD3A3A" w14:textId="26DF12D4" w:rsidR="000425FB" w:rsidRDefault="005064D5">
      <w:pPr>
        <w:pStyle w:val="NormalText"/>
        <w:rPr>
          <w:noProof/>
        </w:rPr>
      </w:pPr>
      <w:r w:rsidRPr="00427F9C">
        <w:rPr>
          <w:rFonts w:ascii="Trebuchet MS" w:hAnsi="Trebuchet MS"/>
          <w:b/>
          <w:bCs/>
          <w:caps/>
          <w:noProof/>
          <w:color w:val="00747A"/>
          <w:szCs w:val="30"/>
        </w:rPr>
        <w:fldChar w:fldCharType="end"/>
      </w:r>
    </w:p>
    <w:p w14:paraId="4CF7E099" w14:textId="607B0DCC" w:rsidR="002E20AC" w:rsidRPr="00427F9C" w:rsidRDefault="002E20AC">
      <w:pPr>
        <w:pStyle w:val="NormalText"/>
        <w:tabs>
          <w:tab w:val="left" w:pos="1361"/>
        </w:tabs>
        <w:sectPr w:rsidR="002E20AC" w:rsidRPr="00427F9C" w:rsidSect="00285FB3">
          <w:headerReference w:type="even" r:id="rId19"/>
          <w:headerReference w:type="default" r:id="rId20"/>
          <w:footerReference w:type="even" r:id="rId21"/>
          <w:footerReference w:type="default" r:id="rId22"/>
          <w:pgSz w:w="11906" w:h="16838" w:code="9"/>
          <w:pgMar w:top="2835" w:right="1134" w:bottom="1134" w:left="1134" w:header="1134" w:footer="680" w:gutter="0"/>
          <w:pgNumType w:fmt="lowerRoman"/>
          <w:cols w:space="708"/>
          <w:docGrid w:linePitch="360"/>
        </w:sectPr>
      </w:pPr>
    </w:p>
    <w:p w14:paraId="5C7023F9" w14:textId="3199D19E" w:rsidR="002E20AC" w:rsidRPr="00427F9C" w:rsidRDefault="00856A6B" w:rsidP="00A9336B">
      <w:pPr>
        <w:pStyle w:val="APVMAPreliminariesH1"/>
        <w:ind w:left="567" w:hanging="567"/>
      </w:pPr>
      <w:bookmarkStart w:id="1" w:name="_Toc234063054"/>
      <w:bookmarkStart w:id="2" w:name="_Toc414373831"/>
      <w:bookmarkStart w:id="3" w:name="_Toc145432906"/>
      <w:bookmarkStart w:id="4" w:name="_Toc145606289"/>
      <w:bookmarkStart w:id="5" w:name="_Toc160083837"/>
      <w:r w:rsidRPr="00427F9C">
        <w:lastRenderedPageBreak/>
        <w:t>In</w:t>
      </w:r>
      <w:r w:rsidR="00AA043F" w:rsidRPr="00427F9C">
        <w:t>troduction</w:t>
      </w:r>
      <w:bookmarkEnd w:id="1"/>
      <w:bookmarkEnd w:id="2"/>
      <w:bookmarkEnd w:id="3"/>
      <w:bookmarkEnd w:id="4"/>
      <w:bookmarkEnd w:id="5"/>
    </w:p>
    <w:p w14:paraId="5520F1DB" w14:textId="6551FF6F" w:rsidR="00AA043F" w:rsidRPr="00427F9C" w:rsidRDefault="00AA043F" w:rsidP="00205253">
      <w:pPr>
        <w:pStyle w:val="NormalText"/>
      </w:pPr>
      <w:r w:rsidRPr="00427F9C">
        <w:t xml:space="preserve">The purpose of this document is to provide detailed instructions on how routine (full or partial) GMP audits of veterinary chemical manufacturing premises are to be </w:t>
      </w:r>
      <w:r w:rsidR="003B2921" w:rsidRPr="00427F9C">
        <w:t xml:space="preserve">planned, </w:t>
      </w:r>
      <w:r w:rsidRPr="00427F9C">
        <w:t xml:space="preserve">conducted </w:t>
      </w:r>
      <w:r w:rsidR="003B2921" w:rsidRPr="00427F9C">
        <w:t xml:space="preserve">and </w:t>
      </w:r>
      <w:r w:rsidRPr="00427F9C">
        <w:t xml:space="preserve">reported to the </w:t>
      </w:r>
      <w:r w:rsidR="00E02ECB" w:rsidRPr="00E02ECB">
        <w:t xml:space="preserve">Australian Pesticides and Veterinary Medicines Authority </w:t>
      </w:r>
      <w:r w:rsidR="00E02ECB">
        <w:t>(</w:t>
      </w:r>
      <w:r w:rsidRPr="00427F9C">
        <w:t>APVMA</w:t>
      </w:r>
      <w:r w:rsidR="00E02ECB">
        <w:t>)</w:t>
      </w:r>
      <w:r w:rsidRPr="00427F9C">
        <w:t>.</w:t>
      </w:r>
    </w:p>
    <w:p w14:paraId="72AB00C7" w14:textId="4FD47608" w:rsidR="008D7ACE" w:rsidRPr="00427F9C" w:rsidRDefault="00AA043F" w:rsidP="00205253">
      <w:pPr>
        <w:pStyle w:val="NormalText"/>
      </w:pPr>
      <w:r w:rsidRPr="00427F9C">
        <w:t>This manual covers the procedure to be fo</w:t>
      </w:r>
      <w:r w:rsidR="00005598" w:rsidRPr="00427F9C">
        <w:t xml:space="preserve">llowed by </w:t>
      </w:r>
      <w:hyperlink r:id="rId23" w:history="1">
        <w:r w:rsidR="00005598" w:rsidRPr="001D15DF">
          <w:rPr>
            <w:rStyle w:val="Hyperlink"/>
          </w:rPr>
          <w:t>APVMA-a</w:t>
        </w:r>
        <w:r w:rsidR="0016634E" w:rsidRPr="001D15DF">
          <w:rPr>
            <w:rStyle w:val="Hyperlink"/>
          </w:rPr>
          <w:t>uthorised GMP a</w:t>
        </w:r>
        <w:r w:rsidRPr="001D15DF">
          <w:rPr>
            <w:rStyle w:val="Hyperlink"/>
          </w:rPr>
          <w:t>uditors</w:t>
        </w:r>
      </w:hyperlink>
      <w:r w:rsidRPr="00427F9C">
        <w:t xml:space="preserve"> when auditing an </w:t>
      </w:r>
      <w:r w:rsidRPr="001D15DF">
        <w:rPr>
          <w:b/>
          <w:bCs/>
        </w:rPr>
        <w:t>Australian veterinary chemical manufacturing facility</w:t>
      </w:r>
      <w:r w:rsidRPr="00427F9C">
        <w:t xml:space="preserve"> for compliance with the </w:t>
      </w:r>
      <w:hyperlink r:id="rId24" w:history="1">
        <w:r w:rsidRPr="00427F9C">
          <w:rPr>
            <w:rStyle w:val="Hyperlink"/>
            <w:szCs w:val="19"/>
          </w:rPr>
          <w:t>Agricultural and Veterinary Chemicals (Manufacturing Principles) Determination 2014</w:t>
        </w:r>
      </w:hyperlink>
      <w:r w:rsidRPr="00427F9C">
        <w:t xml:space="preserve"> (</w:t>
      </w:r>
      <w:r w:rsidR="001E2567" w:rsidRPr="00427F9C">
        <w:t>Manufacturing Principles</w:t>
      </w:r>
      <w:r w:rsidRPr="00427F9C">
        <w:t>)</w:t>
      </w:r>
      <w:r w:rsidR="00A2251E">
        <w:t xml:space="preserve">, </w:t>
      </w:r>
      <w:r w:rsidRPr="00427F9C">
        <w:t xml:space="preserve">the </w:t>
      </w:r>
      <w:hyperlink r:id="rId25" w:history="1">
        <w:r w:rsidRPr="00427F9C">
          <w:rPr>
            <w:rStyle w:val="Hyperlink"/>
            <w:szCs w:val="19"/>
          </w:rPr>
          <w:t>Australian Code of Good Manufacturing Practice for Veterinary Chemical Products, 2007</w:t>
        </w:r>
      </w:hyperlink>
      <w:r w:rsidRPr="00427F9C">
        <w:t xml:space="preserve"> (and relevant annexes</w:t>
      </w:r>
      <w:r w:rsidR="009B5F0E" w:rsidRPr="00427F9C">
        <w:t>—</w:t>
      </w:r>
      <w:r w:rsidR="0002442B">
        <w:t>GMP Code</w:t>
      </w:r>
      <w:r w:rsidRPr="00427F9C">
        <w:t>)</w:t>
      </w:r>
      <w:r w:rsidR="00A2251E">
        <w:t xml:space="preserve">, </w:t>
      </w:r>
      <w:r w:rsidR="001E2567" w:rsidRPr="007F7793">
        <w:t xml:space="preserve">Part 8 of the </w:t>
      </w:r>
      <w:hyperlink r:id="rId26" w:history="1">
        <w:r w:rsidR="001E2567" w:rsidRPr="0002442B">
          <w:rPr>
            <w:rStyle w:val="Hyperlink"/>
          </w:rPr>
          <w:t>Agricultural and Veterinary Chemicals Code Act 1994</w:t>
        </w:r>
      </w:hyperlink>
      <w:r w:rsidR="001E2567" w:rsidRPr="007F7793">
        <w:t xml:space="preserve"> </w:t>
      </w:r>
      <w:r w:rsidR="0002442B">
        <w:t>(</w:t>
      </w:r>
      <w:r w:rsidR="00A6015D">
        <w:t>AgVet</w:t>
      </w:r>
      <w:r w:rsidR="0002442B">
        <w:t xml:space="preserve"> Code) </w:t>
      </w:r>
      <w:r w:rsidR="001E2567" w:rsidRPr="007F7793">
        <w:t xml:space="preserve">and Part 7 of the </w:t>
      </w:r>
      <w:hyperlink r:id="rId27" w:history="1">
        <w:r w:rsidR="001E2567" w:rsidRPr="0002442B">
          <w:rPr>
            <w:rStyle w:val="Hyperlink"/>
          </w:rPr>
          <w:t>Agricultural and Veterinary Chemicals Code Regulations 1995</w:t>
        </w:r>
      </w:hyperlink>
      <w:r w:rsidR="0002442B">
        <w:t xml:space="preserve"> (</w:t>
      </w:r>
      <w:r w:rsidR="00A6015D">
        <w:t>AgVet</w:t>
      </w:r>
      <w:r w:rsidR="0002442B" w:rsidRPr="00427F9C">
        <w:t xml:space="preserve"> Code Regulations</w:t>
      </w:r>
      <w:r w:rsidR="0002442B">
        <w:t>)</w:t>
      </w:r>
      <w:r w:rsidRPr="007F7793">
        <w:t xml:space="preserve">. </w:t>
      </w:r>
      <w:r w:rsidR="008D7ACE" w:rsidRPr="007F7793">
        <w:t>It covers procedures to be followed for routine (full and partial) audits, an</w:t>
      </w:r>
      <w:r w:rsidR="008D7ACE" w:rsidRPr="00427F9C">
        <w:t xml:space="preserve">d for verification (on-site) audits and desk reviews of corrective actions arising from routine audits. It also covers the procedures to be followed by </w:t>
      </w:r>
      <w:r w:rsidR="00B9191E">
        <w:t>Licence Holder</w:t>
      </w:r>
      <w:r w:rsidR="008D7ACE" w:rsidRPr="00427F9C">
        <w:t xml:space="preserve"> when selecting an auditor and when responding to and forwarding the </w:t>
      </w:r>
      <w:r w:rsidR="00837541">
        <w:t>GMP Audit Report</w:t>
      </w:r>
      <w:r w:rsidR="008D7ACE" w:rsidRPr="00427F9C">
        <w:t xml:space="preserve"> to the APVMA.</w:t>
      </w:r>
    </w:p>
    <w:p w14:paraId="1FCDC208" w14:textId="05F76E96" w:rsidR="008D7ACE" w:rsidRPr="00427F9C" w:rsidRDefault="008D7ACE" w:rsidP="008D7ACE">
      <w:pPr>
        <w:pStyle w:val="NormalText"/>
      </w:pPr>
      <w:r w:rsidRPr="00427F9C">
        <w:t xml:space="preserve">The procedure should also be followed for audits of </w:t>
      </w:r>
      <w:r w:rsidRPr="00427F9C">
        <w:rPr>
          <w:b/>
        </w:rPr>
        <w:t xml:space="preserve">overseas </w:t>
      </w:r>
      <w:r w:rsidR="001D15DF" w:rsidRPr="001D15DF">
        <w:rPr>
          <w:b/>
          <w:bCs/>
        </w:rPr>
        <w:t>veterinary chemical manufacturing facility</w:t>
      </w:r>
      <w:r w:rsidRPr="00427F9C">
        <w:t xml:space="preserve"> by </w:t>
      </w:r>
      <w:r w:rsidRPr="001D15DF">
        <w:t>APVMA-authorised GMP auditors</w:t>
      </w:r>
      <w:r w:rsidRPr="00427F9C">
        <w:t xml:space="preserve">, however some differences in processes, forms, etc may apply. These differences are summarised in Section </w:t>
      </w:r>
      <w:r w:rsidR="001D15DF">
        <w:fldChar w:fldCharType="begin"/>
      </w:r>
      <w:r w:rsidR="001D15DF">
        <w:instrText xml:space="preserve"> REF _Ref145606581 \w \h </w:instrText>
      </w:r>
      <w:r w:rsidR="001D15DF">
        <w:fldChar w:fldCharType="separate"/>
      </w:r>
      <w:r w:rsidR="003A0149">
        <w:t>5</w:t>
      </w:r>
      <w:r w:rsidR="001D15DF">
        <w:fldChar w:fldCharType="end"/>
      </w:r>
      <w:r w:rsidRPr="00427F9C">
        <w:t xml:space="preserve">. For a list of all forms and templates, refer to Appendix </w:t>
      </w:r>
      <w:r w:rsidR="00C4560B" w:rsidRPr="00427F9C">
        <w:t>A</w:t>
      </w:r>
      <w:r w:rsidRPr="00427F9C">
        <w:t xml:space="preserve"> (page </w:t>
      </w:r>
      <w:r w:rsidR="004B1D58">
        <w:fldChar w:fldCharType="begin"/>
      </w:r>
      <w:r w:rsidR="004B1D58">
        <w:instrText xml:space="preserve"> PAGEREF  AppendixA \h </w:instrText>
      </w:r>
      <w:r w:rsidR="004B1D58">
        <w:fldChar w:fldCharType="separate"/>
      </w:r>
      <w:r w:rsidR="003A0149">
        <w:rPr>
          <w:noProof/>
        </w:rPr>
        <w:t>29</w:t>
      </w:r>
      <w:r w:rsidR="004B1D58">
        <w:fldChar w:fldCharType="end"/>
      </w:r>
      <w:r w:rsidRPr="00427F9C">
        <w:t>).</w:t>
      </w:r>
    </w:p>
    <w:p w14:paraId="6BEB35B3" w14:textId="5275A189" w:rsidR="00AA043F" w:rsidRPr="00427F9C" w:rsidRDefault="001D15DF" w:rsidP="00205253">
      <w:pPr>
        <w:pStyle w:val="NormalText"/>
      </w:pPr>
      <w:r>
        <w:t xml:space="preserve">The procedure </w:t>
      </w:r>
      <w:r w:rsidR="008D7ACE" w:rsidRPr="00427F9C">
        <w:t xml:space="preserve">also covers other recognised GMP accreditation from Therapeutic Goods Administration (TGA) and the National Association of Testing Authorities, Australia (NATA). The TGA will audit a veterinary chemical manufacturing facility </w:t>
      </w:r>
      <w:r>
        <w:t xml:space="preserve">against </w:t>
      </w:r>
      <w:r w:rsidR="008D7ACE" w:rsidRPr="00427F9C">
        <w:t xml:space="preserve">the </w:t>
      </w:r>
      <w:hyperlink r:id="rId28" w:history="1">
        <w:r w:rsidR="008D7ACE" w:rsidRPr="00427F9C">
          <w:rPr>
            <w:rStyle w:val="Hyperlink"/>
          </w:rPr>
          <w:t>Pharmaceutical Inspection Co-operation Scheme (PIC/S)</w:t>
        </w:r>
      </w:hyperlink>
      <w:r w:rsidR="008D7ACE" w:rsidRPr="00427F9C">
        <w:t xml:space="preserve">. Testing laboratories can be audited by NATA to </w:t>
      </w:r>
      <w:hyperlink r:id="rId29" w:history="1">
        <w:r w:rsidR="008D7ACE" w:rsidRPr="00B04A0A">
          <w:rPr>
            <w:rStyle w:val="Hyperlink"/>
          </w:rPr>
          <w:t xml:space="preserve">ISO17025 </w:t>
        </w:r>
        <w:r w:rsidR="00B307BC" w:rsidRPr="00B04A0A">
          <w:rPr>
            <w:rStyle w:val="Hyperlink"/>
          </w:rPr>
          <w:t xml:space="preserve">General </w:t>
        </w:r>
        <w:r w:rsidR="00B04A0A" w:rsidRPr="00B04A0A">
          <w:rPr>
            <w:rStyle w:val="Hyperlink"/>
          </w:rPr>
          <w:t>R</w:t>
        </w:r>
        <w:r w:rsidR="00B307BC" w:rsidRPr="00B04A0A">
          <w:rPr>
            <w:rStyle w:val="Hyperlink"/>
          </w:rPr>
          <w:t xml:space="preserve">equirements for the </w:t>
        </w:r>
        <w:r w:rsidR="00B04A0A" w:rsidRPr="00B04A0A">
          <w:rPr>
            <w:rStyle w:val="Hyperlink"/>
          </w:rPr>
          <w:t>C</w:t>
        </w:r>
        <w:r w:rsidR="00B307BC" w:rsidRPr="00B04A0A">
          <w:rPr>
            <w:rStyle w:val="Hyperlink"/>
          </w:rPr>
          <w:t xml:space="preserve">ompetence of </w:t>
        </w:r>
        <w:r w:rsidR="00B04A0A" w:rsidRPr="00B04A0A">
          <w:rPr>
            <w:rStyle w:val="Hyperlink"/>
          </w:rPr>
          <w:t>T</w:t>
        </w:r>
        <w:r w:rsidR="00B307BC" w:rsidRPr="00B04A0A">
          <w:rPr>
            <w:rStyle w:val="Hyperlink"/>
          </w:rPr>
          <w:t xml:space="preserve">esting and </w:t>
        </w:r>
        <w:r w:rsidR="00B04A0A" w:rsidRPr="00B04A0A">
          <w:rPr>
            <w:rStyle w:val="Hyperlink"/>
          </w:rPr>
          <w:t>C</w:t>
        </w:r>
        <w:r w:rsidR="00B307BC" w:rsidRPr="00B04A0A">
          <w:rPr>
            <w:rStyle w:val="Hyperlink"/>
          </w:rPr>
          <w:t xml:space="preserve">alibration </w:t>
        </w:r>
        <w:r w:rsidR="00B04A0A" w:rsidRPr="00B04A0A">
          <w:rPr>
            <w:rStyle w:val="Hyperlink"/>
          </w:rPr>
          <w:t>L</w:t>
        </w:r>
        <w:r w:rsidR="00B307BC" w:rsidRPr="00B04A0A">
          <w:rPr>
            <w:rStyle w:val="Hyperlink"/>
          </w:rPr>
          <w:t>aboratories</w:t>
        </w:r>
      </w:hyperlink>
      <w:r w:rsidR="008D7ACE" w:rsidRPr="00427F9C">
        <w:t xml:space="preserve">. </w:t>
      </w:r>
    </w:p>
    <w:p w14:paraId="62A5F662" w14:textId="64E5B1E3" w:rsidR="008D7ACE" w:rsidRPr="00427F9C" w:rsidRDefault="001D15DF">
      <w:pPr>
        <w:pStyle w:val="NormalText"/>
      </w:pPr>
      <w:r>
        <w:t xml:space="preserve">The </w:t>
      </w:r>
      <w:r w:rsidR="008D7ACE" w:rsidRPr="00427F9C">
        <w:t xml:space="preserve">APVMA may attend audits as </w:t>
      </w:r>
      <w:r>
        <w:t xml:space="preserve">an </w:t>
      </w:r>
      <w:r w:rsidR="008D7ACE" w:rsidRPr="00427F9C">
        <w:t>observer</w:t>
      </w:r>
      <w:r>
        <w:t>(</w:t>
      </w:r>
      <w:r w:rsidR="008D7ACE" w:rsidRPr="00427F9C">
        <w:t>s</w:t>
      </w:r>
      <w:r>
        <w:t>)</w:t>
      </w:r>
      <w:r w:rsidR="008D7ACE" w:rsidRPr="00427F9C">
        <w:t xml:space="preserve"> or </w:t>
      </w:r>
      <w:r>
        <w:t xml:space="preserve">may </w:t>
      </w:r>
      <w:r w:rsidR="008D7ACE" w:rsidRPr="00427F9C">
        <w:t xml:space="preserve">periodically conduct </w:t>
      </w:r>
      <w:r w:rsidR="001E2567" w:rsidRPr="00427F9C">
        <w:t xml:space="preserve">announced and </w:t>
      </w:r>
      <w:r w:rsidR="008D7ACE" w:rsidRPr="00427F9C">
        <w:t>unannounced audits to assess day-to-day GMP compliance.</w:t>
      </w:r>
    </w:p>
    <w:p w14:paraId="2C1997F1" w14:textId="7FC539C3" w:rsidR="00B9191E" w:rsidRDefault="008D7ACE">
      <w:pPr>
        <w:pStyle w:val="NormalText"/>
      </w:pPr>
      <w:r w:rsidRPr="00427F9C">
        <w:t xml:space="preserve">All </w:t>
      </w:r>
      <w:r w:rsidR="00837541">
        <w:t>GMP Audit Report</w:t>
      </w:r>
      <w:r w:rsidRPr="00427F9C">
        <w:t xml:space="preserve">s are reviewed by the APVMA to ensure that a veterinary chemical manufacturing facility is compliant with the </w:t>
      </w:r>
      <w:r w:rsidRPr="001D15DF">
        <w:rPr>
          <w:szCs w:val="19"/>
        </w:rPr>
        <w:t>Agricultural and Veterinary Chemicals (Manufacturing Principles) Determination 2014</w:t>
      </w:r>
      <w:r w:rsidRPr="00427F9C">
        <w:t xml:space="preserve"> (</w:t>
      </w:r>
      <w:r w:rsidR="005B414F">
        <w:t>Manufacturing Principles</w:t>
      </w:r>
      <w:r w:rsidRPr="00427F9C">
        <w:t xml:space="preserve">) and the </w:t>
      </w:r>
      <w:r w:rsidR="0002442B">
        <w:t>GMP Code</w:t>
      </w:r>
      <w:r w:rsidR="006E1A51">
        <w:t xml:space="preserve"> for the purpose of licensing</w:t>
      </w:r>
      <w:r w:rsidRPr="00427F9C">
        <w:t>.</w:t>
      </w:r>
      <w:r w:rsidR="00B04A0A">
        <w:t xml:space="preserve"> </w:t>
      </w:r>
    </w:p>
    <w:p w14:paraId="26F32A64" w14:textId="1F05618D" w:rsidR="002E20AC" w:rsidRPr="00427F9C" w:rsidRDefault="002E20AC">
      <w:pPr>
        <w:pStyle w:val="NormalText"/>
        <w:sectPr w:rsidR="002E20AC" w:rsidRPr="00427F9C" w:rsidSect="00285FB3">
          <w:headerReference w:type="default" r:id="rId30"/>
          <w:pgSz w:w="11906" w:h="16838" w:code="9"/>
          <w:pgMar w:top="2835" w:right="1134" w:bottom="1134" w:left="1134" w:header="1134" w:footer="680" w:gutter="0"/>
          <w:pgNumType w:start="1"/>
          <w:cols w:space="708"/>
          <w:docGrid w:linePitch="360"/>
        </w:sectPr>
      </w:pPr>
    </w:p>
    <w:p w14:paraId="59ADF4A6" w14:textId="77777777" w:rsidR="002E20AC" w:rsidRPr="00427F9C" w:rsidRDefault="00066006" w:rsidP="00E97570">
      <w:pPr>
        <w:pStyle w:val="Heading1"/>
      </w:pPr>
      <w:bookmarkStart w:id="6" w:name="_Toc145432907"/>
      <w:bookmarkStart w:id="7" w:name="_Toc145606290"/>
      <w:bookmarkStart w:id="8" w:name="_Toc160083838"/>
      <w:r w:rsidRPr="00427F9C">
        <w:lastRenderedPageBreak/>
        <w:t>G</w:t>
      </w:r>
      <w:r w:rsidR="003829DC" w:rsidRPr="00427F9C">
        <w:t>eneral principles</w:t>
      </w:r>
      <w:bookmarkEnd w:id="6"/>
      <w:bookmarkEnd w:id="7"/>
      <w:bookmarkEnd w:id="8"/>
    </w:p>
    <w:p w14:paraId="797145AD" w14:textId="77777777" w:rsidR="008D7ACE" w:rsidRPr="00427F9C" w:rsidRDefault="008D7ACE" w:rsidP="008E18A8">
      <w:pPr>
        <w:pStyle w:val="Heading3"/>
      </w:pPr>
      <w:bookmarkStart w:id="9" w:name="_Toc145606291"/>
      <w:bookmarkStart w:id="10" w:name="_Toc160083839"/>
      <w:r w:rsidRPr="008E18A8">
        <w:t>Supplying</w:t>
      </w:r>
      <w:r w:rsidRPr="00427F9C">
        <w:t xml:space="preserve"> </w:t>
      </w:r>
      <w:r w:rsidRPr="008E18A8">
        <w:t>manufactured</w:t>
      </w:r>
      <w:r w:rsidRPr="00427F9C">
        <w:t xml:space="preserve"> </w:t>
      </w:r>
      <w:r w:rsidRPr="008E18A8">
        <w:t>goods</w:t>
      </w:r>
      <w:r w:rsidRPr="00427F9C">
        <w:t xml:space="preserve"> </w:t>
      </w:r>
      <w:r w:rsidRPr="008E18A8">
        <w:t>to</w:t>
      </w:r>
      <w:r w:rsidRPr="00427F9C">
        <w:t xml:space="preserve"> </w:t>
      </w:r>
      <w:r w:rsidRPr="008E18A8">
        <w:t>Australia</w:t>
      </w:r>
      <w:bookmarkEnd w:id="9"/>
      <w:bookmarkEnd w:id="10"/>
    </w:p>
    <w:p w14:paraId="098AF1B1" w14:textId="7A14C380" w:rsidR="008D7ACE" w:rsidRDefault="008D7ACE" w:rsidP="008D7ACE">
      <w:pPr>
        <w:pStyle w:val="NormalText"/>
        <w:jc w:val="both"/>
      </w:pPr>
      <w:r w:rsidRPr="00427F9C">
        <w:t xml:space="preserve">No batch of veterinary chemical product manufactured prior to licensing or </w:t>
      </w:r>
      <w:r w:rsidR="001D15DF">
        <w:t xml:space="preserve">issuance of a </w:t>
      </w:r>
      <w:r w:rsidRPr="00427F9C">
        <w:t>GMP compliance letter can be sold or supplied within Australia, or exported from Australia, unless prior approval has been obtained.</w:t>
      </w:r>
    </w:p>
    <w:p w14:paraId="5AFB7F09" w14:textId="207571C0" w:rsidR="00B04A0A" w:rsidRDefault="00B04A0A" w:rsidP="00B04A0A">
      <w:pPr>
        <w:pStyle w:val="NormalText"/>
        <w:jc w:val="both"/>
      </w:pPr>
      <w:r>
        <w:t xml:space="preserve">Note that the manufacture of </w:t>
      </w:r>
      <w:hyperlink r:id="rId31" w:history="1">
        <w:r w:rsidRPr="00B04A0A">
          <w:rPr>
            <w:rStyle w:val="Hyperlink"/>
          </w:rPr>
          <w:t>excluded nutritional or digestive (END) products</w:t>
        </w:r>
      </w:hyperlink>
      <w:r>
        <w:t xml:space="preserve"> </w:t>
      </w:r>
      <w:r w:rsidR="000B2856">
        <w:t xml:space="preserve">can be </w:t>
      </w:r>
      <w:r>
        <w:t>exempted from this requirement. For a product to be an END product, the product must be manufactured under one of the following QA systems:</w:t>
      </w:r>
    </w:p>
    <w:p w14:paraId="7D45677D" w14:textId="10E92331" w:rsidR="00B04A0A" w:rsidRDefault="00B04A0A" w:rsidP="00B04A0A">
      <w:pPr>
        <w:pStyle w:val="NormalText"/>
        <w:numPr>
          <w:ilvl w:val="0"/>
          <w:numId w:val="8"/>
        </w:numPr>
      </w:pPr>
      <w:r>
        <w:t>Meet the requirements of the APVMA GMP Code of Practice and manufacturing principles</w:t>
      </w:r>
    </w:p>
    <w:p w14:paraId="6AA023D6" w14:textId="5AF7B624" w:rsidR="00B04A0A" w:rsidRDefault="00B04A0A" w:rsidP="00B04A0A">
      <w:pPr>
        <w:pStyle w:val="NormalText"/>
        <w:numPr>
          <w:ilvl w:val="0"/>
          <w:numId w:val="8"/>
        </w:numPr>
      </w:pPr>
      <w:r>
        <w:t>An Australian animal feed industry code of practice (such as FeedSafe or the FIAAA CoP)</w:t>
      </w:r>
    </w:p>
    <w:p w14:paraId="1C8BCBA5" w14:textId="1961B7F5" w:rsidR="00B04A0A" w:rsidRDefault="00B04A0A" w:rsidP="00B04A0A">
      <w:pPr>
        <w:pStyle w:val="NormalText"/>
        <w:numPr>
          <w:ilvl w:val="0"/>
          <w:numId w:val="8"/>
        </w:numPr>
      </w:pPr>
      <w:r>
        <w:t>An Australian Standard for animal feed manufacture (in particular, AS 5812-2011), or</w:t>
      </w:r>
    </w:p>
    <w:p w14:paraId="3A1038EE" w14:textId="3C341CFA" w:rsidR="00B04A0A" w:rsidRDefault="00B04A0A" w:rsidP="00B04A0A">
      <w:pPr>
        <w:pStyle w:val="NormalText"/>
        <w:numPr>
          <w:ilvl w:val="0"/>
          <w:numId w:val="8"/>
        </w:numPr>
      </w:pPr>
      <w:r>
        <w:t>An animal feed quality standard of the United States of America or the European Union (such as FAMI-QS).</w:t>
      </w:r>
    </w:p>
    <w:p w14:paraId="2EE5619C" w14:textId="1689E991" w:rsidR="00B04A0A" w:rsidRDefault="00B04A0A" w:rsidP="008D7ACE">
      <w:pPr>
        <w:pStyle w:val="NormalText"/>
        <w:jc w:val="both"/>
      </w:pPr>
      <w:r>
        <w:t>The QA system must be appropriate for the product. For example, a stock feed QA system will not apply to a pet food, and vice versa.</w:t>
      </w:r>
    </w:p>
    <w:tbl>
      <w:tblPr>
        <w:tblStyle w:val="TableGrid"/>
        <w:tblW w:w="0" w:type="auto"/>
        <w:tblLook w:val="04A0" w:firstRow="1" w:lastRow="0" w:firstColumn="1" w:lastColumn="0" w:noHBand="0" w:noVBand="1"/>
      </w:tblPr>
      <w:tblGrid>
        <w:gridCol w:w="1413"/>
        <w:gridCol w:w="8216"/>
      </w:tblGrid>
      <w:tr w:rsidR="008E18A8" w14:paraId="02B61CDA" w14:textId="77777777" w:rsidTr="008E18A8">
        <w:tc>
          <w:tcPr>
            <w:tcW w:w="1413" w:type="dxa"/>
            <w:vAlign w:val="center"/>
          </w:tcPr>
          <w:p w14:paraId="4375E29E" w14:textId="42F0CF3C" w:rsidR="008E18A8" w:rsidRDefault="008E18A8" w:rsidP="008E18A8">
            <w:pPr>
              <w:pStyle w:val="NormalText"/>
              <w:spacing w:before="60" w:after="60" w:line="240" w:lineRule="auto"/>
              <w:jc w:val="center"/>
            </w:pPr>
            <w:r>
              <w:rPr>
                <w:noProof/>
              </w:rPr>
              <w:drawing>
                <wp:inline distT="0" distB="0" distL="0" distR="0" wp14:anchorId="2B4AFAE7" wp14:editId="76883C0B">
                  <wp:extent cx="485714" cy="4857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85714" cy="485714"/>
                          </a:xfrm>
                          <a:prstGeom prst="rect">
                            <a:avLst/>
                          </a:prstGeom>
                        </pic:spPr>
                      </pic:pic>
                    </a:graphicData>
                  </a:graphic>
                </wp:inline>
              </w:drawing>
            </w:r>
          </w:p>
        </w:tc>
        <w:tc>
          <w:tcPr>
            <w:tcW w:w="8216" w:type="dxa"/>
            <w:shd w:val="clear" w:color="auto" w:fill="F2F2F2" w:themeFill="background1" w:themeFillShade="F2"/>
            <w:vAlign w:val="center"/>
          </w:tcPr>
          <w:p w14:paraId="1C83ADFA" w14:textId="33BE0748" w:rsidR="008E18A8" w:rsidRDefault="008E18A8" w:rsidP="008E18A8">
            <w:pPr>
              <w:pStyle w:val="NormalText"/>
              <w:spacing w:before="60" w:after="60" w:line="240" w:lineRule="auto"/>
              <w:jc w:val="both"/>
            </w:pPr>
            <w:r w:rsidRPr="00427F9C">
              <w:t xml:space="preserve">Do not commence manufacturing </w:t>
            </w:r>
            <w:r>
              <w:t xml:space="preserve">for validation or </w:t>
            </w:r>
            <w:r w:rsidRPr="00427F9C">
              <w:t>supply to Australia until a manufacturing licence or GMP compliance letter has been granted, unless prior approval has been obtained</w:t>
            </w:r>
            <w:r>
              <w:t xml:space="preserve"> or those chemical products are </w:t>
            </w:r>
            <w:hyperlink r:id="rId33" w:history="1">
              <w:r w:rsidRPr="00AC40F8">
                <w:rPr>
                  <w:rStyle w:val="Hyperlink"/>
                </w:rPr>
                <w:t>listed</w:t>
              </w:r>
            </w:hyperlink>
            <w:r>
              <w:t xml:space="preserve">, </w:t>
            </w:r>
            <w:hyperlink r:id="rId34" w:history="1">
              <w:r w:rsidRPr="00AC40F8">
                <w:rPr>
                  <w:rStyle w:val="Hyperlink"/>
                </w:rPr>
                <w:t>reserved</w:t>
              </w:r>
            </w:hyperlink>
            <w:r>
              <w:t xml:space="preserve"> or </w:t>
            </w:r>
            <w:hyperlink r:id="rId35" w:history="1">
              <w:r w:rsidRPr="00AC40F8">
                <w:rPr>
                  <w:rStyle w:val="Hyperlink"/>
                </w:rPr>
                <w:t>exempt</w:t>
              </w:r>
            </w:hyperlink>
            <w:r>
              <w:t>.</w:t>
            </w:r>
          </w:p>
        </w:tc>
      </w:tr>
    </w:tbl>
    <w:p w14:paraId="1F6A0C5B" w14:textId="77777777" w:rsidR="008D7ACE" w:rsidRPr="00427F9C" w:rsidRDefault="008D7ACE" w:rsidP="008E18A8">
      <w:pPr>
        <w:pStyle w:val="Heading3"/>
      </w:pPr>
      <w:bookmarkStart w:id="11" w:name="_Toc145606292"/>
      <w:bookmarkStart w:id="12" w:name="_Toc160083840"/>
      <w:r w:rsidRPr="008E18A8">
        <w:t>Confidentiality</w:t>
      </w:r>
      <w:bookmarkEnd w:id="11"/>
      <w:bookmarkEnd w:id="12"/>
    </w:p>
    <w:p w14:paraId="4268D214" w14:textId="18EF6319" w:rsidR="008D7ACE" w:rsidRPr="00427F9C" w:rsidRDefault="004B1D58" w:rsidP="008D7ACE">
      <w:pPr>
        <w:pStyle w:val="NormalText"/>
        <w:jc w:val="both"/>
      </w:pPr>
      <w:r>
        <w:t>APVMA</w:t>
      </w:r>
      <w:r w:rsidR="008D7ACE" w:rsidRPr="00427F9C">
        <w:t xml:space="preserve"> treat information about applications and manufacturers as official information. Find out more about confidentiality at </w:t>
      </w:r>
      <w:hyperlink r:id="rId36" w:history="1">
        <w:r w:rsidR="008D7ACE" w:rsidRPr="00427F9C">
          <w:rPr>
            <w:rStyle w:val="Hyperlink"/>
          </w:rPr>
          <w:t>APVMA approach to disclosure of commercially confidential information</w:t>
        </w:r>
      </w:hyperlink>
      <w:r w:rsidR="008D7ACE" w:rsidRPr="00427F9C">
        <w:t>.</w:t>
      </w:r>
    </w:p>
    <w:p w14:paraId="4A502CFF" w14:textId="0DDCC715" w:rsidR="008D7ACE" w:rsidRPr="00427F9C" w:rsidRDefault="00E02ECB" w:rsidP="008D7ACE">
      <w:pPr>
        <w:pStyle w:val="NormalText"/>
        <w:jc w:val="both"/>
      </w:pPr>
      <w:r>
        <w:t xml:space="preserve">The APVMA </w:t>
      </w:r>
      <w:r w:rsidR="008D7ACE" w:rsidRPr="00427F9C">
        <w:t>publish</w:t>
      </w:r>
      <w:r>
        <w:t>es</w:t>
      </w:r>
      <w:r w:rsidR="008D7ACE" w:rsidRPr="00427F9C">
        <w:t xml:space="preserve"> a list of </w:t>
      </w:r>
      <w:hyperlink r:id="rId37" w:history="1">
        <w:r w:rsidR="008D7ACE" w:rsidRPr="00427F9C">
          <w:rPr>
            <w:rStyle w:val="Hyperlink"/>
          </w:rPr>
          <w:t>licensed Australian manufacturers</w:t>
        </w:r>
      </w:hyperlink>
      <w:r w:rsidR="008D7ACE" w:rsidRPr="00427F9C">
        <w:t>.</w:t>
      </w:r>
    </w:p>
    <w:p w14:paraId="0420A81F" w14:textId="16F42A00" w:rsidR="00502515" w:rsidRPr="00427F9C" w:rsidRDefault="00502515" w:rsidP="008E18A8">
      <w:pPr>
        <w:pStyle w:val="Heading3"/>
      </w:pPr>
      <w:bookmarkStart w:id="13" w:name="_Toc145606293"/>
      <w:bookmarkStart w:id="14" w:name="_Toc160083841"/>
      <w:r w:rsidRPr="008E18A8">
        <w:t>Determining</w:t>
      </w:r>
      <w:r w:rsidRPr="00427F9C">
        <w:t xml:space="preserve"> </w:t>
      </w:r>
      <w:r w:rsidRPr="008E18A8">
        <w:t>whether</w:t>
      </w:r>
      <w:r w:rsidRPr="00427F9C">
        <w:t xml:space="preserve"> </w:t>
      </w:r>
      <w:r w:rsidR="000B2856">
        <w:t xml:space="preserve">a </w:t>
      </w:r>
      <w:r w:rsidRPr="008E18A8">
        <w:t>licen</w:t>
      </w:r>
      <w:r w:rsidR="00635E70" w:rsidRPr="008E18A8">
        <w:t>c</w:t>
      </w:r>
      <w:r w:rsidRPr="008E18A8">
        <w:t>ing</w:t>
      </w:r>
      <w:r w:rsidRPr="00427F9C">
        <w:t xml:space="preserve"> </w:t>
      </w:r>
      <w:r w:rsidRPr="008E18A8">
        <w:t>or</w:t>
      </w:r>
      <w:r w:rsidRPr="00427F9C">
        <w:t xml:space="preserve"> </w:t>
      </w:r>
      <w:r w:rsidR="00310EAD" w:rsidRPr="008E18A8">
        <w:t xml:space="preserve">GMP </w:t>
      </w:r>
      <w:r w:rsidRPr="008E18A8">
        <w:t>c</w:t>
      </w:r>
      <w:r w:rsidR="00A06B7E" w:rsidRPr="008E18A8">
        <w:t>ompliance letter</w:t>
      </w:r>
      <w:r w:rsidRPr="00427F9C">
        <w:t xml:space="preserve"> </w:t>
      </w:r>
      <w:r w:rsidRPr="008E18A8">
        <w:t>is</w:t>
      </w:r>
      <w:r w:rsidRPr="00427F9C">
        <w:t xml:space="preserve"> </w:t>
      </w:r>
      <w:r w:rsidRPr="008E18A8">
        <w:t>required</w:t>
      </w:r>
      <w:bookmarkEnd w:id="13"/>
      <w:bookmarkEnd w:id="14"/>
    </w:p>
    <w:p w14:paraId="73DE6D66" w14:textId="5DF2E8A9" w:rsidR="00502515" w:rsidRPr="00427F9C" w:rsidRDefault="0002442B" w:rsidP="003E7240">
      <w:pPr>
        <w:pStyle w:val="NormalText"/>
      </w:pPr>
      <w:r>
        <w:t>U</w:t>
      </w:r>
      <w:r w:rsidRPr="00427F9C">
        <w:t>nder the</w:t>
      </w:r>
      <w:r>
        <w:t xml:space="preserve"> </w:t>
      </w:r>
      <w:r w:rsidR="00A6015D">
        <w:t>AgVet</w:t>
      </w:r>
      <w:r w:rsidRPr="00427F9C">
        <w:t xml:space="preserve"> Code and the </w:t>
      </w:r>
      <w:r w:rsidR="00A6015D">
        <w:t>AgVet</w:t>
      </w:r>
      <w:r w:rsidRPr="00427F9C">
        <w:t xml:space="preserve"> Code Regulations</w:t>
      </w:r>
      <w:r>
        <w:t xml:space="preserve">, </w:t>
      </w:r>
      <w:r w:rsidR="00502515" w:rsidRPr="00427F9C">
        <w:t>a</w:t>
      </w:r>
      <w:r w:rsidR="00862ECC">
        <w:t>n</w:t>
      </w:r>
      <w:r w:rsidR="00502515" w:rsidRPr="00427F9C">
        <w:t xml:space="preserve"> APVMA manufacturing licence </w:t>
      </w:r>
      <w:r>
        <w:t xml:space="preserve">is required </w:t>
      </w:r>
      <w:r w:rsidR="00502515" w:rsidRPr="00427F9C">
        <w:t xml:space="preserve">to manufacture veterinary chemical </w:t>
      </w:r>
      <w:r w:rsidR="001E2567" w:rsidRPr="00427F9C">
        <w:t>products</w:t>
      </w:r>
      <w:r w:rsidR="00502515" w:rsidRPr="00427F9C">
        <w:t xml:space="preserve"> for supply in</w:t>
      </w:r>
      <w:r>
        <w:t>,</w:t>
      </w:r>
      <w:r w:rsidR="00502515" w:rsidRPr="00427F9C">
        <w:t xml:space="preserve"> or export from</w:t>
      </w:r>
      <w:r>
        <w:t>,</w:t>
      </w:r>
      <w:r w:rsidR="00502515" w:rsidRPr="00427F9C">
        <w:t xml:space="preserve"> Australia, unless otherwise exempt</w:t>
      </w:r>
      <w:r w:rsidR="003E7240" w:rsidRPr="00427F9C">
        <w:t>.</w:t>
      </w:r>
    </w:p>
    <w:p w14:paraId="3717CE7A" w14:textId="51B099D5" w:rsidR="00502515" w:rsidRPr="00427F9C" w:rsidRDefault="00502515" w:rsidP="00502515">
      <w:pPr>
        <w:pStyle w:val="NormalText"/>
      </w:pPr>
      <w:r w:rsidRPr="00427F9C">
        <w:t xml:space="preserve">GMP compliance is how </w:t>
      </w:r>
      <w:r w:rsidR="00E02ECB">
        <w:t xml:space="preserve">the APVMA </w:t>
      </w:r>
      <w:r w:rsidRPr="00427F9C">
        <w:t>determine</w:t>
      </w:r>
      <w:r w:rsidR="00E02ECB">
        <w:t>s</w:t>
      </w:r>
      <w:r w:rsidRPr="00427F9C">
        <w:t xml:space="preserve"> that veterinary chemical products manufactured overseas and intended for import and supply to Australia</w:t>
      </w:r>
      <w:r w:rsidR="00C96983">
        <w:t>, and manufactured domestically,</w:t>
      </w:r>
      <w:r w:rsidRPr="00427F9C">
        <w:t xml:space="preserve"> comply with </w:t>
      </w:r>
      <w:r w:rsidR="0002442B">
        <w:t xml:space="preserve">Australia’s </w:t>
      </w:r>
      <w:r w:rsidRPr="00427F9C">
        <w:t>GMP requirements.</w:t>
      </w:r>
    </w:p>
    <w:p w14:paraId="30E8F8C9" w14:textId="77777777" w:rsidR="00502515" w:rsidRPr="00427F9C" w:rsidRDefault="00502515" w:rsidP="008E18A8">
      <w:pPr>
        <w:pStyle w:val="Heading3"/>
      </w:pPr>
      <w:bookmarkStart w:id="15" w:name="_Toc145606294"/>
      <w:bookmarkStart w:id="16" w:name="_Toc160083842"/>
      <w:r w:rsidRPr="008E18A8">
        <w:lastRenderedPageBreak/>
        <w:t>Independent</w:t>
      </w:r>
      <w:r w:rsidRPr="00427F9C">
        <w:t xml:space="preserve"> </w:t>
      </w:r>
      <w:r w:rsidRPr="008E18A8">
        <w:t>advice</w:t>
      </w:r>
      <w:bookmarkEnd w:id="15"/>
      <w:bookmarkEnd w:id="16"/>
    </w:p>
    <w:p w14:paraId="56BC1CE3" w14:textId="4F846D5A" w:rsidR="008D7ACE" w:rsidRPr="00427F9C" w:rsidRDefault="00502515" w:rsidP="00502515">
      <w:pPr>
        <w:pStyle w:val="NormalText"/>
        <w:rPr>
          <w:b/>
          <w:bCs/>
        </w:rPr>
      </w:pPr>
      <w:r w:rsidRPr="00427F9C">
        <w:t xml:space="preserve">If </w:t>
      </w:r>
      <w:r w:rsidR="004167CD">
        <w:t xml:space="preserve">a </w:t>
      </w:r>
      <w:r w:rsidR="007B77B3">
        <w:t xml:space="preserve">Licence Holder has </w:t>
      </w:r>
      <w:r w:rsidRPr="00427F9C">
        <w:t>no previous experience with manufacturing veterinary chemical product</w:t>
      </w:r>
      <w:r w:rsidR="00836647">
        <w:t xml:space="preserve">s within </w:t>
      </w:r>
      <w:r w:rsidR="00DD7F89" w:rsidRPr="00427F9C">
        <w:t>Australia,</w:t>
      </w:r>
      <w:r w:rsidR="007B77B3">
        <w:t xml:space="preserve"> they </w:t>
      </w:r>
      <w:r w:rsidRPr="00427F9C">
        <w:t xml:space="preserve">may seek the services of a GMP </w:t>
      </w:r>
      <w:r w:rsidR="0002442B">
        <w:t xml:space="preserve">consultant or a </w:t>
      </w:r>
      <w:r w:rsidRPr="00427F9C">
        <w:t>regulatory affairs consultant.</w:t>
      </w:r>
      <w:r w:rsidR="00836647">
        <w:t xml:space="preserve"> </w:t>
      </w:r>
      <w:r w:rsidR="00E02ECB">
        <w:rPr>
          <w:b/>
          <w:bCs/>
        </w:rPr>
        <w:t xml:space="preserve">The APVMA </w:t>
      </w:r>
      <w:r w:rsidR="00836647">
        <w:rPr>
          <w:b/>
          <w:bCs/>
        </w:rPr>
        <w:t xml:space="preserve">also </w:t>
      </w:r>
      <w:r w:rsidRPr="00427F9C">
        <w:rPr>
          <w:b/>
          <w:bCs/>
        </w:rPr>
        <w:t>recommend</w:t>
      </w:r>
      <w:r w:rsidR="00E02ECB">
        <w:rPr>
          <w:b/>
          <w:bCs/>
        </w:rPr>
        <w:t>s</w:t>
      </w:r>
      <w:r w:rsidRPr="00427F9C">
        <w:rPr>
          <w:b/>
          <w:bCs/>
        </w:rPr>
        <w:t xml:space="preserve"> </w:t>
      </w:r>
      <w:r w:rsidR="007B77B3">
        <w:rPr>
          <w:b/>
          <w:bCs/>
        </w:rPr>
        <w:t xml:space="preserve">that Licence Holders </w:t>
      </w:r>
      <w:r w:rsidRPr="00427F9C">
        <w:rPr>
          <w:b/>
          <w:bCs/>
        </w:rPr>
        <w:t xml:space="preserve">seek independent legal advice to ensure </w:t>
      </w:r>
      <w:r w:rsidR="007B77B3">
        <w:rPr>
          <w:b/>
          <w:bCs/>
        </w:rPr>
        <w:t>they</w:t>
      </w:r>
      <w:r w:rsidRPr="00427F9C">
        <w:rPr>
          <w:b/>
          <w:bCs/>
        </w:rPr>
        <w:t xml:space="preserve"> comply with all relevant requirements.</w:t>
      </w:r>
    </w:p>
    <w:p w14:paraId="2D08693B" w14:textId="77777777" w:rsidR="00502515" w:rsidRPr="00427F9C" w:rsidRDefault="00502515" w:rsidP="008E18A8">
      <w:pPr>
        <w:pStyle w:val="Heading3"/>
      </w:pPr>
      <w:bookmarkStart w:id="17" w:name="_Toc145606295"/>
      <w:bookmarkStart w:id="18" w:name="_Toc160083843"/>
      <w:r w:rsidRPr="008E18A8">
        <w:t>Responsibilities</w:t>
      </w:r>
      <w:r w:rsidRPr="00427F9C">
        <w:t xml:space="preserve"> </w:t>
      </w:r>
      <w:r w:rsidRPr="008E18A8">
        <w:t>of</w:t>
      </w:r>
      <w:r w:rsidRPr="00427F9C">
        <w:t xml:space="preserve"> </w:t>
      </w:r>
      <w:r w:rsidRPr="008E18A8">
        <w:t>key</w:t>
      </w:r>
      <w:r w:rsidRPr="00427F9C">
        <w:t xml:space="preserve"> </w:t>
      </w:r>
      <w:r w:rsidRPr="008E18A8">
        <w:t>persons</w:t>
      </w:r>
      <w:bookmarkEnd w:id="17"/>
      <w:bookmarkEnd w:id="18"/>
    </w:p>
    <w:p w14:paraId="36B9C6D7" w14:textId="54BEE3AA" w:rsidR="00502515" w:rsidRPr="00427F9C" w:rsidRDefault="00502515" w:rsidP="003E7240">
      <w:pPr>
        <w:pStyle w:val="NormalText"/>
      </w:pPr>
      <w:r w:rsidRPr="00427F9C">
        <w:t xml:space="preserve">The </w:t>
      </w:r>
      <w:r w:rsidR="00A6015D">
        <w:t>AgVet</w:t>
      </w:r>
      <w:r w:rsidRPr="0002442B">
        <w:t xml:space="preserve"> Code Regulations</w:t>
      </w:r>
      <w:r w:rsidRPr="00427F9C">
        <w:t xml:space="preserve">, the Manufacturing Principles and the </w:t>
      </w:r>
      <w:r w:rsidRPr="0002442B">
        <w:t>GMP Code</w:t>
      </w:r>
      <w:r w:rsidRPr="00427F9C">
        <w:t xml:space="preserve"> outline specific responsibilities for the key persons nominated by the </w:t>
      </w:r>
      <w:r w:rsidR="00190AE0">
        <w:t>Licence Holder</w:t>
      </w:r>
      <w:r w:rsidRPr="00427F9C">
        <w:t xml:space="preserve"> and listed in APVMA records as being responsible for controlling production and quality.</w:t>
      </w:r>
    </w:p>
    <w:p w14:paraId="02397E79" w14:textId="7EE169D8" w:rsidR="00502515" w:rsidRPr="00427F9C" w:rsidRDefault="00502515" w:rsidP="003E7240">
      <w:pPr>
        <w:pStyle w:val="NormalText"/>
      </w:pPr>
      <w:r w:rsidRPr="00427F9C">
        <w:t xml:space="preserve">Under </w:t>
      </w:r>
      <w:r w:rsidR="00190AE0">
        <w:t xml:space="preserve">the </w:t>
      </w:r>
      <w:r w:rsidR="00A6015D">
        <w:t>AgVet</w:t>
      </w:r>
      <w:r w:rsidRPr="00427F9C">
        <w:t xml:space="preserve"> Code Regulations, it is a condition of the licence that the key people maintain their control of production and quality. If a key person is replaced, the </w:t>
      </w:r>
      <w:r w:rsidR="00190AE0">
        <w:t>Licence Holder</w:t>
      </w:r>
      <w:r w:rsidRPr="00427F9C">
        <w:t xml:space="preserve"> must advise the APVMA of the name, qualifications and experience of their replacement</w:t>
      </w:r>
      <w:r w:rsidR="00A06B7E" w:rsidRPr="00427F9C">
        <w:t xml:space="preserve"> as soon as </w:t>
      </w:r>
      <w:r w:rsidR="001E2567" w:rsidRPr="00427F9C">
        <w:t>practicable</w:t>
      </w:r>
      <w:r w:rsidRPr="00427F9C">
        <w:t>.</w:t>
      </w:r>
    </w:p>
    <w:p w14:paraId="3CB3FC04" w14:textId="084D8478" w:rsidR="00502515" w:rsidRPr="00427F9C" w:rsidRDefault="00502515" w:rsidP="008E18A8">
      <w:pPr>
        <w:pStyle w:val="Heading3"/>
      </w:pPr>
      <w:bookmarkStart w:id="19" w:name="_Toc145606296"/>
      <w:bookmarkStart w:id="20" w:name="_Toc160083844"/>
      <w:r w:rsidRPr="008E18A8">
        <w:t>Variations</w:t>
      </w:r>
      <w:r w:rsidRPr="00427F9C">
        <w:t xml:space="preserve"> </w:t>
      </w:r>
      <w:r w:rsidRPr="008E18A8">
        <w:t>to a</w:t>
      </w:r>
      <w:r w:rsidRPr="00427F9C">
        <w:t xml:space="preserve"> </w:t>
      </w:r>
      <w:r w:rsidRPr="008E18A8">
        <w:t>licence</w:t>
      </w:r>
      <w:r w:rsidRPr="00427F9C">
        <w:t xml:space="preserve"> </w:t>
      </w:r>
      <w:r w:rsidRPr="008E18A8">
        <w:t>or</w:t>
      </w:r>
      <w:r w:rsidRPr="00427F9C">
        <w:t xml:space="preserve"> </w:t>
      </w:r>
      <w:r w:rsidRPr="008E18A8">
        <w:t>its</w:t>
      </w:r>
      <w:r w:rsidRPr="00427F9C">
        <w:t xml:space="preserve"> </w:t>
      </w:r>
      <w:r w:rsidRPr="008E18A8">
        <w:t>conditions</w:t>
      </w:r>
      <w:bookmarkEnd w:id="19"/>
      <w:bookmarkEnd w:id="20"/>
    </w:p>
    <w:p w14:paraId="5FD7F733" w14:textId="1476520C" w:rsidR="00502515" w:rsidRPr="00427F9C" w:rsidRDefault="00190AE0" w:rsidP="00AC40F8">
      <w:pPr>
        <w:pStyle w:val="NormalText"/>
        <w:keepNext/>
        <w:keepLines/>
        <w:widowControl w:val="0"/>
      </w:pPr>
      <w:r>
        <w:t>Licence Holder</w:t>
      </w:r>
      <w:r w:rsidRPr="00427F9C">
        <w:t xml:space="preserve">s </w:t>
      </w:r>
      <w:r w:rsidR="00502515" w:rsidRPr="00427F9C">
        <w:t>are responsible for notifying the APVMA of any changes or variations that may affect their licence or its conditions. This can apply to changes in the product (types), the manufacturing site and processes or to key persons.</w:t>
      </w:r>
    </w:p>
    <w:p w14:paraId="7826B191" w14:textId="14786D71" w:rsidR="00502515" w:rsidRPr="00427F9C" w:rsidRDefault="00190AE0" w:rsidP="00502515">
      <w:pPr>
        <w:pStyle w:val="NormalText"/>
      </w:pPr>
      <w:r>
        <w:t>Licence Holder</w:t>
      </w:r>
      <w:r w:rsidR="00502515" w:rsidRPr="00427F9C">
        <w:t xml:space="preserve">s </w:t>
      </w:r>
      <w:r>
        <w:t>must s</w:t>
      </w:r>
      <w:r w:rsidR="00502515" w:rsidRPr="00427F9C">
        <w:t xml:space="preserve">ubmit an application to vary their licence, in accordance with the requirements set out in the </w:t>
      </w:r>
      <w:r w:rsidR="00A6015D">
        <w:t>AgVet</w:t>
      </w:r>
      <w:r w:rsidR="00502515" w:rsidRPr="00427F9C">
        <w:t xml:space="preserve"> Code.</w:t>
      </w:r>
    </w:p>
    <w:p w14:paraId="126AEC07" w14:textId="3B9C4E95" w:rsidR="00502515" w:rsidRPr="00427F9C" w:rsidRDefault="00502515" w:rsidP="008E18A8">
      <w:pPr>
        <w:pStyle w:val="Heading3"/>
      </w:pPr>
      <w:bookmarkStart w:id="21" w:name="_Toc145606297"/>
      <w:bookmarkStart w:id="22" w:name="_Toc160083845"/>
      <w:r w:rsidRPr="008E18A8">
        <w:t>Recalls</w:t>
      </w:r>
      <w:bookmarkEnd w:id="21"/>
      <w:bookmarkEnd w:id="22"/>
    </w:p>
    <w:p w14:paraId="2AED7161" w14:textId="1B1C32A1" w:rsidR="00502515" w:rsidRPr="00427F9C" w:rsidRDefault="006F7466" w:rsidP="00502515">
      <w:pPr>
        <w:pStyle w:val="NormalText"/>
      </w:pPr>
      <w:r>
        <w:t>Licence Holders</w:t>
      </w:r>
      <w:r w:rsidR="00502515" w:rsidRPr="00427F9C">
        <w:t xml:space="preserve"> are responsible for having a system in place to recall a product after it has been supplied to the </w:t>
      </w:r>
      <w:r w:rsidR="00C96983">
        <w:t xml:space="preserve">Australian </w:t>
      </w:r>
      <w:r w:rsidR="00502515" w:rsidRPr="00427F9C">
        <w:t>market</w:t>
      </w:r>
      <w:r w:rsidR="00B307BC">
        <w:t xml:space="preserve"> </w:t>
      </w:r>
      <w:r w:rsidR="00502515" w:rsidRPr="00427F9C">
        <w:t>and for implementing that system when required.</w:t>
      </w:r>
    </w:p>
    <w:p w14:paraId="5486E153" w14:textId="61238CBA" w:rsidR="00502515" w:rsidRPr="00427F9C" w:rsidRDefault="00502515" w:rsidP="00502515">
      <w:pPr>
        <w:pStyle w:val="NormalText"/>
      </w:pPr>
      <w:r w:rsidRPr="00427F9C">
        <w:t xml:space="preserve">Recall action can be instigated by the </w:t>
      </w:r>
      <w:r w:rsidR="006F7466">
        <w:t>Licence Holder</w:t>
      </w:r>
      <w:r w:rsidRPr="00427F9C">
        <w:t xml:space="preserve">, registrant or </w:t>
      </w:r>
      <w:r w:rsidR="00190AE0">
        <w:t xml:space="preserve">by </w:t>
      </w:r>
      <w:r w:rsidRPr="00427F9C">
        <w:t>the APVMA when:</w:t>
      </w:r>
    </w:p>
    <w:p w14:paraId="6C88FBD8" w14:textId="12CAB5F8" w:rsidR="00B0011A" w:rsidRDefault="00B0011A" w:rsidP="00B0011A">
      <w:pPr>
        <w:pStyle w:val="NormalText"/>
        <w:numPr>
          <w:ilvl w:val="0"/>
          <w:numId w:val="8"/>
        </w:numPr>
      </w:pPr>
      <w:r>
        <w:t>A chemical product may not meet the safety criteria, the trade criteria or the efficacy criteria</w:t>
      </w:r>
    </w:p>
    <w:p w14:paraId="5E327DB6" w14:textId="3AEDE2C3" w:rsidR="00B0011A" w:rsidRDefault="00B0011A" w:rsidP="00B0011A">
      <w:pPr>
        <w:pStyle w:val="NormalText"/>
        <w:numPr>
          <w:ilvl w:val="0"/>
          <w:numId w:val="8"/>
        </w:numPr>
      </w:pPr>
      <w:r>
        <w:t>The constituents of stocks of a registered chemical product or of a particular batch of a registered chemical product differ by more than the prescribed extent from the constituents stated in relation to the product in the Register</w:t>
      </w:r>
    </w:p>
    <w:p w14:paraId="520D8CDA" w14:textId="24F3F94F" w:rsidR="00B0011A" w:rsidRDefault="00B0011A" w:rsidP="00B0011A">
      <w:pPr>
        <w:pStyle w:val="NormalText"/>
        <w:numPr>
          <w:ilvl w:val="0"/>
          <w:numId w:val="8"/>
        </w:numPr>
      </w:pPr>
      <w:r>
        <w:t>The concentration of the constituents of stocks of a registered chemical product or of a particular batch of a registered chemical product differs by more than the prescribed extent from the concentration of the constituents stated in relation to the product in the Register, or</w:t>
      </w:r>
    </w:p>
    <w:p w14:paraId="12D5A3E0" w14:textId="7F5EF68B" w:rsidR="00B0011A" w:rsidRDefault="00B0011A" w:rsidP="00B0011A">
      <w:pPr>
        <w:pStyle w:val="NormalText"/>
        <w:numPr>
          <w:ilvl w:val="0"/>
          <w:numId w:val="8"/>
        </w:numPr>
      </w:pPr>
      <w:r>
        <w:t>The composition or purity of any constituent of stocks of a registered chemical product or of a particular batch of a registered chemical product differs by more than the prescribed extent from the composition or purity of that constituent stated in relation to the product in the Register.</w:t>
      </w:r>
    </w:p>
    <w:p w14:paraId="710AC742" w14:textId="24770F8B" w:rsidR="00502515" w:rsidRDefault="00502515" w:rsidP="00502515">
      <w:pPr>
        <w:pStyle w:val="NormalText"/>
      </w:pPr>
      <w:r w:rsidRPr="00427F9C">
        <w:lastRenderedPageBreak/>
        <w:t xml:space="preserve">The APVMA has published </w:t>
      </w:r>
      <w:hyperlink r:id="rId38" w:history="1">
        <w:r w:rsidRPr="00427F9C">
          <w:rPr>
            <w:rStyle w:val="Hyperlink"/>
          </w:rPr>
          <w:t>recall guidelines</w:t>
        </w:r>
      </w:hyperlink>
      <w:r w:rsidRPr="00427F9C">
        <w:t xml:space="preserve"> to provide more details on the responsibilities of </w:t>
      </w:r>
      <w:r w:rsidR="006F7466">
        <w:t>Licence Holders</w:t>
      </w:r>
      <w:r w:rsidRPr="00427F9C">
        <w:t xml:space="preserve"> and other parties when undertaking recalls.</w:t>
      </w:r>
    </w:p>
    <w:p w14:paraId="334DE1B0" w14:textId="19008A8A" w:rsidR="008D7ACE" w:rsidRPr="00427F9C" w:rsidRDefault="008D7ACE" w:rsidP="008D7ACE">
      <w:pPr>
        <w:pStyle w:val="Heading1"/>
      </w:pPr>
      <w:bookmarkStart w:id="23" w:name="_Toc145432908"/>
      <w:bookmarkStart w:id="24" w:name="_Toc145606298"/>
      <w:bookmarkStart w:id="25" w:name="_Toc160083846"/>
      <w:r w:rsidRPr="00427F9C">
        <w:lastRenderedPageBreak/>
        <w:t>Audit pathway</w:t>
      </w:r>
      <w:r w:rsidR="00170A1F">
        <w:t>s</w:t>
      </w:r>
      <w:bookmarkEnd w:id="23"/>
      <w:bookmarkEnd w:id="24"/>
      <w:r w:rsidR="002D4917">
        <w:t>: overview</w:t>
      </w:r>
      <w:bookmarkEnd w:id="25"/>
    </w:p>
    <w:p w14:paraId="5C0E9CEE" w14:textId="71996319" w:rsidR="00502515" w:rsidRDefault="00170A1F" w:rsidP="008D7ACE">
      <w:pPr>
        <w:pStyle w:val="NormalText"/>
      </w:pPr>
      <w:r>
        <w:t xml:space="preserve">Audits may be undertaken by the APVMA’s authorised auditors, by the TGA or by NATA. </w:t>
      </w:r>
      <w:r w:rsidR="00502515" w:rsidRPr="00427F9C">
        <w:t xml:space="preserve">The choice of which audit pathway a </w:t>
      </w:r>
      <w:r w:rsidR="006F7466">
        <w:t>Licence Holder</w:t>
      </w:r>
      <w:r w:rsidR="00502515" w:rsidRPr="00427F9C">
        <w:t xml:space="preserve"> takes to ensure GMP accreditation is an individual business decision. Please note that there are different costs associated with the different audit pathways.</w:t>
      </w:r>
    </w:p>
    <w:p w14:paraId="6CC2329F" w14:textId="6EBA7779" w:rsidR="00170A1F" w:rsidRDefault="00170A1F" w:rsidP="00170A1F">
      <w:pPr>
        <w:pStyle w:val="Heading2"/>
      </w:pPr>
      <w:bookmarkStart w:id="26" w:name="_Toc145432909"/>
      <w:bookmarkStart w:id="27" w:name="_Toc145606299"/>
      <w:bookmarkStart w:id="28" w:name="_Toc160083847"/>
      <w:r w:rsidRPr="00170A1F">
        <w:t>APVMA</w:t>
      </w:r>
      <w:r>
        <w:t xml:space="preserve"> Audits</w:t>
      </w:r>
      <w:bookmarkEnd w:id="26"/>
      <w:bookmarkEnd w:id="27"/>
      <w:bookmarkEnd w:id="28"/>
    </w:p>
    <w:p w14:paraId="3396D247" w14:textId="13357C21" w:rsidR="00170A1F" w:rsidRDefault="00BF2ED2" w:rsidP="008D7ACE">
      <w:pPr>
        <w:pStyle w:val="NormalText"/>
      </w:pPr>
      <w:r>
        <w:t xml:space="preserve">APVMA-authorised auditors may undertake an audit of a </w:t>
      </w:r>
      <w:r w:rsidR="006F7466">
        <w:t xml:space="preserve">Licence Holder’s </w:t>
      </w:r>
      <w:r>
        <w:t xml:space="preserve">manufacturing facility for </w:t>
      </w:r>
      <w:r w:rsidR="00B0011A">
        <w:t>four</w:t>
      </w:r>
      <w:r>
        <w:t xml:space="preserve"> key reasons:</w:t>
      </w:r>
    </w:p>
    <w:p w14:paraId="571B6839" w14:textId="13389CE3" w:rsidR="00BF2ED2" w:rsidRDefault="00BF2ED2" w:rsidP="00994682">
      <w:pPr>
        <w:pStyle w:val="NormalText"/>
        <w:numPr>
          <w:ilvl w:val="0"/>
          <w:numId w:val="8"/>
        </w:numPr>
      </w:pPr>
      <w:r>
        <w:t>Routine GMP audit</w:t>
      </w:r>
    </w:p>
    <w:p w14:paraId="5096007C" w14:textId="7D5754F8" w:rsidR="00BF2ED2" w:rsidRDefault="00BF2ED2" w:rsidP="00994682">
      <w:pPr>
        <w:pStyle w:val="NormalText"/>
        <w:numPr>
          <w:ilvl w:val="0"/>
          <w:numId w:val="8"/>
        </w:numPr>
      </w:pPr>
      <w:r>
        <w:t>Audit to add a manufacturing site</w:t>
      </w:r>
      <w:r w:rsidR="007F250C">
        <w:t>(s)</w:t>
      </w:r>
    </w:p>
    <w:p w14:paraId="24A0F9A4" w14:textId="77777777" w:rsidR="00B0011A" w:rsidRDefault="00BF2ED2" w:rsidP="00994682">
      <w:pPr>
        <w:pStyle w:val="NormalText"/>
        <w:numPr>
          <w:ilvl w:val="0"/>
          <w:numId w:val="8"/>
        </w:numPr>
      </w:pPr>
      <w:r>
        <w:t>Audit to vary a licence</w:t>
      </w:r>
    </w:p>
    <w:p w14:paraId="1E2BCE31" w14:textId="2B22BB2C" w:rsidR="006F1FFA" w:rsidRDefault="008239C5" w:rsidP="006F1FFA">
      <w:pPr>
        <w:pStyle w:val="NormalText"/>
        <w:numPr>
          <w:ilvl w:val="0"/>
          <w:numId w:val="8"/>
        </w:numPr>
      </w:pPr>
      <w:r>
        <w:t>Verification audit</w:t>
      </w:r>
      <w:r w:rsidR="003745E5">
        <w:t xml:space="preserve"> (Section </w:t>
      </w:r>
      <w:r w:rsidR="003745E5">
        <w:fldChar w:fldCharType="begin"/>
      </w:r>
      <w:r w:rsidR="003745E5">
        <w:instrText xml:space="preserve"> REF _Ref159943474 \w \h </w:instrText>
      </w:r>
      <w:r w:rsidR="003745E5">
        <w:fldChar w:fldCharType="separate"/>
      </w:r>
      <w:r w:rsidR="003A0149">
        <w:t>3.3</w:t>
      </w:r>
      <w:r w:rsidR="003745E5">
        <w:fldChar w:fldCharType="end"/>
      </w:r>
      <w:r w:rsidR="003745E5">
        <w:t>).</w:t>
      </w:r>
    </w:p>
    <w:p w14:paraId="0BB98295" w14:textId="7DC3A36F" w:rsidR="00544075" w:rsidRDefault="00BF4026" w:rsidP="00BF4026">
      <w:pPr>
        <w:pStyle w:val="NormalText"/>
      </w:pPr>
      <w:r>
        <w:t xml:space="preserve">In addition to audits undertaken by APVMA-authorised auditors, the APVMA may utilise its own staff to conduct audits as needed. </w:t>
      </w:r>
      <w:r w:rsidRPr="00BF4026">
        <w:t xml:space="preserve">These may </w:t>
      </w:r>
      <w:r>
        <w:t xml:space="preserve">include </w:t>
      </w:r>
      <w:r w:rsidRPr="00BF4026">
        <w:t xml:space="preserve">routine GMP audits, unannounced GMP audits, variation to licence or verification audits. </w:t>
      </w:r>
      <w:r w:rsidR="00544075">
        <w:t xml:space="preserve">At the discretion of the APVMA, a fee for these audits may be requested from the Licence Holder. </w:t>
      </w:r>
    </w:p>
    <w:p w14:paraId="0655A6F7" w14:textId="77777777" w:rsidR="00787E8B" w:rsidRPr="00427F9C" w:rsidRDefault="00787E8B" w:rsidP="00787E8B">
      <w:pPr>
        <w:pStyle w:val="Heading3"/>
      </w:pPr>
      <w:bookmarkStart w:id="29" w:name="_Toc145432910"/>
      <w:bookmarkStart w:id="30" w:name="_Toc145606300"/>
      <w:bookmarkStart w:id="31" w:name="_Toc160083848"/>
      <w:r w:rsidRPr="00787E8B">
        <w:t>Routine GMP audits</w:t>
      </w:r>
      <w:bookmarkEnd w:id="29"/>
      <w:bookmarkEnd w:id="30"/>
      <w:bookmarkEnd w:id="31"/>
    </w:p>
    <w:p w14:paraId="1EF2F9AB" w14:textId="570F2199" w:rsidR="00787E8B" w:rsidRPr="00427F9C" w:rsidRDefault="00787E8B" w:rsidP="00787E8B">
      <w:pPr>
        <w:pStyle w:val="NormalText"/>
      </w:pPr>
      <w:r w:rsidRPr="00427F9C">
        <w:t xml:space="preserve">Prior to each APVMA audit, the APVMA will notify the Licence </w:t>
      </w:r>
      <w:r w:rsidRPr="003C6EA3">
        <w:t>Holder three (3) months before the</w:t>
      </w:r>
      <w:r w:rsidRPr="00427F9C">
        <w:t xml:space="preserve"> audit due date of the required audit duration. The Licence Holder must arrange for an APVMA-authorised auditor to conduct the audit before the audit due date. The </w:t>
      </w:r>
      <w:hyperlink r:id="rId39" w:history="1">
        <w:r w:rsidRPr="00864802">
          <w:rPr>
            <w:rStyle w:val="Hyperlink"/>
          </w:rPr>
          <w:t>pre-audit notification and information form</w:t>
        </w:r>
      </w:hyperlink>
      <w:r w:rsidRPr="00427F9C">
        <w:t xml:space="preserve"> </w:t>
      </w:r>
      <w:r w:rsidR="00864802">
        <w:t xml:space="preserve">must be </w:t>
      </w:r>
      <w:r w:rsidRPr="00427F9C">
        <w:t xml:space="preserve">provided to the APVMA </w:t>
      </w:r>
      <w:r w:rsidR="004167CD">
        <w:t xml:space="preserve">at least </w:t>
      </w:r>
      <w:r w:rsidRPr="00427F9C">
        <w:t xml:space="preserve">six (6) weeks prior to the audit being conducted. The APVMA-authorised auditor will verify during the audit that all aspects of veterinary chemical manufacture are carried out within the scope of the Licence Holder’s APVMA licence. The Licence Holder must also provide the APVMA with signed APVMA forms within required timeframes i.e. </w:t>
      </w:r>
      <w:r w:rsidR="00837541">
        <w:t>GMP Audit Report</w:t>
      </w:r>
      <w:r w:rsidRPr="00427F9C">
        <w:t xml:space="preserve">s, responses to </w:t>
      </w:r>
      <w:r w:rsidR="00230979">
        <w:t>non-conformances</w:t>
      </w:r>
      <w:r w:rsidRPr="00427F9C">
        <w:t>, related to the conduct and closure of such audits, unless granted extensions by the APVMA.</w:t>
      </w:r>
      <w:r w:rsidR="00A54025">
        <w:t xml:space="preserve"> </w:t>
      </w:r>
    </w:p>
    <w:p w14:paraId="6A60E7D7" w14:textId="306EB5AF" w:rsidR="00787E8B" w:rsidRDefault="00787E8B" w:rsidP="00787E8B">
      <w:pPr>
        <w:pStyle w:val="NormalText"/>
      </w:pPr>
      <w:r w:rsidRPr="00427F9C">
        <w:t xml:space="preserve">It is important for a </w:t>
      </w:r>
      <w:r w:rsidR="004167CD" w:rsidRPr="00427F9C">
        <w:t xml:space="preserve">Licence Holder </w:t>
      </w:r>
      <w:r w:rsidRPr="00427F9C">
        <w:t xml:space="preserve">to advise the APVMA of any changes to site, key personnel or any variation of licence prior to related correspondence between the </w:t>
      </w:r>
      <w:r w:rsidR="00A54025" w:rsidRPr="00427F9C">
        <w:t>Licence Holder</w:t>
      </w:r>
      <w:r w:rsidRPr="00427F9C">
        <w:t xml:space="preserve"> and APVMA-authorised auditor. This is to enable the APVMA to provide </w:t>
      </w:r>
      <w:r>
        <w:t>relevant correspondence</w:t>
      </w:r>
      <w:r w:rsidRPr="00427F9C">
        <w:t xml:space="preserve"> to the APVMA-authorised auditors in a timely manner.</w:t>
      </w:r>
      <w:r w:rsidR="00A54025">
        <w:t xml:space="preserve"> </w:t>
      </w:r>
    </w:p>
    <w:tbl>
      <w:tblPr>
        <w:tblStyle w:val="TableGrid"/>
        <w:tblW w:w="0" w:type="auto"/>
        <w:tblLook w:val="04A0" w:firstRow="1" w:lastRow="0" w:firstColumn="1" w:lastColumn="0" w:noHBand="0" w:noVBand="1"/>
      </w:tblPr>
      <w:tblGrid>
        <w:gridCol w:w="1413"/>
        <w:gridCol w:w="8216"/>
      </w:tblGrid>
      <w:tr w:rsidR="00154DE6" w14:paraId="3D9EBEFD" w14:textId="77777777" w:rsidTr="005E08E2">
        <w:tc>
          <w:tcPr>
            <w:tcW w:w="1413" w:type="dxa"/>
            <w:vAlign w:val="center"/>
          </w:tcPr>
          <w:p w14:paraId="36FCDB8D" w14:textId="77777777" w:rsidR="00154DE6" w:rsidRDefault="00154DE6" w:rsidP="005E08E2">
            <w:pPr>
              <w:pStyle w:val="NormalText"/>
              <w:spacing w:before="60" w:after="60" w:line="240" w:lineRule="auto"/>
              <w:jc w:val="center"/>
            </w:pPr>
            <w:r>
              <w:rPr>
                <w:noProof/>
              </w:rPr>
              <w:drawing>
                <wp:inline distT="0" distB="0" distL="0" distR="0" wp14:anchorId="0E11CF26" wp14:editId="5C44931C">
                  <wp:extent cx="485714" cy="485714"/>
                  <wp:effectExtent l="0" t="0" r="0" b="0"/>
                  <wp:docPr id="15" name="Picture 15" descr="A white letter in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white letter in a black circle&#10;&#10;Description automatically generated"/>
                          <pic:cNvPicPr/>
                        </pic:nvPicPr>
                        <pic:blipFill>
                          <a:blip r:embed="rId32"/>
                          <a:stretch>
                            <a:fillRect/>
                          </a:stretch>
                        </pic:blipFill>
                        <pic:spPr>
                          <a:xfrm>
                            <a:off x="0" y="0"/>
                            <a:ext cx="485714" cy="485714"/>
                          </a:xfrm>
                          <a:prstGeom prst="rect">
                            <a:avLst/>
                          </a:prstGeom>
                        </pic:spPr>
                      </pic:pic>
                    </a:graphicData>
                  </a:graphic>
                </wp:inline>
              </w:drawing>
            </w:r>
          </w:p>
        </w:tc>
        <w:tc>
          <w:tcPr>
            <w:tcW w:w="8216" w:type="dxa"/>
            <w:shd w:val="clear" w:color="auto" w:fill="F2F2F2" w:themeFill="background1" w:themeFillShade="F2"/>
            <w:vAlign w:val="center"/>
          </w:tcPr>
          <w:p w14:paraId="1D7F7456" w14:textId="285E312D" w:rsidR="00154DE6" w:rsidRDefault="00154DE6" w:rsidP="005E08E2">
            <w:pPr>
              <w:pStyle w:val="NormalText"/>
              <w:spacing w:before="60" w:after="60" w:line="240" w:lineRule="auto"/>
              <w:jc w:val="both"/>
            </w:pPr>
            <w:r w:rsidRPr="00427F9C">
              <w:t>Advise the APVMA in writing before three (3) months of the audit due date with any changes in the scope of the licence. If this doesn’t occur, audit duration may be changed, and the Licence Holder will be notified of the change.</w:t>
            </w:r>
          </w:p>
        </w:tc>
      </w:tr>
    </w:tbl>
    <w:p w14:paraId="4544F6C4" w14:textId="6B6B7A56" w:rsidR="007308FE" w:rsidRDefault="00787E8B" w:rsidP="00036312">
      <w:pPr>
        <w:pStyle w:val="NormalText"/>
      </w:pPr>
      <w:r w:rsidRPr="00427F9C">
        <w:t>An APVMA audit may be required for an overseas site if other acceptable evidence is not available for the purposes of APVMA product registration</w:t>
      </w:r>
      <w:r w:rsidR="003745E5">
        <w:t xml:space="preserve"> (</w:t>
      </w:r>
      <w:r w:rsidRPr="00427F9C">
        <w:t xml:space="preserve">see Section </w:t>
      </w:r>
      <w:r w:rsidR="00781FA6">
        <w:fldChar w:fldCharType="begin"/>
      </w:r>
      <w:r w:rsidR="00781FA6">
        <w:instrText xml:space="preserve"> REF _Ref158645591 \w \h </w:instrText>
      </w:r>
      <w:r w:rsidR="00781FA6">
        <w:fldChar w:fldCharType="separate"/>
      </w:r>
      <w:r w:rsidR="003A0149">
        <w:t>5</w:t>
      </w:r>
      <w:r w:rsidR="00781FA6">
        <w:fldChar w:fldCharType="end"/>
      </w:r>
      <w:r w:rsidR="003745E5">
        <w:t>)</w:t>
      </w:r>
      <w:r w:rsidRPr="00427F9C">
        <w:t>.</w:t>
      </w:r>
    </w:p>
    <w:p w14:paraId="71336639" w14:textId="6BE8D55F" w:rsidR="00787E8B" w:rsidRPr="00427F9C" w:rsidRDefault="00B21CE3" w:rsidP="00787E8B">
      <w:pPr>
        <w:pStyle w:val="Heading3"/>
      </w:pPr>
      <w:bookmarkStart w:id="32" w:name="_Toc145432911"/>
      <w:bookmarkStart w:id="33" w:name="_Toc145606301"/>
      <w:bookmarkStart w:id="34" w:name="_Toc160083849"/>
      <w:r>
        <w:lastRenderedPageBreak/>
        <w:t xml:space="preserve">Adding a new </w:t>
      </w:r>
      <w:r w:rsidR="00787E8B" w:rsidRPr="00787E8B">
        <w:t>manufacturing site</w:t>
      </w:r>
      <w:r w:rsidR="007F250C">
        <w:t>(s)</w:t>
      </w:r>
      <w:bookmarkEnd w:id="32"/>
      <w:bookmarkEnd w:id="33"/>
      <w:bookmarkEnd w:id="34"/>
    </w:p>
    <w:p w14:paraId="0C773B20" w14:textId="7ECC4944" w:rsidR="003745E5" w:rsidRPr="00427F9C" w:rsidRDefault="003745E5" w:rsidP="003745E5">
      <w:pPr>
        <w:pStyle w:val="NormalText"/>
        <w:jc w:val="both"/>
      </w:pPr>
      <w:r w:rsidRPr="00427F9C">
        <w:t xml:space="preserve">You may request </w:t>
      </w:r>
      <w:hyperlink r:id="rId40" w:history="1">
        <w:r w:rsidRPr="00B307BC">
          <w:rPr>
            <w:rStyle w:val="Hyperlink"/>
          </w:rPr>
          <w:t>pre-application assistance</w:t>
        </w:r>
      </w:hyperlink>
      <w:r w:rsidRPr="00427F9C">
        <w:t xml:space="preserve"> to discuss the application requirements for a new licence or to vary a licence. There is a fee for this service.</w:t>
      </w:r>
      <w:r>
        <w:t xml:space="preserve"> </w:t>
      </w:r>
    </w:p>
    <w:p w14:paraId="5BE585BA" w14:textId="5563D3F5" w:rsidR="00787E8B" w:rsidRPr="00427F9C" w:rsidRDefault="00787E8B" w:rsidP="00787E8B">
      <w:pPr>
        <w:pStyle w:val="NormalText"/>
        <w:spacing w:after="0"/>
        <w:jc w:val="both"/>
      </w:pPr>
      <w:r w:rsidRPr="00427F9C">
        <w:t>To be ready for an audit</w:t>
      </w:r>
      <w:r w:rsidR="007B77B3">
        <w:t xml:space="preserve">, the Licence Holder </w:t>
      </w:r>
      <w:r w:rsidRPr="00427F9C">
        <w:t>must have:</w:t>
      </w:r>
    </w:p>
    <w:p w14:paraId="0F481581" w14:textId="24A987C7" w:rsidR="00787E8B" w:rsidRPr="00427F9C" w:rsidRDefault="00273E7F" w:rsidP="00994682">
      <w:pPr>
        <w:pStyle w:val="NormalText"/>
        <w:numPr>
          <w:ilvl w:val="0"/>
          <w:numId w:val="8"/>
        </w:numPr>
      </w:pPr>
      <w:r w:rsidRPr="00427F9C">
        <w:t>Completed</w:t>
      </w:r>
      <w:r>
        <w:t xml:space="preserve"> </w:t>
      </w:r>
      <w:r w:rsidR="00787E8B" w:rsidRPr="00427F9C">
        <w:t>constructing or fabricating the premises</w:t>
      </w:r>
    </w:p>
    <w:p w14:paraId="5B6D9CAD" w14:textId="4212C0D6" w:rsidR="00787E8B" w:rsidRPr="00427F9C" w:rsidRDefault="00273E7F" w:rsidP="00994682">
      <w:pPr>
        <w:pStyle w:val="NormalText"/>
        <w:numPr>
          <w:ilvl w:val="0"/>
          <w:numId w:val="8"/>
        </w:numPr>
      </w:pPr>
      <w:r w:rsidRPr="00427F9C">
        <w:t>Taken functional control of the site (</w:t>
      </w:r>
      <w:r w:rsidR="006F7466">
        <w:t>APVMA</w:t>
      </w:r>
      <w:r w:rsidRPr="00427F9C">
        <w:t xml:space="preserve"> may ask to see a certificate of occupancy or equivalent)</w:t>
      </w:r>
    </w:p>
    <w:p w14:paraId="17207623" w14:textId="6F6E642D" w:rsidR="00787E8B" w:rsidRPr="00427F9C" w:rsidRDefault="00273E7F" w:rsidP="00994682">
      <w:pPr>
        <w:pStyle w:val="NormalText"/>
        <w:numPr>
          <w:ilvl w:val="0"/>
          <w:numId w:val="8"/>
        </w:numPr>
      </w:pPr>
      <w:r w:rsidRPr="00427F9C">
        <w:t xml:space="preserve">Documented and implemented a quality system, in accordance with </w:t>
      </w:r>
      <w:r w:rsidR="00787E8B" w:rsidRPr="00427F9C">
        <w:t xml:space="preserve">the requirements of the manufacturing principles and specifically tailored to </w:t>
      </w:r>
      <w:r w:rsidR="007B77B3">
        <w:t xml:space="preserve">the Licence Holder’s </w:t>
      </w:r>
      <w:r w:rsidR="00787E8B" w:rsidRPr="00427F9C">
        <w:t>proposed manufacturing operations, that includes procedures, records and instructions for the management of:</w:t>
      </w:r>
    </w:p>
    <w:p w14:paraId="5360D5A9" w14:textId="5029E48E" w:rsidR="00787E8B" w:rsidRPr="00427F9C" w:rsidRDefault="00273E7F" w:rsidP="00994682">
      <w:pPr>
        <w:pStyle w:val="NormalText"/>
        <w:numPr>
          <w:ilvl w:val="1"/>
          <w:numId w:val="13"/>
        </w:numPr>
      </w:pPr>
      <w:r w:rsidRPr="00427F9C">
        <w:t xml:space="preserve">Quality </w:t>
      </w:r>
      <w:r w:rsidR="00B1259E">
        <w:t>Management S</w:t>
      </w:r>
      <w:r w:rsidRPr="00427F9C">
        <w:t>ystems</w:t>
      </w:r>
      <w:r w:rsidR="00B1259E">
        <w:t xml:space="preserve"> (QMS)</w:t>
      </w:r>
      <w:r w:rsidRPr="00427F9C">
        <w:t xml:space="preserve"> such as deviation, change control, risk manage</w:t>
      </w:r>
      <w:r w:rsidR="00787E8B" w:rsidRPr="00427F9C">
        <w:t>ment, product quality review systems</w:t>
      </w:r>
    </w:p>
    <w:p w14:paraId="44F19008" w14:textId="3F66E7B7" w:rsidR="00787E8B" w:rsidRPr="00427F9C" w:rsidRDefault="00273E7F" w:rsidP="00994682">
      <w:pPr>
        <w:pStyle w:val="NormalText"/>
        <w:numPr>
          <w:ilvl w:val="1"/>
          <w:numId w:val="13"/>
        </w:numPr>
      </w:pPr>
      <w:r w:rsidRPr="00427F9C">
        <w:t>Documentation</w:t>
      </w:r>
    </w:p>
    <w:p w14:paraId="022F625E" w14:textId="0E749172" w:rsidR="00787E8B" w:rsidRPr="00427F9C" w:rsidRDefault="00273E7F" w:rsidP="00994682">
      <w:pPr>
        <w:pStyle w:val="NormalText"/>
        <w:numPr>
          <w:ilvl w:val="1"/>
          <w:numId w:val="13"/>
        </w:numPr>
      </w:pPr>
      <w:r w:rsidRPr="00427F9C">
        <w:t>Materials</w:t>
      </w:r>
    </w:p>
    <w:p w14:paraId="6EDD735B" w14:textId="7780064B" w:rsidR="00787E8B" w:rsidRPr="00427F9C" w:rsidRDefault="00273E7F" w:rsidP="00994682">
      <w:pPr>
        <w:pStyle w:val="NormalText"/>
        <w:numPr>
          <w:ilvl w:val="1"/>
          <w:numId w:val="13"/>
        </w:numPr>
      </w:pPr>
      <w:r w:rsidRPr="00427F9C">
        <w:t>Production operations, including master batch records</w:t>
      </w:r>
    </w:p>
    <w:p w14:paraId="409F67A4" w14:textId="59DC5B57" w:rsidR="00787E8B" w:rsidRPr="00427F9C" w:rsidRDefault="00273E7F" w:rsidP="00994682">
      <w:pPr>
        <w:pStyle w:val="NormalText"/>
        <w:numPr>
          <w:ilvl w:val="1"/>
          <w:numId w:val="13"/>
        </w:numPr>
      </w:pPr>
      <w:r w:rsidRPr="00427F9C">
        <w:t>Personnel matters including training, clothing and hygiene</w:t>
      </w:r>
    </w:p>
    <w:p w14:paraId="3E57D99E" w14:textId="6DBD2D55" w:rsidR="00787E8B" w:rsidRPr="00427F9C" w:rsidRDefault="00273E7F" w:rsidP="00994682">
      <w:pPr>
        <w:pStyle w:val="NormalText"/>
        <w:numPr>
          <w:ilvl w:val="1"/>
          <w:numId w:val="13"/>
        </w:numPr>
      </w:pPr>
      <w:r w:rsidRPr="00427F9C">
        <w:t>Validation and qualification</w:t>
      </w:r>
    </w:p>
    <w:p w14:paraId="4B445079" w14:textId="2B80FDA7" w:rsidR="00787E8B" w:rsidRPr="00427F9C" w:rsidRDefault="00273E7F" w:rsidP="00994682">
      <w:pPr>
        <w:pStyle w:val="NormalText"/>
        <w:numPr>
          <w:ilvl w:val="1"/>
          <w:numId w:val="13"/>
        </w:numPr>
      </w:pPr>
      <w:r w:rsidRPr="00427F9C">
        <w:t>Equipment assembly and calibration</w:t>
      </w:r>
    </w:p>
    <w:p w14:paraId="16D01624" w14:textId="3D746EED" w:rsidR="00787E8B" w:rsidRPr="00427F9C" w:rsidRDefault="00273E7F" w:rsidP="00994682">
      <w:pPr>
        <w:pStyle w:val="NormalText"/>
        <w:numPr>
          <w:ilvl w:val="1"/>
          <w:numId w:val="13"/>
        </w:numPr>
      </w:pPr>
      <w:r w:rsidRPr="00427F9C">
        <w:t>Main</w:t>
      </w:r>
      <w:r w:rsidR="00787E8B" w:rsidRPr="00427F9C">
        <w:t>tenance, cleaning and sanitisation</w:t>
      </w:r>
    </w:p>
    <w:p w14:paraId="47EE10EF" w14:textId="6E6AEFCD" w:rsidR="00787E8B" w:rsidRPr="00427F9C" w:rsidRDefault="00273E7F" w:rsidP="00994682">
      <w:pPr>
        <w:pStyle w:val="NormalText"/>
        <w:numPr>
          <w:ilvl w:val="1"/>
          <w:numId w:val="13"/>
        </w:numPr>
      </w:pPr>
      <w:r w:rsidRPr="00427F9C">
        <w:t>Environmental monitoring</w:t>
      </w:r>
    </w:p>
    <w:p w14:paraId="130C80F6" w14:textId="6A00FD5A" w:rsidR="00787E8B" w:rsidRPr="00427F9C" w:rsidRDefault="00273E7F" w:rsidP="00994682">
      <w:pPr>
        <w:pStyle w:val="NormalText"/>
        <w:numPr>
          <w:ilvl w:val="1"/>
          <w:numId w:val="13"/>
        </w:numPr>
      </w:pPr>
      <w:r w:rsidRPr="00427F9C">
        <w:t>Pest control</w:t>
      </w:r>
    </w:p>
    <w:p w14:paraId="61BC1291" w14:textId="18E03016" w:rsidR="00787E8B" w:rsidRPr="00427F9C" w:rsidRDefault="00273E7F" w:rsidP="00994682">
      <w:pPr>
        <w:pStyle w:val="NormalText"/>
        <w:numPr>
          <w:ilvl w:val="1"/>
          <w:numId w:val="13"/>
        </w:numPr>
      </w:pPr>
      <w:r w:rsidRPr="00427F9C">
        <w:t>Complaints</w:t>
      </w:r>
    </w:p>
    <w:p w14:paraId="07211D2B" w14:textId="2C0FF6D4" w:rsidR="00787E8B" w:rsidRPr="00427F9C" w:rsidRDefault="00273E7F" w:rsidP="00994682">
      <w:pPr>
        <w:pStyle w:val="NormalText"/>
        <w:numPr>
          <w:ilvl w:val="1"/>
          <w:numId w:val="13"/>
        </w:numPr>
      </w:pPr>
      <w:r w:rsidRPr="00427F9C">
        <w:t>Recalls</w:t>
      </w:r>
    </w:p>
    <w:p w14:paraId="1C68C1F5" w14:textId="0017E79F" w:rsidR="00787E8B" w:rsidRPr="00427F9C" w:rsidRDefault="00273E7F" w:rsidP="00994682">
      <w:pPr>
        <w:pStyle w:val="NormalText"/>
        <w:numPr>
          <w:ilvl w:val="1"/>
          <w:numId w:val="13"/>
        </w:numPr>
      </w:pPr>
      <w:r w:rsidRPr="00427F9C">
        <w:t>Returns</w:t>
      </w:r>
    </w:p>
    <w:p w14:paraId="79E5847B" w14:textId="73B76B36" w:rsidR="00787E8B" w:rsidRPr="00427F9C" w:rsidRDefault="00273E7F" w:rsidP="00994682">
      <w:pPr>
        <w:pStyle w:val="NormalText"/>
        <w:numPr>
          <w:ilvl w:val="1"/>
          <w:numId w:val="13"/>
        </w:numPr>
      </w:pPr>
      <w:r w:rsidRPr="00427F9C">
        <w:t>Self-inspection</w:t>
      </w:r>
    </w:p>
    <w:p w14:paraId="75185087" w14:textId="2C16B57D" w:rsidR="00787E8B" w:rsidRPr="00427F9C" w:rsidRDefault="00273E7F" w:rsidP="00994682">
      <w:pPr>
        <w:pStyle w:val="NormalText"/>
        <w:numPr>
          <w:ilvl w:val="1"/>
          <w:numId w:val="13"/>
        </w:numPr>
      </w:pPr>
      <w:r w:rsidRPr="00427F9C">
        <w:t>Laboratory controls and operations</w:t>
      </w:r>
    </w:p>
    <w:p w14:paraId="40D62FF9" w14:textId="428BCDEA" w:rsidR="00787E8B" w:rsidRPr="00427F9C" w:rsidRDefault="00273E7F" w:rsidP="00994682">
      <w:pPr>
        <w:pStyle w:val="NormalText"/>
        <w:numPr>
          <w:ilvl w:val="1"/>
          <w:numId w:val="13"/>
        </w:numPr>
      </w:pPr>
      <w:r w:rsidRPr="00427F9C">
        <w:t>Release for supply</w:t>
      </w:r>
      <w:r w:rsidR="003745E5">
        <w:t>.</w:t>
      </w:r>
    </w:p>
    <w:p w14:paraId="73FB30B5" w14:textId="0029C0D9" w:rsidR="00787E8B" w:rsidRPr="00427F9C" w:rsidRDefault="00273E7F" w:rsidP="00994682">
      <w:pPr>
        <w:pStyle w:val="NormalText"/>
        <w:numPr>
          <w:ilvl w:val="0"/>
          <w:numId w:val="8"/>
        </w:numPr>
      </w:pPr>
      <w:r w:rsidRPr="00427F9C">
        <w:t>Qualified all relevant facilities, utilities and equipment to at least the operational qualification (</w:t>
      </w:r>
      <w:r w:rsidR="003E6CD5">
        <w:t>OQ</w:t>
      </w:r>
      <w:r w:rsidRPr="00427F9C">
        <w:t>) stage</w:t>
      </w:r>
    </w:p>
    <w:p w14:paraId="06887403" w14:textId="2BB4359F" w:rsidR="00787E8B" w:rsidRPr="00427F9C" w:rsidRDefault="00273E7F" w:rsidP="00994682">
      <w:pPr>
        <w:pStyle w:val="NormalText"/>
        <w:numPr>
          <w:ilvl w:val="0"/>
          <w:numId w:val="8"/>
        </w:numPr>
      </w:pPr>
      <w:r w:rsidRPr="00427F9C">
        <w:lastRenderedPageBreak/>
        <w:t>Employed, nominated</w:t>
      </w:r>
      <w:r w:rsidR="00787E8B" w:rsidRPr="00427F9C">
        <w:t xml:space="preserve"> and trained all key staff responsible for controlling manufacturing operations and quality assurance</w:t>
      </w:r>
      <w:r w:rsidR="00544075">
        <w:t>.</w:t>
      </w:r>
    </w:p>
    <w:p w14:paraId="4D8DEBC3" w14:textId="380F8677" w:rsidR="00787E8B" w:rsidRPr="00427F9C" w:rsidRDefault="00787E8B" w:rsidP="00787E8B">
      <w:pPr>
        <w:pStyle w:val="Heading3"/>
      </w:pPr>
      <w:bookmarkStart w:id="35" w:name="_Toc145432912"/>
      <w:bookmarkStart w:id="36" w:name="_Toc145606302"/>
      <w:bookmarkStart w:id="37" w:name="_Toc160083850"/>
      <w:r w:rsidRPr="00787E8B">
        <w:t>Var</w:t>
      </w:r>
      <w:r w:rsidR="00036312">
        <w:t xml:space="preserve">ying </w:t>
      </w:r>
      <w:r w:rsidR="00B21CE3">
        <w:t xml:space="preserve">a </w:t>
      </w:r>
      <w:r w:rsidRPr="00787E8B">
        <w:t>licence</w:t>
      </w:r>
      <w:bookmarkEnd w:id="35"/>
      <w:bookmarkEnd w:id="36"/>
      <w:bookmarkEnd w:id="37"/>
    </w:p>
    <w:p w14:paraId="589A6B89" w14:textId="45BC8175" w:rsidR="00787E8B" w:rsidRPr="00427F9C" w:rsidRDefault="00787E8B" w:rsidP="00787E8B">
      <w:pPr>
        <w:pStyle w:val="NormalText"/>
        <w:jc w:val="both"/>
      </w:pPr>
      <w:r w:rsidRPr="00427F9C">
        <w:t xml:space="preserve">To change details on a manufacturing licence – or to </w:t>
      </w:r>
      <w:r w:rsidR="00D1196A">
        <w:t xml:space="preserve">change </w:t>
      </w:r>
      <w:r w:rsidRPr="00427F9C">
        <w:t xml:space="preserve">its conditions – </w:t>
      </w:r>
      <w:r w:rsidR="00190AE0">
        <w:t>Licence Holder</w:t>
      </w:r>
      <w:r w:rsidRPr="00427F9C">
        <w:t>s must apply to the APVMA for a licence variation.</w:t>
      </w:r>
    </w:p>
    <w:p w14:paraId="371C3C7D" w14:textId="77777777" w:rsidR="00787E8B" w:rsidRPr="00427F9C" w:rsidRDefault="00787E8B" w:rsidP="00787E8B">
      <w:pPr>
        <w:pStyle w:val="NormalText"/>
        <w:spacing w:before="120" w:after="120"/>
        <w:jc w:val="both"/>
      </w:pPr>
      <w:r w:rsidRPr="00427F9C">
        <w:t>Changes can include:</w:t>
      </w:r>
    </w:p>
    <w:p w14:paraId="51495975" w14:textId="0C0F471F" w:rsidR="00787E8B" w:rsidRPr="00427F9C" w:rsidRDefault="00BF4026" w:rsidP="00994682">
      <w:pPr>
        <w:pStyle w:val="NormalText"/>
        <w:numPr>
          <w:ilvl w:val="0"/>
          <w:numId w:val="8"/>
        </w:numPr>
      </w:pPr>
      <w:r w:rsidRPr="00427F9C">
        <w:t xml:space="preserve">A </w:t>
      </w:r>
      <w:r w:rsidR="00787E8B" w:rsidRPr="00427F9C">
        <w:t>change to the company name where the ACN</w:t>
      </w:r>
      <w:r w:rsidR="00B1259E">
        <w:t xml:space="preserve"> / ABN</w:t>
      </w:r>
      <w:r w:rsidR="00787E8B" w:rsidRPr="00427F9C">
        <w:t xml:space="preserve"> remains the same (not a change to the legal entity)</w:t>
      </w:r>
    </w:p>
    <w:p w14:paraId="05F9B360" w14:textId="1B2B0260" w:rsidR="00787E8B" w:rsidRPr="00427F9C" w:rsidRDefault="00BF4026" w:rsidP="00994682">
      <w:pPr>
        <w:pStyle w:val="NormalText"/>
        <w:numPr>
          <w:ilvl w:val="0"/>
          <w:numId w:val="8"/>
        </w:numPr>
      </w:pPr>
      <w:r w:rsidRPr="00427F9C">
        <w:t xml:space="preserve">The </w:t>
      </w:r>
      <w:r w:rsidR="00D1196A">
        <w:t xml:space="preserve">change to a </w:t>
      </w:r>
      <w:r w:rsidR="00787E8B" w:rsidRPr="00427F9C">
        <w:t>product type within an already licensed manufacturing category (and applicable steps)</w:t>
      </w:r>
    </w:p>
    <w:p w14:paraId="5763237E" w14:textId="57502C18" w:rsidR="00787E8B" w:rsidRPr="00427F9C" w:rsidRDefault="00BF4026" w:rsidP="00994682">
      <w:pPr>
        <w:pStyle w:val="NormalText"/>
        <w:numPr>
          <w:ilvl w:val="0"/>
          <w:numId w:val="8"/>
        </w:numPr>
      </w:pPr>
      <w:r w:rsidRPr="00427F9C">
        <w:t xml:space="preserve">A </w:t>
      </w:r>
      <w:r w:rsidR="00787E8B" w:rsidRPr="00427F9C">
        <w:t>change to steps of manufacture covered by the licence (addition</w:t>
      </w:r>
      <w:r w:rsidR="007F250C">
        <w:t xml:space="preserve"> / </w:t>
      </w:r>
      <w:r w:rsidR="00787E8B" w:rsidRPr="00427F9C">
        <w:t>deletion)</w:t>
      </w:r>
    </w:p>
    <w:p w14:paraId="11558CC4" w14:textId="7E830D0D" w:rsidR="00787E8B" w:rsidRPr="00427F9C" w:rsidRDefault="00BF4026" w:rsidP="00994682">
      <w:pPr>
        <w:pStyle w:val="NormalText"/>
        <w:numPr>
          <w:ilvl w:val="0"/>
          <w:numId w:val="8"/>
        </w:numPr>
      </w:pPr>
      <w:r w:rsidRPr="00427F9C">
        <w:t xml:space="preserve">The </w:t>
      </w:r>
      <w:r w:rsidR="00787E8B" w:rsidRPr="00427F9C">
        <w:t>inclusion of a subcontractor under the provisions of Regulation 59A (analysis and testing, packaging or labelling only)</w:t>
      </w:r>
    </w:p>
    <w:p w14:paraId="1A05F593" w14:textId="6D87719B" w:rsidR="00787E8B" w:rsidRPr="00427F9C" w:rsidRDefault="00BF4026" w:rsidP="00994682">
      <w:pPr>
        <w:pStyle w:val="NormalText"/>
        <w:numPr>
          <w:ilvl w:val="0"/>
          <w:numId w:val="8"/>
        </w:numPr>
      </w:pPr>
      <w:r w:rsidRPr="00427F9C">
        <w:t xml:space="preserve">Any </w:t>
      </w:r>
      <w:r w:rsidR="00787E8B" w:rsidRPr="00427F9C">
        <w:t>other change not already specified.</w:t>
      </w:r>
    </w:p>
    <w:p w14:paraId="71AACEFB" w14:textId="09379E5F" w:rsidR="00787E8B" w:rsidRPr="00427F9C" w:rsidRDefault="00787E8B" w:rsidP="007073B9">
      <w:pPr>
        <w:pStyle w:val="NormalText"/>
        <w:jc w:val="both"/>
      </w:pPr>
      <w:r w:rsidRPr="00427F9C">
        <w:t>Th</w:t>
      </w:r>
      <w:r w:rsidR="00E12284">
        <w:t xml:space="preserve">e requirement for a variation is </w:t>
      </w:r>
      <w:r w:rsidRPr="00427F9C">
        <w:t xml:space="preserve">because licences to manufacture chemical products in Australia are issued with certain details and licence conditions that are specific to each </w:t>
      </w:r>
      <w:r w:rsidR="00190AE0">
        <w:t>Licence Holder</w:t>
      </w:r>
      <w:r w:rsidRPr="00427F9C">
        <w:t xml:space="preserve">. </w:t>
      </w:r>
      <w:r w:rsidR="007073B9" w:rsidRPr="007073B9">
        <w:t>The licence will specify, among other things, precisely what steps of manufacture, at which sites and what products can be manufactured as part of the licence. Any change to a licence or its conditions must be approved by the APVMA, meaning Licence Holders must submit an application well ahead of the audit.</w:t>
      </w:r>
      <w:r w:rsidR="007073B9">
        <w:t xml:space="preserve"> </w:t>
      </w:r>
    </w:p>
    <w:p w14:paraId="40D3776F" w14:textId="7C1EBEB8" w:rsidR="00787E8B" w:rsidRDefault="00787E8B" w:rsidP="00787E8B">
      <w:pPr>
        <w:pStyle w:val="NormalText"/>
        <w:jc w:val="both"/>
      </w:pPr>
      <w:r w:rsidRPr="00427F9C">
        <w:t>The process for receiving, assessing and deciding the outcome of a variation application is similar to the process for new licence applicants</w:t>
      </w:r>
      <w:r w:rsidR="00BC7316">
        <w:t>, and i</w:t>
      </w:r>
      <w:r w:rsidRPr="00427F9C">
        <w:t>s undertaken in accordance with APVMA legislation.</w:t>
      </w:r>
    </w:p>
    <w:p w14:paraId="06801F46" w14:textId="2596DA81" w:rsidR="00BF4026" w:rsidRPr="00BF4026" w:rsidRDefault="00BF4026" w:rsidP="00BF4026">
      <w:pPr>
        <w:pStyle w:val="Heading3"/>
      </w:pPr>
      <w:bookmarkStart w:id="38" w:name="_Toc145432913"/>
      <w:bookmarkStart w:id="39" w:name="_Toc145606303"/>
      <w:bookmarkStart w:id="40" w:name="_Toc160083851"/>
      <w:r w:rsidRPr="00BF4026">
        <w:t>Observ</w:t>
      </w:r>
      <w:r w:rsidR="00B21CE3">
        <w:t xml:space="preserve">ing </w:t>
      </w:r>
      <w:r w:rsidRPr="00BF4026">
        <w:t>audits</w:t>
      </w:r>
      <w:bookmarkEnd w:id="38"/>
      <w:bookmarkEnd w:id="39"/>
      <w:bookmarkEnd w:id="40"/>
    </w:p>
    <w:p w14:paraId="7C3C8463" w14:textId="4ED32630" w:rsidR="00BF4026" w:rsidRDefault="00BF4026" w:rsidP="00BF4026">
      <w:pPr>
        <w:pStyle w:val="NormalText"/>
        <w:jc w:val="both"/>
      </w:pPr>
      <w:r>
        <w:t xml:space="preserve">APVMA staff will observe audits as part of quality assurance for both the auditing process and the individual APVMA-authorised auditors. TGA </w:t>
      </w:r>
      <w:r w:rsidR="00AA6A67">
        <w:t xml:space="preserve">and NATA </w:t>
      </w:r>
      <w:r>
        <w:t>audits (below) may also be observed. Broadly, the reasons for observing audits</w:t>
      </w:r>
      <w:r w:rsidR="00AA6A67">
        <w:t xml:space="preserve"> may</w:t>
      </w:r>
      <w:r w:rsidR="00BC7316">
        <w:t xml:space="preserve"> include</w:t>
      </w:r>
      <w:r>
        <w:t>:</w:t>
      </w:r>
    </w:p>
    <w:p w14:paraId="38AFC081" w14:textId="11DCE910" w:rsidR="00BF4026" w:rsidRDefault="00BF4026" w:rsidP="00994682">
      <w:pPr>
        <w:pStyle w:val="NormalText"/>
        <w:numPr>
          <w:ilvl w:val="0"/>
          <w:numId w:val="8"/>
        </w:numPr>
      </w:pPr>
      <w:r>
        <w:t>Auditor qualification and quality control</w:t>
      </w:r>
    </w:p>
    <w:p w14:paraId="4978D620" w14:textId="409CFFB0" w:rsidR="00BF4026" w:rsidRDefault="00BF4026" w:rsidP="00994682">
      <w:pPr>
        <w:pStyle w:val="NormalText"/>
        <w:numPr>
          <w:ilvl w:val="0"/>
          <w:numId w:val="8"/>
        </w:numPr>
      </w:pPr>
      <w:r>
        <w:t xml:space="preserve">Auditor wishes to audit to a new </w:t>
      </w:r>
      <w:r w:rsidR="001C1E17">
        <w:t>c</w:t>
      </w:r>
      <w:r>
        <w:t>ategory of manufacture</w:t>
      </w:r>
    </w:p>
    <w:p w14:paraId="3BBB6B7B" w14:textId="0E09D72F" w:rsidR="00BF4026" w:rsidRDefault="00BF4026" w:rsidP="00994682">
      <w:pPr>
        <w:pStyle w:val="NormalText"/>
        <w:numPr>
          <w:ilvl w:val="0"/>
          <w:numId w:val="8"/>
        </w:numPr>
      </w:pPr>
      <w:r>
        <w:t>Complex audit history or new sites / steps of manufacture</w:t>
      </w:r>
    </w:p>
    <w:p w14:paraId="20173011" w14:textId="0DABAC9E" w:rsidR="00BF4026" w:rsidRDefault="00BF4026" w:rsidP="00994682">
      <w:pPr>
        <w:pStyle w:val="NormalText"/>
        <w:numPr>
          <w:ilvl w:val="0"/>
          <w:numId w:val="8"/>
        </w:numPr>
      </w:pPr>
      <w:r>
        <w:t>Training staff.</w:t>
      </w:r>
    </w:p>
    <w:p w14:paraId="4C8CD254" w14:textId="6871C8FF" w:rsidR="00BF4026" w:rsidRDefault="00BF4026" w:rsidP="00787E8B">
      <w:pPr>
        <w:pStyle w:val="NormalText"/>
        <w:jc w:val="both"/>
      </w:pPr>
      <w:r>
        <w:t xml:space="preserve">If an audit is to be observed by APVMA staff, the Licence Holder and the </w:t>
      </w:r>
      <w:r w:rsidR="00AA6A67">
        <w:t xml:space="preserve">auditor / inspector </w:t>
      </w:r>
      <w:r>
        <w:t>will be notified</w:t>
      </w:r>
      <w:r w:rsidR="007073B9">
        <w:t>, and the role of the observer will be underscored</w:t>
      </w:r>
      <w:r w:rsidR="00AA6A67">
        <w:t xml:space="preserve">. </w:t>
      </w:r>
      <w:r w:rsidR="007073B9">
        <w:t xml:space="preserve">In particular, it will be explained that when an APVMA staff member is present as an observer, that person will not actively take part in, or otherwise influence, the audit. </w:t>
      </w:r>
      <w:r>
        <w:t>There will be no cost to the manufacturer for the APVMA staff to attend the audit as an observer.</w:t>
      </w:r>
    </w:p>
    <w:p w14:paraId="6EE71A42" w14:textId="0A6919FA" w:rsidR="00170A1F" w:rsidRDefault="00170A1F" w:rsidP="00170A1F">
      <w:pPr>
        <w:pStyle w:val="Heading2"/>
      </w:pPr>
      <w:bookmarkStart w:id="41" w:name="_Toc145432914"/>
      <w:bookmarkStart w:id="42" w:name="_Toc145606304"/>
      <w:bookmarkStart w:id="43" w:name="_Toc160083852"/>
      <w:r>
        <w:lastRenderedPageBreak/>
        <w:t>TGA Audits</w:t>
      </w:r>
      <w:bookmarkEnd w:id="41"/>
      <w:bookmarkEnd w:id="42"/>
      <w:bookmarkEnd w:id="43"/>
    </w:p>
    <w:p w14:paraId="5F306ED4" w14:textId="0593948E" w:rsidR="00170A1F" w:rsidRPr="00170A1F" w:rsidRDefault="00170A1F" w:rsidP="00170A1F">
      <w:pPr>
        <w:pStyle w:val="Heading3"/>
      </w:pPr>
      <w:bookmarkStart w:id="44" w:name="_Toc145432915"/>
      <w:bookmarkStart w:id="45" w:name="_Toc145606305"/>
      <w:bookmarkStart w:id="46" w:name="_Toc160083853"/>
      <w:r w:rsidRPr="00170A1F">
        <w:t xml:space="preserve">APVMA-TGA </w:t>
      </w:r>
      <w:r w:rsidR="00BF4026">
        <w:t>memorandum of understanding</w:t>
      </w:r>
      <w:bookmarkEnd w:id="44"/>
      <w:bookmarkEnd w:id="45"/>
      <w:bookmarkEnd w:id="46"/>
    </w:p>
    <w:p w14:paraId="4C515E1B" w14:textId="77777777" w:rsidR="004A1414" w:rsidRDefault="001D23E7" w:rsidP="001D23E7">
      <w:pPr>
        <w:pStyle w:val="NormalText"/>
      </w:pPr>
      <w:r>
        <w:t xml:space="preserve">The TGA and the APVMA have a Memorandum of Understanding (MoU) </w:t>
      </w:r>
      <w:r w:rsidR="004A1414">
        <w:t xml:space="preserve">on </w:t>
      </w:r>
      <w:r w:rsidR="004A1414" w:rsidRPr="004A1414">
        <w:t xml:space="preserve">Good Manufacturing Practice Licensing </w:t>
      </w:r>
      <w:r w:rsidR="004A1414">
        <w:t>a</w:t>
      </w:r>
      <w:r w:rsidR="004A1414" w:rsidRPr="004A1414">
        <w:t xml:space="preserve">nd Inspection </w:t>
      </w:r>
      <w:r w:rsidR="004A1414">
        <w:t>o</w:t>
      </w:r>
      <w:r w:rsidR="004A1414" w:rsidRPr="004A1414">
        <w:t>f Australian Manufacturers</w:t>
      </w:r>
      <w:r w:rsidR="004A1414">
        <w:t xml:space="preserve"> (APVMA-TGA MoU)</w:t>
      </w:r>
      <w:r>
        <w:t>.</w:t>
      </w:r>
      <w:r w:rsidR="004A1414">
        <w:t xml:space="preserve"> </w:t>
      </w:r>
    </w:p>
    <w:p w14:paraId="23822616" w14:textId="1AE94095" w:rsidR="001D23E7" w:rsidRDefault="001D23E7" w:rsidP="001D23E7">
      <w:pPr>
        <w:pStyle w:val="NormalText"/>
      </w:pPr>
      <w:r>
        <w:t xml:space="preserve">Manufacturers holding both TGA and APVMA licences may elect to have routine inspections conducted by the TGA. The </w:t>
      </w:r>
      <w:r w:rsidR="00190AE0">
        <w:t>Licence Holder</w:t>
      </w:r>
      <w:r>
        <w:t xml:space="preserve"> must notify the APVMA of this decision. </w:t>
      </w:r>
      <w:r w:rsidR="007073B9">
        <w:t xml:space="preserve">If the purpose of the inspection is to underpin licence renewal or change (see also certification, below), then the </w:t>
      </w:r>
      <w:r>
        <w:t xml:space="preserve">TGA will not inspect </w:t>
      </w:r>
      <w:r w:rsidR="007073B9">
        <w:t xml:space="preserve">a facility that is </w:t>
      </w:r>
      <w:r>
        <w:t xml:space="preserve">dedicated to </w:t>
      </w:r>
      <w:r w:rsidR="00661368">
        <w:t xml:space="preserve">the manufacture of </w:t>
      </w:r>
      <w:r>
        <w:t>veterinary products only.</w:t>
      </w:r>
    </w:p>
    <w:p w14:paraId="52FBDC01" w14:textId="39208CF6" w:rsidR="001D23E7" w:rsidRDefault="001D23E7" w:rsidP="001D23E7">
      <w:pPr>
        <w:pStyle w:val="NormalText"/>
      </w:pPr>
      <w:r>
        <w:t xml:space="preserve">The APVMA recognises authorities in Europe, including the United Kingdom, through </w:t>
      </w:r>
      <w:hyperlink r:id="rId41" w:history="1">
        <w:r w:rsidRPr="004A1414">
          <w:rPr>
            <w:rStyle w:val="Hyperlink"/>
          </w:rPr>
          <w:t>Mutual Recognition Agreements</w:t>
        </w:r>
      </w:hyperlink>
      <w:r>
        <w:t xml:space="preserve"> (MRA</w:t>
      </w:r>
      <w:r w:rsidR="004A1414">
        <w:t>s</w:t>
      </w:r>
      <w:r>
        <w:t>). The APVMA also recognises authorities in New Zealand, Canada and the United States as having requirements equivalent to the APVMA’s good manufacturing practice (GMP) standards. On a case-by-case basis, the APVMA may recognise GMP evidence from a PIC/S participating authority</w:t>
      </w:r>
      <w:r w:rsidR="007F250C">
        <w:t xml:space="preserve"> / </w:t>
      </w:r>
      <w:r>
        <w:t>member.</w:t>
      </w:r>
    </w:p>
    <w:p w14:paraId="4F63E604" w14:textId="0C0907B1" w:rsidR="007073B9" w:rsidRDefault="001D23E7" w:rsidP="001D23E7">
      <w:pPr>
        <w:pStyle w:val="NormalText"/>
      </w:pPr>
      <w:r>
        <w:t>Manufacturers licensed by the APVMA</w:t>
      </w:r>
      <w:r w:rsidR="004A1414">
        <w:t>,</w:t>
      </w:r>
      <w:r>
        <w:t xml:space="preserve"> who wish to export veterinary </w:t>
      </w:r>
      <w:r w:rsidR="004A1414">
        <w:t>chemical products</w:t>
      </w:r>
      <w:r>
        <w:t xml:space="preserve"> to Europe or the UK</w:t>
      </w:r>
      <w:r w:rsidR="004A1414">
        <w:t>,</w:t>
      </w:r>
      <w:r>
        <w:t xml:space="preserve"> must be inspected by the TGA. This inspection must be requested by the APVMA, not by the manufacturer. The APVMA will assess the TGA inspection results and can then issue a GMP certificate to the manufacturer. Under the EU or UK MRAs, the authority in the recipient country recognises the TGA as the authority for inspecting veterinary premises in Australia and the APVMA as a certifying body.</w:t>
      </w:r>
      <w:r w:rsidR="007073B9">
        <w:t xml:space="preserve"> Note that in contrast to inspection</w:t>
      </w:r>
      <w:r w:rsidR="00661368">
        <w:t xml:space="preserve">s undertaken </w:t>
      </w:r>
      <w:r w:rsidR="007073B9">
        <w:t xml:space="preserve">for the purpose of licensing (above), the TGA will inspect a facility dedicated solely to the manufacture of veterinary products if the purpose of the inspection is </w:t>
      </w:r>
      <w:r w:rsidR="00661368">
        <w:t xml:space="preserve">to </w:t>
      </w:r>
      <w:r w:rsidR="007073B9">
        <w:t>certif</w:t>
      </w:r>
      <w:r w:rsidR="00661368">
        <w:t xml:space="preserve">y a product </w:t>
      </w:r>
      <w:r w:rsidR="007073B9">
        <w:t>under an MRA.</w:t>
      </w:r>
    </w:p>
    <w:p w14:paraId="36B2B066" w14:textId="7BA98A95" w:rsidR="001D23E7" w:rsidRDefault="001D23E7" w:rsidP="001D23E7">
      <w:pPr>
        <w:pStyle w:val="Heading3"/>
      </w:pPr>
      <w:bookmarkStart w:id="47" w:name="_Toc145432916"/>
      <w:bookmarkStart w:id="48" w:name="_Toc145606306"/>
      <w:bookmarkStart w:id="49" w:name="_Toc160083854"/>
      <w:r>
        <w:t>TGA Audit process</w:t>
      </w:r>
      <w:bookmarkEnd w:id="47"/>
      <w:bookmarkEnd w:id="48"/>
      <w:bookmarkEnd w:id="49"/>
    </w:p>
    <w:p w14:paraId="213095BA" w14:textId="2EBC59C6" w:rsidR="001D23E7" w:rsidRDefault="001D23E7" w:rsidP="003E6CD5">
      <w:pPr>
        <w:pStyle w:val="NormalText"/>
        <w:spacing w:before="0"/>
      </w:pPr>
      <w:r>
        <w:t xml:space="preserve">Prior to each TGA audit, the Licence Holder must arrange for the TGA inspector to verify during the </w:t>
      </w:r>
      <w:r w:rsidR="00B368EF">
        <w:t>audit</w:t>
      </w:r>
      <w:r>
        <w:t xml:space="preserve"> that all aspects of veterinary chemical manufacture are carried out within the scope of that </w:t>
      </w:r>
      <w:r w:rsidR="003E6CD5">
        <w:t xml:space="preserve">audit (European Community-Australian Mutual Recognition Agreement; EC-MRA) or </w:t>
      </w:r>
      <w:r>
        <w:t xml:space="preserve">TGA licence. The Licence Holder must maintain their TGA licence and advise the APVMA in writing, within 10 working days, of any changes in the scope of that licence. The Licence Holder must also provide the APVMA with copies of all TGA audit reports and correspondence i.e. responses to </w:t>
      </w:r>
      <w:r w:rsidR="00230979">
        <w:t>non-conformances</w:t>
      </w:r>
      <w:r>
        <w:t>, related to the conduct and closure of such inspections, within 10 working days of receipt of those reports or correspondence.</w:t>
      </w:r>
    </w:p>
    <w:p w14:paraId="33752183" w14:textId="77777777" w:rsidR="001D23E7" w:rsidRDefault="001D23E7" w:rsidP="001D23E7">
      <w:pPr>
        <w:pStyle w:val="NormalText"/>
      </w:pPr>
      <w:r>
        <w:t>It is important for a manufacturer to advise the APVMA of any related correspondence between the manufacturer and TGA. This is to enable the APVMA to provide commercially confidential information (CCI) to the TGA in a timely manner.</w:t>
      </w:r>
    </w:p>
    <w:p w14:paraId="38B1EB31" w14:textId="2EBD908A" w:rsidR="001D23E7" w:rsidRDefault="003E6CD5" w:rsidP="001D23E7">
      <w:pPr>
        <w:pStyle w:val="Caption"/>
      </w:pPr>
      <w:r>
        <w:rPr>
          <w:noProof/>
        </w:rPr>
        <w:lastRenderedPageBreak/>
        <w:drawing>
          <wp:anchor distT="0" distB="0" distL="114300" distR="114300" simplePos="0" relativeHeight="251652094" behindDoc="0" locked="0" layoutInCell="1" allowOverlap="1" wp14:anchorId="53B44BCB" wp14:editId="10715527">
            <wp:simplePos x="0" y="0"/>
            <wp:positionH relativeFrom="margin">
              <wp:align>left</wp:align>
            </wp:positionH>
            <wp:positionV relativeFrom="paragraph">
              <wp:posOffset>365208</wp:posOffset>
            </wp:positionV>
            <wp:extent cx="4752975" cy="6362700"/>
            <wp:effectExtent l="0" t="0" r="9525" b="0"/>
            <wp:wrapTopAndBottom/>
            <wp:docPr id="8869077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07779" name="Picture 886907779"/>
                    <pic:cNvPicPr/>
                  </pic:nvPicPr>
                  <pic:blipFill>
                    <a:blip r:embed="rId42">
                      <a:extLst>
                        <a:ext uri="{28A0092B-C50C-407E-A947-70E740481C1C}">
                          <a14:useLocalDpi xmlns:a14="http://schemas.microsoft.com/office/drawing/2010/main" val="0"/>
                        </a:ext>
                      </a:extLst>
                    </a:blip>
                    <a:stretch>
                      <a:fillRect/>
                    </a:stretch>
                  </pic:blipFill>
                  <pic:spPr>
                    <a:xfrm>
                      <a:off x="0" y="0"/>
                      <a:ext cx="4752975" cy="6362700"/>
                    </a:xfrm>
                    <a:prstGeom prst="rect">
                      <a:avLst/>
                    </a:prstGeom>
                  </pic:spPr>
                </pic:pic>
              </a:graphicData>
            </a:graphic>
          </wp:anchor>
        </w:drawing>
      </w:r>
      <w:r w:rsidR="001D23E7">
        <w:t xml:space="preserve">Figure </w:t>
      </w:r>
      <w:r w:rsidR="003A0149">
        <w:fldChar w:fldCharType="begin"/>
      </w:r>
      <w:r w:rsidR="003A0149">
        <w:instrText xml:space="preserve"> SEQ Figure \* ARABIC </w:instrText>
      </w:r>
      <w:r w:rsidR="003A0149">
        <w:fldChar w:fldCharType="separate"/>
      </w:r>
      <w:r w:rsidR="003A0149">
        <w:rPr>
          <w:noProof/>
        </w:rPr>
        <w:t>1</w:t>
      </w:r>
      <w:r w:rsidR="003A0149">
        <w:rPr>
          <w:noProof/>
        </w:rPr>
        <w:fldChar w:fldCharType="end"/>
      </w:r>
      <w:r w:rsidR="001D23E7">
        <w:t>: TGA audit process</w:t>
      </w:r>
    </w:p>
    <w:p w14:paraId="153D464E" w14:textId="77777777" w:rsidR="001D23E7" w:rsidRDefault="001D23E7" w:rsidP="001D23E7">
      <w:pPr>
        <w:pStyle w:val="NormalText"/>
      </w:pPr>
    </w:p>
    <w:tbl>
      <w:tblPr>
        <w:tblStyle w:val="TableGrid"/>
        <w:tblW w:w="0" w:type="auto"/>
        <w:tblLook w:val="04A0" w:firstRow="1" w:lastRow="0" w:firstColumn="1" w:lastColumn="0" w:noHBand="0" w:noVBand="1"/>
      </w:tblPr>
      <w:tblGrid>
        <w:gridCol w:w="1413"/>
        <w:gridCol w:w="8216"/>
      </w:tblGrid>
      <w:tr w:rsidR="00154DE6" w14:paraId="27D53842" w14:textId="77777777" w:rsidTr="005E08E2">
        <w:tc>
          <w:tcPr>
            <w:tcW w:w="1413" w:type="dxa"/>
            <w:vAlign w:val="center"/>
          </w:tcPr>
          <w:p w14:paraId="5EDF6C0D" w14:textId="77777777" w:rsidR="00154DE6" w:rsidRDefault="00154DE6" w:rsidP="005E08E2">
            <w:pPr>
              <w:pStyle w:val="NormalText"/>
              <w:spacing w:before="60" w:after="60" w:line="240" w:lineRule="auto"/>
              <w:jc w:val="center"/>
            </w:pPr>
            <w:r>
              <w:rPr>
                <w:noProof/>
              </w:rPr>
              <w:drawing>
                <wp:inline distT="0" distB="0" distL="0" distR="0" wp14:anchorId="39DC1392" wp14:editId="4AE7887A">
                  <wp:extent cx="485714" cy="485714"/>
                  <wp:effectExtent l="0" t="0" r="0" b="0"/>
                  <wp:docPr id="16" name="Picture 16" descr="A white letter in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white letter in a black circle&#10;&#10;Description automatically generated"/>
                          <pic:cNvPicPr/>
                        </pic:nvPicPr>
                        <pic:blipFill>
                          <a:blip r:embed="rId32"/>
                          <a:stretch>
                            <a:fillRect/>
                          </a:stretch>
                        </pic:blipFill>
                        <pic:spPr>
                          <a:xfrm>
                            <a:off x="0" y="0"/>
                            <a:ext cx="485714" cy="485714"/>
                          </a:xfrm>
                          <a:prstGeom prst="rect">
                            <a:avLst/>
                          </a:prstGeom>
                        </pic:spPr>
                      </pic:pic>
                    </a:graphicData>
                  </a:graphic>
                </wp:inline>
              </w:drawing>
            </w:r>
          </w:p>
        </w:tc>
        <w:tc>
          <w:tcPr>
            <w:tcW w:w="8216" w:type="dxa"/>
            <w:shd w:val="clear" w:color="auto" w:fill="F2F2F2" w:themeFill="background1" w:themeFillShade="F2"/>
            <w:vAlign w:val="center"/>
          </w:tcPr>
          <w:p w14:paraId="3C411526" w14:textId="10EEB0F5" w:rsidR="00154DE6" w:rsidRDefault="00154DE6" w:rsidP="005E08E2">
            <w:pPr>
              <w:pStyle w:val="NormalText"/>
              <w:spacing w:before="60" w:after="60" w:line="240" w:lineRule="auto"/>
              <w:jc w:val="both"/>
            </w:pPr>
            <w:r w:rsidRPr="00154DE6">
              <w:t>Advising the APVMA in writing within 10 working days of any changes in the scope of the licence and correspondence is a condition of a Licence. If this doesn’t occur, regulatory action may be taken which may result in suspension or cancellation of the licence.</w:t>
            </w:r>
          </w:p>
        </w:tc>
      </w:tr>
    </w:tbl>
    <w:p w14:paraId="7D6CD448" w14:textId="6C8CC95A" w:rsidR="00170A1F" w:rsidRDefault="00170A1F" w:rsidP="00170A1F">
      <w:pPr>
        <w:pStyle w:val="Heading2"/>
      </w:pPr>
      <w:bookmarkStart w:id="50" w:name="_Toc145432917"/>
      <w:bookmarkStart w:id="51" w:name="_Toc145606307"/>
      <w:bookmarkStart w:id="52" w:name="_Toc160083855"/>
      <w:r>
        <w:lastRenderedPageBreak/>
        <w:t>NATA Audits</w:t>
      </w:r>
      <w:bookmarkEnd w:id="50"/>
      <w:bookmarkEnd w:id="51"/>
      <w:bookmarkEnd w:id="52"/>
    </w:p>
    <w:p w14:paraId="2A74CAA3" w14:textId="579B0356" w:rsidR="00170A1F" w:rsidRDefault="008B1372" w:rsidP="008D7ACE">
      <w:pPr>
        <w:pStyle w:val="NormalText"/>
      </w:pPr>
      <w:r w:rsidRPr="008B1372">
        <w:t>The Licence Holder must maintain their NATA accreditation and advise the APVMA in writing</w:t>
      </w:r>
      <w:r w:rsidR="00843C6E">
        <w:t>,</w:t>
      </w:r>
      <w:r w:rsidRPr="008B1372">
        <w:t xml:space="preserve"> </w:t>
      </w:r>
      <w:r w:rsidR="001B4730" w:rsidRPr="008B1372">
        <w:t>within 10 working days</w:t>
      </w:r>
      <w:r w:rsidR="001B4730">
        <w:t>,</w:t>
      </w:r>
      <w:r w:rsidRPr="008B1372">
        <w:t xml:space="preserve"> of any changes in the scope of that accreditation that are likely to impact on the analysis or testing or both of veterinary chemical products. The Licence Holder must also provide the APVMA with copies of all NATA assessment reports and correspondence i.e. responses to </w:t>
      </w:r>
      <w:r w:rsidR="00230979">
        <w:t>non-conformances</w:t>
      </w:r>
      <w:r w:rsidRPr="008B1372">
        <w:t>, related to the conduct and closure of such assessments, within 10 working days of receipt of those reports or correspondence. Providing this correspondence is important as the APVMA does not have an agreement with NATA and cannot retrieve or provide information to NATA</w:t>
      </w:r>
      <w:r>
        <w:t>.</w:t>
      </w:r>
    </w:p>
    <w:p w14:paraId="676C4681" w14:textId="30376322" w:rsidR="008B1372" w:rsidRDefault="00C05867" w:rsidP="008B1372">
      <w:pPr>
        <w:pStyle w:val="Caption"/>
      </w:pPr>
      <w:r>
        <w:rPr>
          <w:noProof/>
        </w:rPr>
        <w:drawing>
          <wp:anchor distT="0" distB="0" distL="114300" distR="114300" simplePos="0" relativeHeight="251713536" behindDoc="0" locked="0" layoutInCell="1" allowOverlap="1" wp14:anchorId="270FE20B" wp14:editId="787A2424">
            <wp:simplePos x="0" y="0"/>
            <wp:positionH relativeFrom="margin">
              <wp:align>left</wp:align>
            </wp:positionH>
            <wp:positionV relativeFrom="paragraph">
              <wp:posOffset>282354</wp:posOffset>
            </wp:positionV>
            <wp:extent cx="4369435" cy="5287010"/>
            <wp:effectExtent l="0" t="0" r="0" b="8890"/>
            <wp:wrapTopAndBottom/>
            <wp:docPr id="638450967" name="Picture 6" descr="A diagram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50967" name="Picture 6" descr="A diagram of a document&#10;&#10;Description automatically generated with medium confidence"/>
                    <pic:cNvPicPr/>
                  </pic:nvPicPr>
                  <pic:blipFill>
                    <a:blip r:embed="rId43">
                      <a:extLst>
                        <a:ext uri="{28A0092B-C50C-407E-A947-70E740481C1C}">
                          <a14:useLocalDpi xmlns:a14="http://schemas.microsoft.com/office/drawing/2010/main" val="0"/>
                        </a:ext>
                      </a:extLst>
                    </a:blip>
                    <a:stretch>
                      <a:fillRect/>
                    </a:stretch>
                  </pic:blipFill>
                  <pic:spPr>
                    <a:xfrm>
                      <a:off x="0" y="0"/>
                      <a:ext cx="4379398" cy="5299032"/>
                    </a:xfrm>
                    <a:prstGeom prst="rect">
                      <a:avLst/>
                    </a:prstGeom>
                  </pic:spPr>
                </pic:pic>
              </a:graphicData>
            </a:graphic>
            <wp14:sizeRelH relativeFrom="margin">
              <wp14:pctWidth>0</wp14:pctWidth>
            </wp14:sizeRelH>
            <wp14:sizeRelV relativeFrom="margin">
              <wp14:pctHeight>0</wp14:pctHeight>
            </wp14:sizeRelV>
          </wp:anchor>
        </w:drawing>
      </w:r>
      <w:r w:rsidR="008B1372">
        <w:t xml:space="preserve">Figure </w:t>
      </w:r>
      <w:r w:rsidR="003A0149">
        <w:fldChar w:fldCharType="begin"/>
      </w:r>
      <w:r w:rsidR="003A0149">
        <w:instrText xml:space="preserve"> SEQ Figure \* ARABIC </w:instrText>
      </w:r>
      <w:r w:rsidR="003A0149">
        <w:fldChar w:fldCharType="separate"/>
      </w:r>
      <w:r w:rsidR="003A0149">
        <w:rPr>
          <w:noProof/>
        </w:rPr>
        <w:t>2</w:t>
      </w:r>
      <w:r w:rsidR="003A0149">
        <w:rPr>
          <w:noProof/>
        </w:rPr>
        <w:fldChar w:fldCharType="end"/>
      </w:r>
      <w:r w:rsidR="008B1372">
        <w:t>: NATA audit process</w:t>
      </w:r>
    </w:p>
    <w:p w14:paraId="648A4B24" w14:textId="77777777" w:rsidR="00154DE6" w:rsidRDefault="00154DE6" w:rsidP="008D7ACE">
      <w:pPr>
        <w:pStyle w:val="NormalText"/>
      </w:pPr>
    </w:p>
    <w:tbl>
      <w:tblPr>
        <w:tblStyle w:val="TableGrid"/>
        <w:tblW w:w="0" w:type="auto"/>
        <w:tblLook w:val="04A0" w:firstRow="1" w:lastRow="0" w:firstColumn="1" w:lastColumn="0" w:noHBand="0" w:noVBand="1"/>
      </w:tblPr>
      <w:tblGrid>
        <w:gridCol w:w="1413"/>
        <w:gridCol w:w="8216"/>
      </w:tblGrid>
      <w:tr w:rsidR="00154DE6" w14:paraId="20A8FB5C" w14:textId="77777777" w:rsidTr="005E08E2">
        <w:tc>
          <w:tcPr>
            <w:tcW w:w="1413" w:type="dxa"/>
            <w:vAlign w:val="center"/>
          </w:tcPr>
          <w:p w14:paraId="37F72B0D" w14:textId="77777777" w:rsidR="00154DE6" w:rsidRDefault="00154DE6" w:rsidP="005E08E2">
            <w:pPr>
              <w:pStyle w:val="NormalText"/>
              <w:spacing w:before="60" w:after="60" w:line="240" w:lineRule="auto"/>
              <w:jc w:val="center"/>
            </w:pPr>
            <w:r>
              <w:rPr>
                <w:noProof/>
              </w:rPr>
              <w:lastRenderedPageBreak/>
              <w:drawing>
                <wp:inline distT="0" distB="0" distL="0" distR="0" wp14:anchorId="0DBFC1DB" wp14:editId="107CA256">
                  <wp:extent cx="485714" cy="485714"/>
                  <wp:effectExtent l="0" t="0" r="0" b="0"/>
                  <wp:docPr id="17" name="Picture 17" descr="A white letter in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white letter in a black circle&#10;&#10;Description automatically generated"/>
                          <pic:cNvPicPr/>
                        </pic:nvPicPr>
                        <pic:blipFill>
                          <a:blip r:embed="rId32"/>
                          <a:stretch>
                            <a:fillRect/>
                          </a:stretch>
                        </pic:blipFill>
                        <pic:spPr>
                          <a:xfrm>
                            <a:off x="0" y="0"/>
                            <a:ext cx="485714" cy="485714"/>
                          </a:xfrm>
                          <a:prstGeom prst="rect">
                            <a:avLst/>
                          </a:prstGeom>
                        </pic:spPr>
                      </pic:pic>
                    </a:graphicData>
                  </a:graphic>
                </wp:inline>
              </w:drawing>
            </w:r>
          </w:p>
        </w:tc>
        <w:tc>
          <w:tcPr>
            <w:tcW w:w="8216" w:type="dxa"/>
            <w:shd w:val="clear" w:color="auto" w:fill="F2F2F2" w:themeFill="background1" w:themeFillShade="F2"/>
            <w:vAlign w:val="center"/>
          </w:tcPr>
          <w:p w14:paraId="203B5E9A" w14:textId="1043566E" w:rsidR="00154DE6" w:rsidRDefault="00154DE6" w:rsidP="005E08E2">
            <w:pPr>
              <w:pStyle w:val="NormalText"/>
              <w:spacing w:before="60" w:after="60" w:line="240" w:lineRule="auto"/>
              <w:jc w:val="both"/>
            </w:pPr>
            <w:r w:rsidRPr="00154DE6">
              <w:t>Advising the APVMA in writing within 10 working days of any changes in the scope of the licence and correspondence is a condition of a Licence. If this doesn’t occur, regulatory action may be taken which may result in suspension or cancellation of the licence.</w:t>
            </w:r>
          </w:p>
        </w:tc>
      </w:tr>
    </w:tbl>
    <w:p w14:paraId="38E96B6A" w14:textId="3ABA5774" w:rsidR="00761309" w:rsidRPr="00427F9C" w:rsidRDefault="005F7789" w:rsidP="00761309">
      <w:pPr>
        <w:pStyle w:val="Heading1"/>
      </w:pPr>
      <w:bookmarkStart w:id="53" w:name="_Toc145432924"/>
      <w:bookmarkStart w:id="54" w:name="_Toc145606314"/>
      <w:bookmarkStart w:id="55" w:name="_Toc160083856"/>
      <w:r w:rsidRPr="00427F9C">
        <w:lastRenderedPageBreak/>
        <w:t>APVMA</w:t>
      </w:r>
      <w:r w:rsidR="000425FB">
        <w:t xml:space="preserve"> audits</w:t>
      </w:r>
      <w:bookmarkEnd w:id="53"/>
      <w:bookmarkEnd w:id="54"/>
      <w:r w:rsidR="002D4917">
        <w:t>: procedure</w:t>
      </w:r>
      <w:bookmarkEnd w:id="55"/>
    </w:p>
    <w:p w14:paraId="1D5051AE" w14:textId="704D79E6" w:rsidR="00B16ACB" w:rsidRDefault="00B16ACB" w:rsidP="00B7279E">
      <w:pPr>
        <w:pStyle w:val="NormalText"/>
      </w:pPr>
      <w:bookmarkStart w:id="56" w:name="_Toc145432925"/>
      <w:bookmarkStart w:id="57" w:name="_Toc145606315"/>
      <w:r>
        <w:t>An overview of the audit and review proce</w:t>
      </w:r>
      <w:r w:rsidR="002745F9">
        <w:t xml:space="preserve">dure </w:t>
      </w:r>
      <w:r>
        <w:t xml:space="preserve">for APVMA audits is given in </w:t>
      </w:r>
      <w:r>
        <w:fldChar w:fldCharType="begin"/>
      </w:r>
      <w:r>
        <w:instrText xml:space="preserve"> REF _Ref158651983 \h </w:instrText>
      </w:r>
      <w:r>
        <w:fldChar w:fldCharType="separate"/>
      </w:r>
      <w:r w:rsidR="003A0149">
        <w:t xml:space="preserve">Figure </w:t>
      </w:r>
      <w:r w:rsidR="003A0149">
        <w:rPr>
          <w:noProof/>
        </w:rPr>
        <w:t>3</w:t>
      </w:r>
      <w:r>
        <w:fldChar w:fldCharType="end"/>
      </w:r>
      <w:r>
        <w:t xml:space="preserve"> below.</w:t>
      </w:r>
      <w:r w:rsidR="00431282">
        <w:t xml:space="preserve"> Each of the items in this figure is discussed in the following three sections.</w:t>
      </w:r>
    </w:p>
    <w:p w14:paraId="5C29FDDC" w14:textId="0184AD10" w:rsidR="001B4730" w:rsidRDefault="00B16ACB" w:rsidP="001B4730">
      <w:pPr>
        <w:pStyle w:val="Caption"/>
      </w:pPr>
      <w:bookmarkStart w:id="58" w:name="_Ref158651983"/>
      <w:r>
        <w:t xml:space="preserve">Figure </w:t>
      </w:r>
      <w:r w:rsidR="003A0149">
        <w:fldChar w:fldCharType="begin"/>
      </w:r>
      <w:r w:rsidR="003A0149">
        <w:instrText xml:space="preserve"> SEQ Figure \* ARABIC </w:instrText>
      </w:r>
      <w:r w:rsidR="003A0149">
        <w:fldChar w:fldCharType="separate"/>
      </w:r>
      <w:r w:rsidR="003A0149">
        <w:rPr>
          <w:noProof/>
        </w:rPr>
        <w:t>3</w:t>
      </w:r>
      <w:r w:rsidR="003A0149">
        <w:rPr>
          <w:noProof/>
        </w:rPr>
        <w:fldChar w:fldCharType="end"/>
      </w:r>
      <w:bookmarkEnd w:id="58"/>
      <w:r>
        <w:t>: APVMA audit process</w:t>
      </w:r>
      <w:r w:rsidR="001B4730" w:rsidRPr="001B4730">
        <w:rPr>
          <w:noProof/>
        </w:rPr>
        <w:drawing>
          <wp:anchor distT="0" distB="0" distL="114300" distR="114300" simplePos="0" relativeHeight="251715584" behindDoc="0" locked="0" layoutInCell="1" allowOverlap="1" wp14:anchorId="1C62D9A6" wp14:editId="174470F3">
            <wp:simplePos x="0" y="0"/>
            <wp:positionH relativeFrom="column">
              <wp:posOffset>0</wp:posOffset>
            </wp:positionH>
            <wp:positionV relativeFrom="paragraph">
              <wp:posOffset>407670</wp:posOffset>
            </wp:positionV>
            <wp:extent cx="6120765" cy="3115310"/>
            <wp:effectExtent l="0" t="0" r="0" b="8890"/>
            <wp:wrapTopAndBottom/>
            <wp:docPr id="751974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74310" name=""/>
                    <pic:cNvPicPr/>
                  </pic:nvPicPr>
                  <pic:blipFill>
                    <a:blip r:embed="rId44"/>
                    <a:stretch>
                      <a:fillRect/>
                    </a:stretch>
                  </pic:blipFill>
                  <pic:spPr>
                    <a:xfrm>
                      <a:off x="0" y="0"/>
                      <a:ext cx="6120765" cy="3115310"/>
                    </a:xfrm>
                    <a:prstGeom prst="rect">
                      <a:avLst/>
                    </a:prstGeom>
                  </pic:spPr>
                </pic:pic>
              </a:graphicData>
            </a:graphic>
          </wp:anchor>
        </w:drawing>
      </w:r>
    </w:p>
    <w:p w14:paraId="6F32EA6A" w14:textId="6B0BCEDF" w:rsidR="005F7789" w:rsidRPr="00427F9C" w:rsidRDefault="005F7789" w:rsidP="005F7789">
      <w:pPr>
        <w:pStyle w:val="Heading2"/>
      </w:pPr>
      <w:bookmarkStart w:id="59" w:name="_Ref158645754"/>
      <w:bookmarkStart w:id="60" w:name="_Toc160083857"/>
      <w:r w:rsidRPr="00427F9C">
        <w:t>Before the audit</w:t>
      </w:r>
      <w:bookmarkEnd w:id="56"/>
      <w:bookmarkEnd w:id="57"/>
      <w:bookmarkEnd w:id="59"/>
      <w:bookmarkEnd w:id="60"/>
    </w:p>
    <w:p w14:paraId="104D9C23" w14:textId="3D921C34" w:rsidR="00870903" w:rsidRPr="00427F9C" w:rsidRDefault="00D76A95" w:rsidP="00B45765">
      <w:pPr>
        <w:pStyle w:val="Heading3"/>
      </w:pPr>
      <w:bookmarkStart w:id="61" w:name="_Toc145432926"/>
      <w:bookmarkStart w:id="62" w:name="_Toc145606316"/>
      <w:bookmarkStart w:id="63" w:name="_Toc160083858"/>
      <w:r>
        <w:t>APVMA determines a</w:t>
      </w:r>
      <w:r w:rsidR="00870903" w:rsidRPr="00B45765">
        <w:t>udit duration</w:t>
      </w:r>
      <w:bookmarkEnd w:id="61"/>
      <w:bookmarkEnd w:id="62"/>
      <w:bookmarkEnd w:id="63"/>
    </w:p>
    <w:p w14:paraId="247CA93E" w14:textId="42F06D38" w:rsidR="00870903" w:rsidRPr="00427F9C" w:rsidRDefault="00870903" w:rsidP="001073F7">
      <w:pPr>
        <w:pStyle w:val="NormalText"/>
      </w:pPr>
      <w:r w:rsidRPr="00427F9C">
        <w:t xml:space="preserve">When determining audit duration, </w:t>
      </w:r>
      <w:r w:rsidR="001073F7">
        <w:t xml:space="preserve">the </w:t>
      </w:r>
      <w:r w:rsidR="00830DB0">
        <w:t>APVMA</w:t>
      </w:r>
      <w:r w:rsidRPr="00427F9C">
        <w:t xml:space="preserve"> </w:t>
      </w:r>
      <w:r w:rsidR="005247C0">
        <w:t>will t</w:t>
      </w:r>
      <w:r w:rsidRPr="00427F9C">
        <w:t>ake into account the type of product</w:t>
      </w:r>
      <w:r w:rsidR="00CE774F" w:rsidRPr="00427F9C">
        <w:t>s</w:t>
      </w:r>
      <w:r w:rsidRPr="00427F9C">
        <w:t xml:space="preserve"> manufactured, the complexity of the manufacturing process, the size of the manufacturing facility</w:t>
      </w:r>
      <w:r w:rsidR="001073F7">
        <w:t xml:space="preserve">, the Licence Holder’s audit history, and any manufacturing-related adverse experiences or voluntary recalls. </w:t>
      </w:r>
      <w:r w:rsidRPr="00427F9C">
        <w:t>In addition</w:t>
      </w:r>
      <w:r w:rsidR="001073F7">
        <w:t xml:space="preserve">, the </w:t>
      </w:r>
      <w:r w:rsidRPr="00427F9C">
        <w:t xml:space="preserve">APVMA will </w:t>
      </w:r>
      <w:r w:rsidR="001073F7">
        <w:t>consider any c</w:t>
      </w:r>
      <w:r w:rsidRPr="00427F9C">
        <w:t>hanges to</w:t>
      </w:r>
      <w:r w:rsidR="001073F7">
        <w:t xml:space="preserve"> key personnel (appointments or resignations), operations or to buildings, key equipment or product lines.</w:t>
      </w:r>
    </w:p>
    <w:p w14:paraId="6D80A963" w14:textId="753B2583" w:rsidR="001073F7" w:rsidRPr="00427F9C" w:rsidRDefault="001073F7" w:rsidP="001073F7">
      <w:pPr>
        <w:pStyle w:val="NormalText"/>
        <w:spacing w:after="0"/>
      </w:pPr>
      <w:r>
        <w:t>As a baseline, however, audit duration will be calculated as the sum of the following three parts</w:t>
      </w:r>
      <w:r w:rsidRPr="00427F9C">
        <w:t>:</w:t>
      </w:r>
    </w:p>
    <w:p w14:paraId="7BEF21D7" w14:textId="77777777" w:rsidR="001073F7" w:rsidRPr="00427F9C" w:rsidRDefault="001073F7" w:rsidP="001073F7">
      <w:pPr>
        <w:pStyle w:val="NormalText"/>
        <w:numPr>
          <w:ilvl w:val="0"/>
          <w:numId w:val="14"/>
        </w:numPr>
        <w:spacing w:before="120" w:after="0"/>
      </w:pPr>
      <w:r w:rsidRPr="00427F9C">
        <w:t>Risk-based audit duration, plus</w:t>
      </w:r>
    </w:p>
    <w:p w14:paraId="1FF21E15" w14:textId="77777777" w:rsidR="001073F7" w:rsidRPr="00427F9C" w:rsidRDefault="001073F7" w:rsidP="001073F7">
      <w:pPr>
        <w:pStyle w:val="NormalText"/>
        <w:numPr>
          <w:ilvl w:val="0"/>
          <w:numId w:val="14"/>
        </w:numPr>
        <w:spacing w:before="120" w:after="0"/>
      </w:pPr>
      <w:r w:rsidRPr="00427F9C">
        <w:t>Non-conformity additional duration, plus</w:t>
      </w:r>
    </w:p>
    <w:p w14:paraId="2678D18A" w14:textId="77777777" w:rsidR="001073F7" w:rsidRPr="00427F9C" w:rsidRDefault="001073F7" w:rsidP="001073F7">
      <w:pPr>
        <w:pStyle w:val="NormalText"/>
        <w:numPr>
          <w:ilvl w:val="0"/>
          <w:numId w:val="14"/>
        </w:numPr>
        <w:spacing w:before="120" w:after="0"/>
      </w:pPr>
      <w:r w:rsidRPr="00427F9C">
        <w:t>Licence variation additional duration.</w:t>
      </w:r>
    </w:p>
    <w:p w14:paraId="5D756ED6" w14:textId="040B60AC" w:rsidR="00870903" w:rsidRPr="00427F9C" w:rsidRDefault="00870903" w:rsidP="00A963D2">
      <w:pPr>
        <w:pStyle w:val="NormalText"/>
      </w:pPr>
      <w:r w:rsidRPr="001073F7">
        <w:rPr>
          <w:b/>
          <w:bCs/>
        </w:rPr>
        <w:t>Risk-based audit duration</w:t>
      </w:r>
      <w:r w:rsidRPr="00427F9C">
        <w:t xml:space="preserve"> ranges from Low (1 day) to High (3 days), as set out below:</w:t>
      </w:r>
    </w:p>
    <w:p w14:paraId="7D29F43C" w14:textId="6E68A5BB" w:rsidR="00870903" w:rsidRPr="00427F9C" w:rsidRDefault="00870903" w:rsidP="00994682">
      <w:pPr>
        <w:pStyle w:val="NormalText"/>
        <w:numPr>
          <w:ilvl w:val="0"/>
          <w:numId w:val="15"/>
        </w:numPr>
        <w:spacing w:before="120" w:after="0"/>
      </w:pPr>
      <w:r w:rsidRPr="00663010">
        <w:rPr>
          <w:u w:val="single"/>
        </w:rPr>
        <w:t>High risk</w:t>
      </w:r>
      <w:r w:rsidRPr="00427F9C">
        <w:t xml:space="preserve"> – audit duration 3 days</w:t>
      </w:r>
    </w:p>
    <w:p w14:paraId="4D8BA299" w14:textId="77777777" w:rsidR="00870903" w:rsidRPr="00427F9C" w:rsidRDefault="00870903" w:rsidP="00B45765">
      <w:pPr>
        <w:pStyle w:val="NormalText"/>
      </w:pPr>
      <w:r w:rsidRPr="00427F9C">
        <w:lastRenderedPageBreak/>
        <w:t>High risk products and processes include:</w:t>
      </w:r>
    </w:p>
    <w:p w14:paraId="00E9AAB7" w14:textId="5DBE06E2" w:rsidR="00870903" w:rsidRPr="00427F9C" w:rsidRDefault="00B1259E" w:rsidP="00994682">
      <w:pPr>
        <w:pStyle w:val="NormalText"/>
        <w:numPr>
          <w:ilvl w:val="0"/>
          <w:numId w:val="8"/>
        </w:numPr>
      </w:pPr>
      <w:r>
        <w:t xml:space="preserve">Category 1 - </w:t>
      </w:r>
      <w:r w:rsidR="00870903" w:rsidRPr="00427F9C">
        <w:t>Sterile products</w:t>
      </w:r>
    </w:p>
    <w:p w14:paraId="1F46EDDF" w14:textId="5430BD2B" w:rsidR="00870903" w:rsidRPr="00427F9C" w:rsidRDefault="00B1259E" w:rsidP="00994682">
      <w:pPr>
        <w:pStyle w:val="NormalText"/>
        <w:numPr>
          <w:ilvl w:val="0"/>
          <w:numId w:val="8"/>
        </w:numPr>
      </w:pPr>
      <w:r>
        <w:t xml:space="preserve">Category 1 - </w:t>
      </w:r>
      <w:r w:rsidR="00870903" w:rsidRPr="00427F9C">
        <w:t>Immunobiological products</w:t>
      </w:r>
    </w:p>
    <w:p w14:paraId="7F20511C" w14:textId="4D3A3855" w:rsidR="00870903" w:rsidRPr="00427F9C" w:rsidRDefault="00870903" w:rsidP="00994682">
      <w:pPr>
        <w:pStyle w:val="NormalText"/>
        <w:numPr>
          <w:ilvl w:val="0"/>
          <w:numId w:val="8"/>
        </w:numPr>
      </w:pPr>
      <w:r w:rsidRPr="00427F9C">
        <w:t>Multi</w:t>
      </w:r>
      <w:r w:rsidR="009214C9">
        <w:t>-</w:t>
      </w:r>
      <w:r w:rsidRPr="00427F9C">
        <w:t>category manufacturing.</w:t>
      </w:r>
    </w:p>
    <w:p w14:paraId="15D4A75B" w14:textId="3D200828" w:rsidR="00870903" w:rsidRPr="00427F9C" w:rsidRDefault="00870903" w:rsidP="00994682">
      <w:pPr>
        <w:pStyle w:val="NormalText"/>
        <w:numPr>
          <w:ilvl w:val="0"/>
          <w:numId w:val="15"/>
        </w:numPr>
        <w:spacing w:before="120" w:after="0"/>
      </w:pPr>
      <w:r w:rsidRPr="00663010">
        <w:rPr>
          <w:u w:val="single"/>
        </w:rPr>
        <w:t>Medium risk</w:t>
      </w:r>
      <w:r w:rsidRPr="00427F9C">
        <w:t xml:space="preserve"> – audit duration 2 days</w:t>
      </w:r>
    </w:p>
    <w:p w14:paraId="1A2519D0" w14:textId="77777777" w:rsidR="00870903" w:rsidRPr="00427F9C" w:rsidRDefault="00870903" w:rsidP="00B45765">
      <w:pPr>
        <w:pStyle w:val="NormalText"/>
      </w:pPr>
      <w:r w:rsidRPr="00427F9C">
        <w:t>Medium risk products and processes include:</w:t>
      </w:r>
    </w:p>
    <w:p w14:paraId="1C5C0C8B" w14:textId="6888873A" w:rsidR="00870903" w:rsidRPr="00427F9C" w:rsidRDefault="00870903" w:rsidP="00994682">
      <w:pPr>
        <w:pStyle w:val="NormalText"/>
        <w:numPr>
          <w:ilvl w:val="0"/>
          <w:numId w:val="8"/>
        </w:numPr>
      </w:pPr>
      <w:r w:rsidRPr="00427F9C">
        <w:t>Category 2 or 3</w:t>
      </w:r>
      <w:r w:rsidR="003A0149">
        <w:t>,</w:t>
      </w:r>
      <w:r w:rsidRPr="00427F9C">
        <w:t xml:space="preserve"> only non-sterile products</w:t>
      </w:r>
    </w:p>
    <w:p w14:paraId="1259EB05" w14:textId="521A04CC" w:rsidR="00870903" w:rsidRPr="00427F9C" w:rsidRDefault="00870903" w:rsidP="00994682">
      <w:pPr>
        <w:pStyle w:val="NormalText"/>
        <w:numPr>
          <w:ilvl w:val="0"/>
          <w:numId w:val="8"/>
        </w:numPr>
      </w:pPr>
      <w:r w:rsidRPr="00427F9C">
        <w:t>Products containing antibiotics.</w:t>
      </w:r>
    </w:p>
    <w:p w14:paraId="1E99CCF9" w14:textId="7ABA4007" w:rsidR="00870903" w:rsidRPr="00427F9C" w:rsidRDefault="00870903" w:rsidP="00994682">
      <w:pPr>
        <w:pStyle w:val="NormalText"/>
        <w:numPr>
          <w:ilvl w:val="0"/>
          <w:numId w:val="15"/>
        </w:numPr>
        <w:spacing w:before="120" w:after="0"/>
      </w:pPr>
      <w:r w:rsidRPr="00663010">
        <w:rPr>
          <w:u w:val="single"/>
        </w:rPr>
        <w:t>Low risk</w:t>
      </w:r>
      <w:r w:rsidRPr="00427F9C">
        <w:t xml:space="preserve"> – audit duration 1 day</w:t>
      </w:r>
    </w:p>
    <w:p w14:paraId="0D59421A" w14:textId="77777777" w:rsidR="00870903" w:rsidRPr="00427F9C" w:rsidRDefault="00870903" w:rsidP="00B45765">
      <w:pPr>
        <w:pStyle w:val="NormalText"/>
      </w:pPr>
      <w:r w:rsidRPr="00427F9C">
        <w:t>Low risk products and processes include:</w:t>
      </w:r>
    </w:p>
    <w:p w14:paraId="3449AA86" w14:textId="0F351C67" w:rsidR="00870903" w:rsidRPr="00427F9C" w:rsidRDefault="00870903" w:rsidP="00994682">
      <w:pPr>
        <w:pStyle w:val="NormalText"/>
        <w:numPr>
          <w:ilvl w:val="0"/>
          <w:numId w:val="8"/>
        </w:numPr>
      </w:pPr>
      <w:r w:rsidRPr="00427F9C">
        <w:t>Category 4, Premix / supplements</w:t>
      </w:r>
    </w:p>
    <w:p w14:paraId="091FB0AC" w14:textId="2D7625FC" w:rsidR="00870903" w:rsidRPr="00427F9C" w:rsidRDefault="00870903" w:rsidP="00994682">
      <w:pPr>
        <w:pStyle w:val="NormalText"/>
        <w:numPr>
          <w:ilvl w:val="0"/>
          <w:numId w:val="8"/>
        </w:numPr>
      </w:pPr>
      <w:r w:rsidRPr="00427F9C">
        <w:t>Laboratories</w:t>
      </w:r>
    </w:p>
    <w:p w14:paraId="1FC96FBB" w14:textId="1375360B" w:rsidR="00870903" w:rsidRPr="00427F9C" w:rsidRDefault="00870903" w:rsidP="00994682">
      <w:pPr>
        <w:pStyle w:val="NormalText"/>
        <w:numPr>
          <w:ilvl w:val="0"/>
          <w:numId w:val="8"/>
        </w:numPr>
      </w:pPr>
      <w:r w:rsidRPr="00427F9C">
        <w:t>Single step – labelling</w:t>
      </w:r>
      <w:r w:rsidR="007F250C">
        <w:t xml:space="preserve"> / </w:t>
      </w:r>
      <w:r w:rsidRPr="00427F9C">
        <w:t>packaging, release for supply, or storage.</w:t>
      </w:r>
    </w:p>
    <w:p w14:paraId="0DD02A16" w14:textId="4DA1B53B" w:rsidR="00870903" w:rsidRPr="00427F9C" w:rsidRDefault="00870903" w:rsidP="00A963D2">
      <w:pPr>
        <w:pStyle w:val="NormalText"/>
      </w:pPr>
      <w:r w:rsidRPr="00427F9C">
        <w:t>A day will be added to th</w:t>
      </w:r>
      <w:r w:rsidR="00663010">
        <w:t xml:space="preserve">is risk-based starting point for </w:t>
      </w:r>
      <w:r w:rsidRPr="00427F9C">
        <w:t>audit duration, if either of the following non-conformity scenarios applies:</w:t>
      </w:r>
    </w:p>
    <w:p w14:paraId="05EB369B" w14:textId="10D62498" w:rsidR="00870903" w:rsidRPr="00427F9C" w:rsidRDefault="00870903" w:rsidP="00994682">
      <w:pPr>
        <w:pStyle w:val="NormalText"/>
        <w:numPr>
          <w:ilvl w:val="0"/>
          <w:numId w:val="8"/>
        </w:numPr>
      </w:pPr>
      <w:r w:rsidRPr="00427F9C">
        <w:t>10 or more total non-conformities, and/or</w:t>
      </w:r>
    </w:p>
    <w:p w14:paraId="2B9A9D05" w14:textId="10D6EEC7" w:rsidR="00870903" w:rsidRPr="00427F9C" w:rsidRDefault="00870903" w:rsidP="00994682">
      <w:pPr>
        <w:pStyle w:val="NormalText"/>
        <w:numPr>
          <w:ilvl w:val="0"/>
          <w:numId w:val="8"/>
        </w:numPr>
      </w:pPr>
      <w:r w:rsidRPr="00427F9C">
        <w:t>5 or more Major non-conformities</w:t>
      </w:r>
      <w:r w:rsidR="004723ED">
        <w:t xml:space="preserve"> from the previous audit</w:t>
      </w:r>
      <w:r w:rsidRPr="00427F9C">
        <w:t>.</w:t>
      </w:r>
    </w:p>
    <w:p w14:paraId="658691F2" w14:textId="5BA86330" w:rsidR="00870903" w:rsidRPr="00427F9C" w:rsidRDefault="00870903" w:rsidP="00A963D2">
      <w:pPr>
        <w:pStyle w:val="NormalText"/>
      </w:pPr>
      <w:r w:rsidRPr="00427F9C">
        <w:t xml:space="preserve">A </w:t>
      </w:r>
      <w:r w:rsidR="00663010">
        <w:t xml:space="preserve">further </w:t>
      </w:r>
      <w:r w:rsidRPr="00427F9C">
        <w:t xml:space="preserve">day will </w:t>
      </w:r>
      <w:r w:rsidR="00663010">
        <w:t xml:space="preserve">then </w:t>
      </w:r>
      <w:r w:rsidRPr="00427F9C">
        <w:t xml:space="preserve">be added </w:t>
      </w:r>
      <w:r w:rsidR="00663010">
        <w:t xml:space="preserve">to the calculated </w:t>
      </w:r>
      <w:r w:rsidRPr="00427F9C">
        <w:t>audit duration if the license is to be varied for either of the following reasons:</w:t>
      </w:r>
    </w:p>
    <w:p w14:paraId="7699D58A" w14:textId="576BA20A" w:rsidR="00870903" w:rsidRPr="00427F9C" w:rsidRDefault="00870903" w:rsidP="00994682">
      <w:pPr>
        <w:pStyle w:val="NormalText"/>
        <w:numPr>
          <w:ilvl w:val="0"/>
          <w:numId w:val="8"/>
        </w:numPr>
      </w:pPr>
      <w:r w:rsidRPr="00427F9C">
        <w:t>A new facility is to be added to the license (i.e., a new building for storage, manufacturing or laboratory services)</w:t>
      </w:r>
    </w:p>
    <w:p w14:paraId="02B944C3" w14:textId="4D70CB8E" w:rsidR="00870903" w:rsidRPr="00427F9C" w:rsidRDefault="00870903" w:rsidP="00994682">
      <w:pPr>
        <w:pStyle w:val="NormalText"/>
        <w:numPr>
          <w:ilvl w:val="0"/>
          <w:numId w:val="8"/>
        </w:numPr>
      </w:pPr>
      <w:r w:rsidRPr="00427F9C">
        <w:t>A new step of manufacture</w:t>
      </w:r>
      <w:r w:rsidR="00B1259E">
        <w:t xml:space="preserve"> / product dosage form / category</w:t>
      </w:r>
      <w:r w:rsidRPr="00427F9C">
        <w:t xml:space="preserve"> is to be added to the license, increasing the base risk (e.g., the current licence covers non-sterile products, and a variation is sought to add a sterile step of manufacture).</w:t>
      </w:r>
    </w:p>
    <w:p w14:paraId="57EC61C6" w14:textId="4826638F" w:rsidR="00870903" w:rsidRDefault="00870903" w:rsidP="00663010">
      <w:pPr>
        <w:pStyle w:val="NormalText"/>
      </w:pPr>
      <w:r w:rsidRPr="00427F9C">
        <w:t xml:space="preserve">The APVMA will </w:t>
      </w:r>
      <w:r w:rsidR="00663010">
        <w:t xml:space="preserve">use this three-step formula to obtain a baseline estimate for audit duration. At the APVMA’s discretion, this baseline calculation may then be modified on account of additional intelligence about the Licence Holder or </w:t>
      </w:r>
      <w:r w:rsidR="004A0A49">
        <w:t xml:space="preserve">manufacturing </w:t>
      </w:r>
      <w:r w:rsidR="00663010">
        <w:t xml:space="preserve">site. </w:t>
      </w:r>
    </w:p>
    <w:p w14:paraId="3329DF98" w14:textId="38A72255" w:rsidR="00685408" w:rsidRDefault="00685408" w:rsidP="00685408">
      <w:pPr>
        <w:pStyle w:val="Heading3"/>
      </w:pPr>
      <w:bookmarkStart w:id="64" w:name="_Toc160083859"/>
      <w:r>
        <w:lastRenderedPageBreak/>
        <w:t>Communicating audit duration to the Licence Holder</w:t>
      </w:r>
      <w:bookmarkEnd w:id="64"/>
    </w:p>
    <w:p w14:paraId="265FE8BF" w14:textId="6E1B2566" w:rsidR="00685408" w:rsidRDefault="00685408" w:rsidP="00685408">
      <w:pPr>
        <w:pStyle w:val="NormalText"/>
      </w:pPr>
      <w:r>
        <w:t xml:space="preserve">At the </w:t>
      </w:r>
      <w:r w:rsidRPr="00685408">
        <w:t>close of the preceding audit</w:t>
      </w:r>
      <w:r w:rsidR="005B0855">
        <w:t xml:space="preserve"> (see below)</w:t>
      </w:r>
      <w:r>
        <w:t xml:space="preserve">, the APVMA will issue an audit outcome letter </w:t>
      </w:r>
      <w:r w:rsidR="00781FA6">
        <w:t>t</w:t>
      </w:r>
      <w:r>
        <w:t xml:space="preserve">hat includes, amongst other things, the due date for the next audit and the first estimate of audit duration (as described above). </w:t>
      </w:r>
    </w:p>
    <w:p w14:paraId="48709FE2" w14:textId="77777777" w:rsidR="00685408" w:rsidRDefault="00685408" w:rsidP="00685408">
      <w:pPr>
        <w:pStyle w:val="NormalText"/>
      </w:pPr>
      <w:r w:rsidRPr="00F42770">
        <w:rPr>
          <w:b/>
          <w:bCs/>
        </w:rPr>
        <w:t>Four (4) months</w:t>
      </w:r>
      <w:r>
        <w:t xml:space="preserve"> prior to the date of the next audit, the APVMA will collate and review any relevant s161 notices, adverse experiences or recalls; relevant conditions attached to any new product registrations or permits; and relevant license variation applications. Based on this information adjustments may be made to the first estimate for audit duration. </w:t>
      </w:r>
    </w:p>
    <w:p w14:paraId="23B2794B" w14:textId="2E2C955D" w:rsidR="00685408" w:rsidRDefault="00685408" w:rsidP="00685408">
      <w:pPr>
        <w:pStyle w:val="NormalText"/>
      </w:pPr>
      <w:r w:rsidRPr="00F42770">
        <w:rPr>
          <w:b/>
          <w:bCs/>
        </w:rPr>
        <w:t>Three (3) months</w:t>
      </w:r>
      <w:r w:rsidRPr="00427F9C">
        <w:t xml:space="preserve"> before the audit due date, </w:t>
      </w:r>
      <w:r>
        <w:t xml:space="preserve">the APVMA will issue an audit reminder notice to the Licence Holder. This reminder notice will cite the final audit duration. </w:t>
      </w:r>
      <w:r w:rsidRPr="00427F9C">
        <w:t>Th</w:t>
      </w:r>
      <w:r>
        <w:t xml:space="preserve">e </w:t>
      </w:r>
      <w:r w:rsidRPr="00427F9C">
        <w:t xml:space="preserve">reminder </w:t>
      </w:r>
      <w:r>
        <w:t xml:space="preserve">notice </w:t>
      </w:r>
      <w:r w:rsidRPr="00427F9C">
        <w:t xml:space="preserve">will also request that if the Licence Holder is wanting to change the scope of their licence i.e. new facilities, categories or steps of manufacture, </w:t>
      </w:r>
      <w:r w:rsidR="004A0A49">
        <w:t>then</w:t>
      </w:r>
      <w:r w:rsidRPr="00427F9C">
        <w:t xml:space="preserve"> a </w:t>
      </w:r>
      <w:hyperlink r:id="rId45" w:history="1">
        <w:r w:rsidRPr="00427F9C">
          <w:rPr>
            <w:rStyle w:val="Hyperlink"/>
          </w:rPr>
          <w:t>licence variation</w:t>
        </w:r>
      </w:hyperlink>
      <w:r w:rsidRPr="00427F9C">
        <w:t xml:space="preserve"> application </w:t>
      </w:r>
      <w:r>
        <w:t xml:space="preserve">must be </w:t>
      </w:r>
      <w:r w:rsidRPr="00427F9C">
        <w:t xml:space="preserve">submitted. This licence variation application should be submitted within two (2) weeks of the date of the audit reminder. </w:t>
      </w:r>
    </w:p>
    <w:p w14:paraId="53518057" w14:textId="0AED6A05" w:rsidR="00870903" w:rsidRPr="00427F9C" w:rsidRDefault="00870903" w:rsidP="00B45765">
      <w:pPr>
        <w:pStyle w:val="Heading3"/>
      </w:pPr>
      <w:bookmarkStart w:id="65" w:name="_Toc145432927"/>
      <w:bookmarkStart w:id="66" w:name="_Toc145606317"/>
      <w:bookmarkStart w:id="67" w:name="_Toc160083860"/>
      <w:r w:rsidRPr="00B45765">
        <w:t>Choosing an APVMA-authorised auditor</w:t>
      </w:r>
      <w:bookmarkEnd w:id="65"/>
      <w:bookmarkEnd w:id="66"/>
      <w:bookmarkEnd w:id="67"/>
    </w:p>
    <w:p w14:paraId="0855C0E4" w14:textId="5D20C537" w:rsidR="00870903" w:rsidRPr="00427F9C" w:rsidRDefault="00870903" w:rsidP="00870903">
      <w:pPr>
        <w:pStyle w:val="NormalText"/>
      </w:pPr>
      <w:r w:rsidRPr="00427F9C">
        <w:t xml:space="preserve">At least six </w:t>
      </w:r>
      <w:r w:rsidR="00310EAD" w:rsidRPr="00427F9C">
        <w:t xml:space="preserve">(6) </w:t>
      </w:r>
      <w:r w:rsidRPr="00427F9C">
        <w:t xml:space="preserve">weeks prior to the audit due date, the </w:t>
      </w:r>
      <w:r w:rsidR="00830DB0">
        <w:t>Licence Holder</w:t>
      </w:r>
      <w:r w:rsidRPr="00427F9C">
        <w:t xml:space="preserve"> </w:t>
      </w:r>
      <w:r w:rsidR="009E396E">
        <w:t xml:space="preserve">must </w:t>
      </w:r>
      <w:r w:rsidRPr="00427F9C">
        <w:t xml:space="preserve">select an auditor from the current </w:t>
      </w:r>
      <w:hyperlink r:id="rId46" w:history="1">
        <w:r w:rsidRPr="00427F9C">
          <w:rPr>
            <w:rStyle w:val="Hyperlink"/>
          </w:rPr>
          <w:t>list of APVMA-authorised GMP auditors</w:t>
        </w:r>
      </w:hyperlink>
      <w:r w:rsidRPr="00427F9C">
        <w:t>, arrange for the audit to be conducted by the required time, and notify the APVMA on a signed ‘</w:t>
      </w:r>
      <w:hyperlink r:id="rId47" w:history="1">
        <w:r w:rsidRPr="00F0761D">
          <w:rPr>
            <w:rStyle w:val="Hyperlink"/>
          </w:rPr>
          <w:t>Pre-audit notification and information form</w:t>
        </w:r>
      </w:hyperlink>
      <w:r w:rsidRPr="00427F9C">
        <w:t>’. Overseas sites should use the ‘</w:t>
      </w:r>
      <w:hyperlink r:id="rId48" w:history="1">
        <w:r w:rsidRPr="00AC40F8">
          <w:rPr>
            <w:rStyle w:val="Hyperlink"/>
          </w:rPr>
          <w:t>Pre-audit notification and information form—overseas sites’</w:t>
        </w:r>
      </w:hyperlink>
      <w:r w:rsidRPr="00427F9C">
        <w:t xml:space="preserve">. The form should be emailed to the APVMA. </w:t>
      </w:r>
      <w:r w:rsidR="001E2567" w:rsidRPr="00427F9C">
        <w:t>Unsigned forms will not be accepted by the APVMA.</w:t>
      </w:r>
    </w:p>
    <w:p w14:paraId="5CD590BE" w14:textId="761FE900" w:rsidR="00870903" w:rsidRDefault="00870903" w:rsidP="00870903">
      <w:pPr>
        <w:pStyle w:val="NormalText"/>
      </w:pPr>
      <w:r w:rsidRPr="00427F9C">
        <w:t xml:space="preserve">If the APVMA has not received notification that an audit has been arranged prior to </w:t>
      </w:r>
      <w:r w:rsidR="00CE774F" w:rsidRPr="00427F9C">
        <w:t>six</w:t>
      </w:r>
      <w:r w:rsidRPr="00427F9C">
        <w:t xml:space="preserve"> weeks of the due date for audit, the APVMA will contact the </w:t>
      </w:r>
      <w:r w:rsidR="00830DB0">
        <w:t>Licence Holder</w:t>
      </w:r>
      <w:r w:rsidRPr="00427F9C">
        <w:t xml:space="preserve"> to remind them that an audit is due </w:t>
      </w:r>
      <w:r w:rsidR="003220D3">
        <w:t xml:space="preserve">and </w:t>
      </w:r>
      <w:r w:rsidRPr="00427F9C">
        <w:t>to ensure the audit schedule is maintained. Failure to arrange an audit</w:t>
      </w:r>
      <w:r w:rsidR="001D4E7F">
        <w:t>,</w:t>
      </w:r>
      <w:r w:rsidRPr="00427F9C">
        <w:t xml:space="preserve"> </w:t>
      </w:r>
      <w:r w:rsidR="00B307BC">
        <w:t>as directed by the APVMA</w:t>
      </w:r>
      <w:r w:rsidR="001D4E7F">
        <w:t>,</w:t>
      </w:r>
      <w:r w:rsidR="00B307BC">
        <w:t xml:space="preserve"> </w:t>
      </w:r>
      <w:r w:rsidRPr="00427F9C">
        <w:t>may result in suspension or cancellation of the licence for breach of licence condition.</w:t>
      </w:r>
    </w:p>
    <w:p w14:paraId="081E9F6B" w14:textId="62C69FC8" w:rsidR="00870903" w:rsidRPr="00427F9C" w:rsidRDefault="00870903" w:rsidP="00870903">
      <w:pPr>
        <w:pStyle w:val="NormalText"/>
      </w:pPr>
      <w:r w:rsidRPr="00427F9C">
        <w:t>The auditor must also submit a signed ‘</w:t>
      </w:r>
      <w:hyperlink r:id="rId49" w:history="1">
        <w:r w:rsidRPr="00F0761D">
          <w:rPr>
            <w:rStyle w:val="Hyperlink"/>
          </w:rPr>
          <w:t>Confirmation of audit booking form</w:t>
        </w:r>
      </w:hyperlink>
      <w:r w:rsidRPr="00427F9C">
        <w:t xml:space="preserve">’ to the APVMA as soon as possible after the audit date is confirmed with the </w:t>
      </w:r>
      <w:r w:rsidR="00830DB0">
        <w:t>Licence Holder</w:t>
      </w:r>
      <w:r w:rsidRPr="00427F9C">
        <w:t xml:space="preserve">. The ‘Auditor’s declaration’ at the foot of the document, confirming the auditor has no </w:t>
      </w:r>
      <w:r w:rsidR="001E2567" w:rsidRPr="00427F9C">
        <w:t xml:space="preserve">actual or perceived </w:t>
      </w:r>
      <w:r w:rsidRPr="00427F9C">
        <w:t xml:space="preserve">conflict of interest in performing the audit </w:t>
      </w:r>
      <w:r w:rsidRPr="00427F9C">
        <w:rPr>
          <w:b/>
          <w:bCs/>
        </w:rPr>
        <w:t>MUST</w:t>
      </w:r>
      <w:r w:rsidRPr="00427F9C">
        <w:t xml:space="preserve"> be signed by the auditor. Unsigned forms will not be accepted by the APVMA. Submission of this form by email is acceptable provided the form contains an electronic signature in the ‘Auditor’s declaration’ section, and the form does not contain any commercially sensitive information.</w:t>
      </w:r>
    </w:p>
    <w:p w14:paraId="575B8E6C" w14:textId="509E86E4" w:rsidR="00870903" w:rsidRPr="00427F9C" w:rsidRDefault="00870903" w:rsidP="00870903">
      <w:pPr>
        <w:pStyle w:val="NormalText"/>
      </w:pPr>
      <w:r w:rsidRPr="00427F9C">
        <w:t xml:space="preserve">The APVMA may reject the </w:t>
      </w:r>
      <w:r w:rsidR="00830DB0">
        <w:t>Licence Holder</w:t>
      </w:r>
      <w:r w:rsidRPr="00427F9C">
        <w:t>’s choice of auditor if:</w:t>
      </w:r>
    </w:p>
    <w:p w14:paraId="6E73A896" w14:textId="1892FA79" w:rsidR="00870903" w:rsidRPr="00427F9C" w:rsidRDefault="009256DC" w:rsidP="00A963D2">
      <w:pPr>
        <w:pStyle w:val="Bullet1"/>
        <w:spacing w:after="0"/>
        <w:ind w:left="714" w:hanging="357"/>
      </w:pPr>
      <w:r w:rsidRPr="00427F9C">
        <w:t>The auditor has carried out the previous two consecutive routine full audits on the facility</w:t>
      </w:r>
    </w:p>
    <w:p w14:paraId="66177D26" w14:textId="56215345" w:rsidR="00870903" w:rsidRPr="00427F9C" w:rsidRDefault="009256DC" w:rsidP="00A963D2">
      <w:pPr>
        <w:pStyle w:val="Bullet1"/>
        <w:spacing w:after="0"/>
        <w:ind w:left="714" w:hanging="357"/>
      </w:pPr>
      <w:r w:rsidRPr="00427F9C">
        <w:t>The auditor has carried out consultancy servi</w:t>
      </w:r>
      <w:r w:rsidR="00870903" w:rsidRPr="00427F9C">
        <w:t xml:space="preserve">ces for the </w:t>
      </w:r>
      <w:r w:rsidR="00830DB0">
        <w:t>Licence Holder</w:t>
      </w:r>
      <w:r w:rsidR="00870903" w:rsidRPr="00427F9C">
        <w:t xml:space="preserve"> within the preceding three (3) years or there is any other potential conflict of interest</w:t>
      </w:r>
    </w:p>
    <w:p w14:paraId="2E2901FB" w14:textId="7B77DA85" w:rsidR="00870903" w:rsidRPr="00427F9C" w:rsidRDefault="009256DC" w:rsidP="00A963D2">
      <w:pPr>
        <w:pStyle w:val="Bullet1"/>
        <w:spacing w:after="0"/>
        <w:ind w:left="714" w:hanging="357"/>
      </w:pPr>
      <w:r w:rsidRPr="00427F9C">
        <w:t xml:space="preserve">The </w:t>
      </w:r>
      <w:r w:rsidR="001D4E7F">
        <w:t>APVMA</w:t>
      </w:r>
      <w:r w:rsidRPr="00427F9C">
        <w:t xml:space="preserve"> considers that the auditor is not suitably qualified to audit the nominated type of manufacturing facility or manufacture</w:t>
      </w:r>
    </w:p>
    <w:p w14:paraId="217D4688" w14:textId="456B2EC0" w:rsidR="003220D3" w:rsidRDefault="003220D3" w:rsidP="00A963D2">
      <w:pPr>
        <w:pStyle w:val="Bullet1"/>
        <w:spacing w:after="0"/>
        <w:ind w:left="714" w:hanging="357"/>
      </w:pPr>
      <w:r>
        <w:t>The APVMA considers that a substantive conflict of interest may exist</w:t>
      </w:r>
    </w:p>
    <w:p w14:paraId="763DD897" w14:textId="032AF172" w:rsidR="00870903" w:rsidRPr="00427F9C" w:rsidRDefault="009256DC" w:rsidP="00A963D2">
      <w:pPr>
        <w:pStyle w:val="Bullet1"/>
        <w:spacing w:after="0"/>
        <w:ind w:left="714" w:hanging="357"/>
      </w:pPr>
      <w:r w:rsidRPr="00427F9C">
        <w:lastRenderedPageBreak/>
        <w:t xml:space="preserve">The </w:t>
      </w:r>
      <w:r w:rsidR="001D4E7F">
        <w:t>APVMA</w:t>
      </w:r>
      <w:r w:rsidR="00870903" w:rsidRPr="00427F9C">
        <w:t xml:space="preserve"> considers that under the circumstances, for whatever reason, another auditor is more appropriate.</w:t>
      </w:r>
    </w:p>
    <w:p w14:paraId="3DAB13F7" w14:textId="386E4FC2" w:rsidR="00870903" w:rsidRPr="00427F9C" w:rsidRDefault="00870903" w:rsidP="00A963D2">
      <w:pPr>
        <w:pStyle w:val="NormalText"/>
      </w:pPr>
      <w:r w:rsidRPr="00427F9C">
        <w:t xml:space="preserve">In most cases, the </w:t>
      </w:r>
      <w:r w:rsidR="001D4E7F">
        <w:t xml:space="preserve">APVMA </w:t>
      </w:r>
      <w:r w:rsidRPr="00427F9C">
        <w:t xml:space="preserve">will liaise with the </w:t>
      </w:r>
      <w:r w:rsidR="00830DB0">
        <w:t>Licence Holder</w:t>
      </w:r>
      <w:r w:rsidRPr="00427F9C">
        <w:t xml:space="preserve"> and the auditor and </w:t>
      </w:r>
      <w:r w:rsidR="003220D3">
        <w:t>advise</w:t>
      </w:r>
      <w:r w:rsidRPr="00427F9C">
        <w:t xml:space="preserve"> the </w:t>
      </w:r>
      <w:r w:rsidR="00830DB0">
        <w:t>Licence Holder</w:t>
      </w:r>
      <w:r w:rsidR="00830DB0" w:rsidRPr="00427F9C">
        <w:t xml:space="preserve"> </w:t>
      </w:r>
      <w:r w:rsidRPr="00427F9C">
        <w:t>to select an alternative auditor. However, as indicated above, the APVMA reserves the right to appoint an auditor of its own choice if considered appropriate.</w:t>
      </w:r>
      <w:r w:rsidR="001E2567" w:rsidRPr="00427F9C">
        <w:t xml:space="preserve"> This may include </w:t>
      </w:r>
      <w:r w:rsidR="009214C9">
        <w:t xml:space="preserve">the </w:t>
      </w:r>
      <w:r w:rsidR="001E2567" w:rsidRPr="00427F9C">
        <w:t xml:space="preserve">appointment of </w:t>
      </w:r>
      <w:r w:rsidR="009214C9">
        <w:t xml:space="preserve">a </w:t>
      </w:r>
      <w:r w:rsidR="003220D3">
        <w:t xml:space="preserve">suitably </w:t>
      </w:r>
      <w:r w:rsidR="001E2567" w:rsidRPr="00427F9C">
        <w:t xml:space="preserve">qualified </w:t>
      </w:r>
      <w:r w:rsidR="003220D3">
        <w:t>and experienced A</w:t>
      </w:r>
      <w:r w:rsidR="00D76A95">
        <w:t xml:space="preserve">PVMA </w:t>
      </w:r>
      <w:r w:rsidR="003220D3">
        <w:t>staff member</w:t>
      </w:r>
      <w:r w:rsidR="001E2567" w:rsidRPr="00427F9C">
        <w:t>.</w:t>
      </w:r>
      <w:r w:rsidR="00830DB0">
        <w:t xml:space="preserve"> </w:t>
      </w:r>
    </w:p>
    <w:p w14:paraId="6729AEFD" w14:textId="7A4968B3" w:rsidR="00870903" w:rsidRPr="00427F9C" w:rsidRDefault="00870903" w:rsidP="00A963D2">
      <w:pPr>
        <w:pStyle w:val="NormalText"/>
        <w:jc w:val="both"/>
      </w:pPr>
      <w:r w:rsidRPr="00427F9C">
        <w:t xml:space="preserve">Prior to the audit, the APVMA GMP </w:t>
      </w:r>
      <w:r w:rsidR="009214C9">
        <w:t>O</w:t>
      </w:r>
      <w:r w:rsidR="009214C9" w:rsidRPr="00427F9C">
        <w:t xml:space="preserve">fficer </w:t>
      </w:r>
      <w:r w:rsidRPr="00427F9C">
        <w:t xml:space="preserve">may send to the auditor: </w:t>
      </w:r>
    </w:p>
    <w:p w14:paraId="452B0BF5" w14:textId="30F7BC75" w:rsidR="00870903" w:rsidRPr="00427F9C" w:rsidRDefault="009256DC" w:rsidP="00A963D2">
      <w:pPr>
        <w:pStyle w:val="Bullet1"/>
        <w:spacing w:after="0"/>
        <w:ind w:left="714" w:hanging="357"/>
      </w:pPr>
      <w:r w:rsidRPr="00427F9C">
        <w:t xml:space="preserve">Relevant particulars of the </w:t>
      </w:r>
      <w:r w:rsidR="00830DB0">
        <w:t>Licence Holder</w:t>
      </w:r>
      <w:r w:rsidRPr="00427F9C">
        <w:t xml:space="preserve">, including the pre-audit notification and information form submitted by the </w:t>
      </w:r>
      <w:r w:rsidR="00830DB0">
        <w:t>Licence Holder</w:t>
      </w:r>
    </w:p>
    <w:p w14:paraId="1F768CFF" w14:textId="7592C299" w:rsidR="00870903" w:rsidRPr="00427F9C" w:rsidRDefault="009256DC" w:rsidP="00A963D2">
      <w:pPr>
        <w:pStyle w:val="Bullet1"/>
        <w:spacing w:after="0"/>
        <w:ind w:left="714" w:hanging="357"/>
      </w:pPr>
      <w:r w:rsidRPr="00427F9C">
        <w:t xml:space="preserve">Copy of </w:t>
      </w:r>
      <w:r w:rsidR="009214C9">
        <w:t xml:space="preserve">the </w:t>
      </w:r>
      <w:r w:rsidR="00870903" w:rsidRPr="00427F9C">
        <w:t>completed application form (for new applicants for a licence</w:t>
      </w:r>
      <w:r w:rsidR="001E2567" w:rsidRPr="00427F9C">
        <w:t xml:space="preserve"> or licence variation</w:t>
      </w:r>
      <w:r w:rsidR="00870903" w:rsidRPr="00427F9C">
        <w:t>)</w:t>
      </w:r>
    </w:p>
    <w:p w14:paraId="220BE80F" w14:textId="04F1221F" w:rsidR="00870903" w:rsidRPr="00427F9C" w:rsidRDefault="00117D69" w:rsidP="00A963D2">
      <w:pPr>
        <w:pStyle w:val="Bullet1"/>
        <w:spacing w:after="0"/>
        <w:ind w:left="714" w:hanging="357"/>
      </w:pPr>
      <w:r>
        <w:t>Copy of the p</w:t>
      </w:r>
      <w:r w:rsidR="009256DC" w:rsidRPr="00427F9C">
        <w:t xml:space="preserve">revious audit reports other relevant correspondence from the </w:t>
      </w:r>
      <w:r w:rsidR="00830DB0">
        <w:t>Licence Holder</w:t>
      </w:r>
      <w:r w:rsidR="009256DC" w:rsidRPr="00427F9C">
        <w:t>’s file</w:t>
      </w:r>
    </w:p>
    <w:p w14:paraId="3DD23D9F" w14:textId="2089B414" w:rsidR="00870903" w:rsidRDefault="009256DC" w:rsidP="00A963D2">
      <w:pPr>
        <w:pStyle w:val="Bullet1"/>
        <w:spacing w:after="0"/>
        <w:ind w:left="714" w:hanging="357"/>
      </w:pPr>
      <w:r w:rsidRPr="00427F9C">
        <w:t xml:space="preserve">Copy of the current </w:t>
      </w:r>
      <w:r w:rsidR="001D4E7F">
        <w:t>APVMA</w:t>
      </w:r>
      <w:r w:rsidRPr="00427F9C">
        <w:t xml:space="preserve"> licence and schedule of conditions (if an existing licensee)</w:t>
      </w:r>
    </w:p>
    <w:p w14:paraId="09DE5790" w14:textId="33083CA9" w:rsidR="00117D69" w:rsidRDefault="00117D69" w:rsidP="00A963D2">
      <w:pPr>
        <w:pStyle w:val="Bullet1"/>
        <w:spacing w:after="0"/>
        <w:ind w:left="714" w:hanging="357"/>
      </w:pPr>
      <w:r>
        <w:t>Copy of any documents relevant to an audit</w:t>
      </w:r>
    </w:p>
    <w:p w14:paraId="72FC3711" w14:textId="0AA40E24" w:rsidR="00117D69" w:rsidRPr="00427F9C" w:rsidRDefault="00117D69" w:rsidP="00A963D2">
      <w:pPr>
        <w:pStyle w:val="Bullet1"/>
        <w:spacing w:after="0"/>
        <w:ind w:left="714" w:hanging="357"/>
      </w:pPr>
      <w:r>
        <w:t xml:space="preserve">Copy of </w:t>
      </w:r>
      <w:r w:rsidRPr="00117D69">
        <w:t>other relevant correspondence from the Licence Holder’s file</w:t>
      </w:r>
      <w:r w:rsidR="002B2A48">
        <w:t>.</w:t>
      </w:r>
    </w:p>
    <w:p w14:paraId="4592E31D" w14:textId="33B66D13" w:rsidR="00870903" w:rsidRPr="00427F9C" w:rsidRDefault="00870903" w:rsidP="00A963D2">
      <w:pPr>
        <w:pStyle w:val="NormalText"/>
      </w:pPr>
      <w:r w:rsidRPr="00427F9C">
        <w:t xml:space="preserve">The auditor should normally prepare an audit plan with a proposed timetable, which should be provided to and discussed with the </w:t>
      </w:r>
      <w:r w:rsidR="00830DB0">
        <w:t>Licence Holder</w:t>
      </w:r>
      <w:r w:rsidR="00830DB0" w:rsidRPr="00427F9C">
        <w:t xml:space="preserve"> </w:t>
      </w:r>
      <w:r w:rsidRPr="00427F9C">
        <w:t>prior to the audit, to verify whether it is suitable and whether relevant staff will be available and/or that the plant will be operating, etc.</w:t>
      </w:r>
      <w:r w:rsidR="00830DB0">
        <w:t xml:space="preserve"> </w:t>
      </w:r>
    </w:p>
    <w:p w14:paraId="4414294E" w14:textId="517302F1" w:rsidR="00E21D64" w:rsidRPr="00427F9C" w:rsidRDefault="00317574" w:rsidP="009256DC">
      <w:pPr>
        <w:pStyle w:val="Heading3"/>
      </w:pPr>
      <w:bookmarkStart w:id="68" w:name="_Toc145432928"/>
      <w:bookmarkStart w:id="69" w:name="_Toc145606318"/>
      <w:bookmarkStart w:id="70" w:name="_Toc160083861"/>
      <w:r>
        <w:t>P</w:t>
      </w:r>
      <w:r w:rsidR="00E21D64" w:rsidRPr="009256DC">
        <w:t>re-audit notification and information form</w:t>
      </w:r>
      <w:bookmarkEnd w:id="68"/>
      <w:bookmarkEnd w:id="69"/>
      <w:bookmarkEnd w:id="70"/>
    </w:p>
    <w:p w14:paraId="667C4838" w14:textId="3804E2E1" w:rsidR="00E21D64" w:rsidRPr="00427F9C" w:rsidRDefault="00E21D64" w:rsidP="00A963D2">
      <w:pPr>
        <w:pStyle w:val="NormalText"/>
      </w:pPr>
      <w:r w:rsidRPr="00427F9C">
        <w:t xml:space="preserve">If </w:t>
      </w:r>
      <w:r w:rsidR="00CE774F" w:rsidRPr="00427F9C">
        <w:t xml:space="preserve">a </w:t>
      </w:r>
      <w:r w:rsidR="00CD75F5">
        <w:t>Licence Holder</w:t>
      </w:r>
      <w:r w:rsidR="00CD75F5" w:rsidRPr="00427F9C">
        <w:t xml:space="preserve"> </w:t>
      </w:r>
      <w:r w:rsidR="00CE774F" w:rsidRPr="00427F9C">
        <w:t xml:space="preserve">fails to provide the </w:t>
      </w:r>
      <w:r w:rsidRPr="00427F9C">
        <w:t>notification that an audit has been arranged</w:t>
      </w:r>
      <w:r w:rsidR="00DC17ED">
        <w:t>,</w:t>
      </w:r>
      <w:r w:rsidRPr="00427F9C">
        <w:t xml:space="preserve"> </w:t>
      </w:r>
      <w:r w:rsidR="00CE774F" w:rsidRPr="00427F9C">
        <w:t xml:space="preserve">after </w:t>
      </w:r>
      <w:r w:rsidRPr="00427F9C">
        <w:t xml:space="preserve">the APVMA GMP officer </w:t>
      </w:r>
      <w:r w:rsidR="00CE774F" w:rsidRPr="00427F9C">
        <w:t xml:space="preserve">has followed up with the </w:t>
      </w:r>
      <w:r w:rsidR="00CD75F5">
        <w:t>Licence Holder</w:t>
      </w:r>
      <w:r w:rsidR="00CD75F5" w:rsidRPr="00427F9C">
        <w:t xml:space="preserve"> </w:t>
      </w:r>
      <w:r w:rsidRPr="00427F9C">
        <w:t>to remind them that an audit is due</w:t>
      </w:r>
      <w:r w:rsidR="00CE774F" w:rsidRPr="00427F9C">
        <w:t xml:space="preserve">, </w:t>
      </w:r>
      <w:r w:rsidR="00DC17ED">
        <w:t xml:space="preserve">the </w:t>
      </w:r>
      <w:r w:rsidR="00CE774F" w:rsidRPr="00427F9C">
        <w:t>APVMA may take action</w:t>
      </w:r>
      <w:r w:rsidRPr="00427F9C">
        <w:t xml:space="preserve">. </w:t>
      </w:r>
      <w:r w:rsidR="00CE774F" w:rsidRPr="00427F9C">
        <w:t>This</w:t>
      </w:r>
      <w:r w:rsidRPr="00427F9C">
        <w:t xml:space="preserve"> may result in suspension or cancellation of the licence.</w:t>
      </w:r>
    </w:p>
    <w:p w14:paraId="215D9A39" w14:textId="5ADBAFDA" w:rsidR="00870903" w:rsidRPr="00427F9C" w:rsidRDefault="00870903" w:rsidP="00310EAD">
      <w:pPr>
        <w:pStyle w:val="Heading2"/>
      </w:pPr>
      <w:bookmarkStart w:id="71" w:name="_Toc145432929"/>
      <w:bookmarkStart w:id="72" w:name="_Toc145606319"/>
      <w:bookmarkStart w:id="73" w:name="_Ref158645870"/>
      <w:bookmarkStart w:id="74" w:name="_Ref158645917"/>
      <w:bookmarkStart w:id="75" w:name="_Ref158645966"/>
      <w:bookmarkStart w:id="76" w:name="_Ref158649453"/>
      <w:bookmarkStart w:id="77" w:name="_Toc160083862"/>
      <w:r w:rsidRPr="00427F9C">
        <w:t>During the audit</w:t>
      </w:r>
      <w:bookmarkEnd w:id="71"/>
      <w:bookmarkEnd w:id="72"/>
      <w:bookmarkEnd w:id="73"/>
      <w:bookmarkEnd w:id="74"/>
      <w:bookmarkEnd w:id="75"/>
      <w:bookmarkEnd w:id="76"/>
      <w:bookmarkEnd w:id="77"/>
    </w:p>
    <w:p w14:paraId="426A58D4" w14:textId="6890EA44" w:rsidR="00317574" w:rsidRDefault="00317574" w:rsidP="00317574">
      <w:pPr>
        <w:pStyle w:val="Heading3"/>
      </w:pPr>
      <w:bookmarkStart w:id="78" w:name="_Toc160083863"/>
      <w:r>
        <w:t>Audit agenda</w:t>
      </w:r>
      <w:bookmarkEnd w:id="78"/>
    </w:p>
    <w:p w14:paraId="7893E93D" w14:textId="28F62660" w:rsidR="00870903" w:rsidRPr="00427F9C" w:rsidRDefault="00870903" w:rsidP="00A963D2">
      <w:pPr>
        <w:pStyle w:val="NormalText"/>
      </w:pPr>
      <w:r w:rsidRPr="00427F9C">
        <w:t xml:space="preserve">The </w:t>
      </w:r>
      <w:r w:rsidR="00317574">
        <w:t>agenda</w:t>
      </w:r>
      <w:r w:rsidRPr="00427F9C">
        <w:t xml:space="preserve"> on the day of audit </w:t>
      </w:r>
      <w:r w:rsidR="005B5F94">
        <w:t xml:space="preserve">will be </w:t>
      </w:r>
      <w:r w:rsidRPr="00427F9C">
        <w:t xml:space="preserve">at the auditor’s discretion, </w:t>
      </w:r>
      <w:r w:rsidR="001D4E7F">
        <w:t>although</w:t>
      </w:r>
      <w:r w:rsidRPr="00427F9C">
        <w:t xml:space="preserve"> should be consistent with </w:t>
      </w:r>
      <w:hyperlink r:id="rId50" w:history="1">
        <w:r w:rsidRPr="00D0657B">
          <w:rPr>
            <w:rStyle w:val="Hyperlink"/>
          </w:rPr>
          <w:t xml:space="preserve">ISO </w:t>
        </w:r>
        <w:r w:rsidR="00427F9C" w:rsidRPr="00D0657B">
          <w:rPr>
            <w:rStyle w:val="Hyperlink"/>
          </w:rPr>
          <w:t>19011</w:t>
        </w:r>
        <w:r w:rsidR="00D0657B" w:rsidRPr="00D0657B">
          <w:rPr>
            <w:rStyle w:val="Hyperlink"/>
          </w:rPr>
          <w:t>: 2018</w:t>
        </w:r>
        <w:r w:rsidR="009214C9" w:rsidRPr="00D0657B">
          <w:rPr>
            <w:rStyle w:val="Hyperlink"/>
          </w:rPr>
          <w:t xml:space="preserve"> </w:t>
        </w:r>
        <w:r w:rsidR="00427F9C" w:rsidRPr="00D0657B">
          <w:rPr>
            <w:rStyle w:val="Hyperlink"/>
          </w:rPr>
          <w:t xml:space="preserve">Guidelines for </w:t>
        </w:r>
        <w:r w:rsidR="00D0657B" w:rsidRPr="00D0657B">
          <w:rPr>
            <w:rStyle w:val="Hyperlink"/>
          </w:rPr>
          <w:t>A</w:t>
        </w:r>
        <w:r w:rsidR="00427F9C" w:rsidRPr="00D0657B">
          <w:rPr>
            <w:rStyle w:val="Hyperlink"/>
          </w:rPr>
          <w:t xml:space="preserve">uditing </w:t>
        </w:r>
        <w:r w:rsidR="00D0657B" w:rsidRPr="00D0657B">
          <w:rPr>
            <w:rStyle w:val="Hyperlink"/>
          </w:rPr>
          <w:t>M</w:t>
        </w:r>
        <w:r w:rsidR="00427F9C" w:rsidRPr="00D0657B">
          <w:rPr>
            <w:rStyle w:val="Hyperlink"/>
          </w:rPr>
          <w:t xml:space="preserve">anagement </w:t>
        </w:r>
        <w:r w:rsidR="00D0657B" w:rsidRPr="00D0657B">
          <w:rPr>
            <w:rStyle w:val="Hyperlink"/>
          </w:rPr>
          <w:t>S</w:t>
        </w:r>
        <w:r w:rsidR="00427F9C" w:rsidRPr="00D0657B">
          <w:rPr>
            <w:rStyle w:val="Hyperlink"/>
          </w:rPr>
          <w:t>ystems</w:t>
        </w:r>
      </w:hyperlink>
      <w:r w:rsidR="00D0657B">
        <w:t xml:space="preserve">. </w:t>
      </w:r>
      <w:r w:rsidRPr="00427F9C">
        <w:t>Key elements should include:</w:t>
      </w:r>
    </w:p>
    <w:p w14:paraId="5D67C3F7" w14:textId="417D5014" w:rsidR="00870903" w:rsidRPr="00427F9C" w:rsidRDefault="0056603D" w:rsidP="00A963D2">
      <w:pPr>
        <w:pStyle w:val="Bullet1"/>
        <w:spacing w:after="0"/>
        <w:ind w:left="714" w:hanging="357"/>
      </w:pPr>
      <w:r w:rsidRPr="00427F9C">
        <w:t xml:space="preserve">An initial meeting with the </w:t>
      </w:r>
      <w:r w:rsidR="00CD75F5">
        <w:t>Licence Holder</w:t>
      </w:r>
      <w:r w:rsidR="00CD75F5" w:rsidRPr="00427F9C">
        <w:t xml:space="preserve"> </w:t>
      </w:r>
      <w:r w:rsidRPr="00427F9C">
        <w:t>and staff for introductions, to confirm the scope of the audit, discuss the audit plan and how it will be conducted, and a brief introduction</w:t>
      </w:r>
      <w:r w:rsidR="007F250C">
        <w:t xml:space="preserve"> / </w:t>
      </w:r>
      <w:r w:rsidRPr="00427F9C">
        <w:t>familiarisation wi</w:t>
      </w:r>
      <w:r w:rsidR="00870903" w:rsidRPr="00427F9C">
        <w:t>th the</w:t>
      </w:r>
      <w:r w:rsidR="00427F9C" w:rsidRPr="00427F9C">
        <w:t xml:space="preserve"> personnel,</w:t>
      </w:r>
      <w:r w:rsidR="00870903" w:rsidRPr="00427F9C">
        <w:t xml:space="preserve"> plant and procedures</w:t>
      </w:r>
    </w:p>
    <w:p w14:paraId="70D5CFD7" w14:textId="0A81A7B2" w:rsidR="00870903" w:rsidRPr="00427F9C" w:rsidRDefault="0056603D" w:rsidP="00A963D2">
      <w:pPr>
        <w:pStyle w:val="Bullet1"/>
        <w:spacing w:after="0"/>
        <w:ind w:left="714" w:hanging="357"/>
      </w:pPr>
      <w:r>
        <w:t xml:space="preserve">The </w:t>
      </w:r>
      <w:r w:rsidR="00870903" w:rsidRPr="00427F9C">
        <w:t>confirmation of the scope of manufacture to be inspected (</w:t>
      </w:r>
      <w:r w:rsidR="00B1259E">
        <w:t xml:space="preserve">categories, </w:t>
      </w:r>
      <w:r w:rsidR="00870903" w:rsidRPr="00427F9C">
        <w:t>steps of manufacture, product types, licence conditions)</w:t>
      </w:r>
    </w:p>
    <w:p w14:paraId="559367A3" w14:textId="026FC054" w:rsidR="00870903" w:rsidRPr="00427F9C" w:rsidRDefault="0056603D" w:rsidP="00A963D2">
      <w:pPr>
        <w:pStyle w:val="Bullet1"/>
        <w:spacing w:after="0"/>
        <w:ind w:left="714" w:hanging="357"/>
      </w:pPr>
      <w:r w:rsidRPr="00427F9C">
        <w:t xml:space="preserve">A review of any changes in the company structure, quality management system, the </w:t>
      </w:r>
      <w:r w:rsidR="00870903" w:rsidRPr="00427F9C">
        <w:t>facility and/or key personnel since the last audit</w:t>
      </w:r>
    </w:p>
    <w:p w14:paraId="12FBADDC" w14:textId="5BE78747" w:rsidR="00870903" w:rsidRPr="00427F9C" w:rsidRDefault="0056603D" w:rsidP="00A963D2">
      <w:pPr>
        <w:pStyle w:val="Bullet1"/>
        <w:spacing w:after="0"/>
        <w:ind w:left="714" w:hanging="357"/>
      </w:pPr>
      <w:r w:rsidRPr="00427F9C">
        <w:lastRenderedPageBreak/>
        <w:t xml:space="preserve">A review of previous audit outcomes and steps taken to address </w:t>
      </w:r>
      <w:r w:rsidR="009214C9">
        <w:t xml:space="preserve">the </w:t>
      </w:r>
      <w:r w:rsidR="00870903" w:rsidRPr="00427F9C">
        <w:t>required corrective actions</w:t>
      </w:r>
    </w:p>
    <w:p w14:paraId="5C499C00" w14:textId="423C032B" w:rsidR="00870903" w:rsidRPr="00427F9C" w:rsidRDefault="0056603D" w:rsidP="00A963D2">
      <w:pPr>
        <w:pStyle w:val="Bullet1"/>
        <w:spacing w:after="0"/>
        <w:ind w:left="714" w:hanging="357"/>
      </w:pPr>
      <w:r w:rsidRPr="00427F9C">
        <w:t>Inspection of the facilities, procedures, records, etc</w:t>
      </w:r>
    </w:p>
    <w:p w14:paraId="0EF285FE" w14:textId="03028509" w:rsidR="00870903" w:rsidRPr="00427F9C" w:rsidRDefault="0056603D" w:rsidP="00A963D2">
      <w:pPr>
        <w:pStyle w:val="Bullet1"/>
        <w:spacing w:after="0"/>
        <w:ind w:left="714" w:hanging="357"/>
      </w:pPr>
      <w:r w:rsidRPr="00427F9C">
        <w:t xml:space="preserve">Confirmation with the </w:t>
      </w:r>
      <w:r w:rsidR="00CD75F5">
        <w:t>Licence Holder</w:t>
      </w:r>
      <w:r w:rsidR="00CD75F5" w:rsidRPr="00427F9C">
        <w:t xml:space="preserve"> </w:t>
      </w:r>
      <w:r w:rsidRPr="00427F9C">
        <w:t>during the audit abo</w:t>
      </w:r>
      <w:r w:rsidR="00870903" w:rsidRPr="00427F9C">
        <w:t>ut the relevance and accuracy of observed non-conformances</w:t>
      </w:r>
    </w:p>
    <w:p w14:paraId="090B1A86" w14:textId="2573BEBF" w:rsidR="00870903" w:rsidRPr="00427F9C" w:rsidRDefault="0056603D" w:rsidP="00A963D2">
      <w:pPr>
        <w:pStyle w:val="Bullet1"/>
        <w:spacing w:after="0"/>
        <w:ind w:left="714" w:hanging="357"/>
      </w:pPr>
      <w:r w:rsidRPr="00427F9C">
        <w:t>Preparation of a draft report (if practical)</w:t>
      </w:r>
    </w:p>
    <w:p w14:paraId="0A053178" w14:textId="3A0CB63D" w:rsidR="00870903" w:rsidRPr="00427F9C" w:rsidRDefault="0056603D" w:rsidP="00A963D2">
      <w:pPr>
        <w:pStyle w:val="Bullet1"/>
        <w:spacing w:after="0"/>
        <w:ind w:left="714" w:hanging="357"/>
      </w:pPr>
      <w:r w:rsidRPr="00427F9C">
        <w:t>An exit interview where all non-conformances are highlighted and options for corrective action(s) assessment are canvassed.</w:t>
      </w:r>
    </w:p>
    <w:p w14:paraId="04477135" w14:textId="4F51373C" w:rsidR="00870903" w:rsidRPr="00427F9C" w:rsidRDefault="00870903" w:rsidP="00A963D2">
      <w:pPr>
        <w:pStyle w:val="NormalText"/>
      </w:pPr>
      <w:r w:rsidRPr="00427F9C">
        <w:t xml:space="preserve">On completion of the audit, the auditor should hold an exit interview with the </w:t>
      </w:r>
      <w:r w:rsidR="00CD75F5">
        <w:t>Licence Holder</w:t>
      </w:r>
      <w:r w:rsidR="00CD75F5" w:rsidRPr="00427F9C">
        <w:t xml:space="preserve"> </w:t>
      </w:r>
      <w:r w:rsidRPr="00427F9C">
        <w:t xml:space="preserve">and staff to discuss the outcome of the audit. As part of that discussion, the auditor must identify the </w:t>
      </w:r>
      <w:r w:rsidR="004C005D">
        <w:t>Critical</w:t>
      </w:r>
      <w:r w:rsidRPr="00427F9C">
        <w:t xml:space="preserve"> non-conformances observed and discuss with the manufacturer various options, priorities and appropriate timelines for corrective action. M</w:t>
      </w:r>
      <w:r w:rsidR="00427F9C" w:rsidRPr="00427F9C">
        <w:t xml:space="preserve">ajor and </w:t>
      </w:r>
      <w:r w:rsidR="004C005D">
        <w:t>Minor</w:t>
      </w:r>
      <w:r w:rsidRPr="00427F9C">
        <w:t xml:space="preserve"> non-conformances</w:t>
      </w:r>
      <w:r w:rsidR="0097308D">
        <w:t>,</w:t>
      </w:r>
      <w:r w:rsidRPr="00427F9C">
        <w:t xml:space="preserve"> </w:t>
      </w:r>
      <w:r w:rsidR="00427F9C" w:rsidRPr="00427F9C">
        <w:t>as well and observations</w:t>
      </w:r>
      <w:r w:rsidR="007F250C">
        <w:t xml:space="preserve"> / </w:t>
      </w:r>
      <w:r w:rsidR="00427F9C" w:rsidRPr="00427F9C">
        <w:t>areas for improvement</w:t>
      </w:r>
      <w:r w:rsidR="0097308D">
        <w:t>,</w:t>
      </w:r>
      <w:r w:rsidR="00427F9C" w:rsidRPr="00427F9C">
        <w:t xml:space="preserve"> </w:t>
      </w:r>
      <w:r w:rsidRPr="00427F9C">
        <w:t xml:space="preserve">should also be highlighted to the </w:t>
      </w:r>
      <w:r w:rsidR="00CD75F5">
        <w:t>Licence Holder</w:t>
      </w:r>
      <w:r w:rsidRPr="00427F9C">
        <w:t>. The auditor is encouraged to provide positive feedback regarding compliance as well as identifying any non-conformances.</w:t>
      </w:r>
      <w:r w:rsidR="00CD75F5">
        <w:t xml:space="preserve"> </w:t>
      </w:r>
    </w:p>
    <w:p w14:paraId="3CE8C0A5" w14:textId="5862F3D5" w:rsidR="00870903" w:rsidRPr="00427F9C" w:rsidRDefault="00317574" w:rsidP="0056603D">
      <w:pPr>
        <w:pStyle w:val="Heading3"/>
      </w:pPr>
      <w:bookmarkStart w:id="79" w:name="_Toc145432930"/>
      <w:bookmarkStart w:id="80" w:name="_Toc145606320"/>
      <w:bookmarkStart w:id="81" w:name="_Toc160083864"/>
      <w:r>
        <w:t>L</w:t>
      </w:r>
      <w:r w:rsidR="00870903" w:rsidRPr="0056603D">
        <w:t>anguage</w:t>
      </w:r>
      <w:bookmarkEnd w:id="79"/>
      <w:bookmarkEnd w:id="80"/>
      <w:r>
        <w:t xml:space="preserve"> and translation</w:t>
      </w:r>
      <w:bookmarkEnd w:id="81"/>
    </w:p>
    <w:p w14:paraId="32B795FF" w14:textId="176FDC23" w:rsidR="00870903" w:rsidRPr="0056603D" w:rsidRDefault="00870903" w:rsidP="0056603D">
      <w:pPr>
        <w:pStyle w:val="NormalText"/>
      </w:pPr>
      <w:r w:rsidRPr="0056603D">
        <w:t xml:space="preserve">Audits </w:t>
      </w:r>
      <w:r w:rsidR="005B5F94">
        <w:t>will b</w:t>
      </w:r>
      <w:r w:rsidRPr="0056603D">
        <w:t xml:space="preserve">e conducted in English. If </w:t>
      </w:r>
      <w:r w:rsidR="00E02ECB">
        <w:t xml:space="preserve">the APVMA </w:t>
      </w:r>
      <w:r w:rsidRPr="0056603D">
        <w:t>need</w:t>
      </w:r>
      <w:r w:rsidR="00E02ECB">
        <w:t>s</w:t>
      </w:r>
      <w:r w:rsidRPr="0056603D">
        <w:t xml:space="preserve"> to talk to people who cannot speak or understand English</w:t>
      </w:r>
      <w:r w:rsidR="00D0657B">
        <w:t>,</w:t>
      </w:r>
      <w:r w:rsidRPr="0056603D">
        <w:t xml:space="preserve"> </w:t>
      </w:r>
      <w:r w:rsidR="0097308D">
        <w:t>the Licence Holder</w:t>
      </w:r>
      <w:r w:rsidRPr="0056603D">
        <w:t xml:space="preserve"> will need to:</w:t>
      </w:r>
    </w:p>
    <w:p w14:paraId="48022FD4" w14:textId="3A236165" w:rsidR="00870903" w:rsidRPr="0056603D" w:rsidRDefault="0056603D" w:rsidP="0056603D">
      <w:pPr>
        <w:pStyle w:val="Bullet1"/>
        <w:spacing w:after="0"/>
        <w:ind w:left="714" w:hanging="357"/>
      </w:pPr>
      <w:r w:rsidRPr="0056603D">
        <w:t>Provide</w:t>
      </w:r>
      <w:r w:rsidR="00870903" w:rsidRPr="0056603D">
        <w:t xml:space="preserve"> a guide with some technical understanding who can act as a translator</w:t>
      </w:r>
    </w:p>
    <w:p w14:paraId="500D5E11" w14:textId="66BBA81E" w:rsidR="00870903" w:rsidRDefault="0056603D" w:rsidP="0056603D">
      <w:pPr>
        <w:pStyle w:val="Bullet1"/>
        <w:spacing w:after="0"/>
        <w:ind w:left="714" w:hanging="357"/>
      </w:pPr>
      <w:r w:rsidRPr="0056603D">
        <w:t>Translate</w:t>
      </w:r>
      <w:r w:rsidR="00870903" w:rsidRPr="0056603D">
        <w:t xml:space="preserve"> any documents that </w:t>
      </w:r>
      <w:r w:rsidR="00E02ECB">
        <w:t>the APVMA</w:t>
      </w:r>
      <w:r w:rsidR="00870903" w:rsidRPr="0056603D">
        <w:t xml:space="preserve"> request</w:t>
      </w:r>
      <w:r w:rsidR="00E02ECB">
        <w:t>s</w:t>
      </w:r>
      <w:r w:rsidR="00870903" w:rsidRPr="0056603D">
        <w:t xml:space="preserve"> into </w:t>
      </w:r>
      <w:r>
        <w:t>E</w:t>
      </w:r>
      <w:r w:rsidRPr="0056603D">
        <w:t>nglish</w:t>
      </w:r>
      <w:r>
        <w:t>.</w:t>
      </w:r>
    </w:p>
    <w:p w14:paraId="469BDA56" w14:textId="77777777" w:rsidR="00154DE6" w:rsidRDefault="00154DE6" w:rsidP="00154DE6">
      <w:pPr>
        <w:pStyle w:val="NormalText"/>
      </w:pPr>
    </w:p>
    <w:tbl>
      <w:tblPr>
        <w:tblStyle w:val="TableGrid"/>
        <w:tblW w:w="0" w:type="auto"/>
        <w:tblLook w:val="04A0" w:firstRow="1" w:lastRow="0" w:firstColumn="1" w:lastColumn="0" w:noHBand="0" w:noVBand="1"/>
      </w:tblPr>
      <w:tblGrid>
        <w:gridCol w:w="1413"/>
        <w:gridCol w:w="8216"/>
      </w:tblGrid>
      <w:tr w:rsidR="00154DE6" w14:paraId="70C1EA3C" w14:textId="77777777" w:rsidTr="005E08E2">
        <w:tc>
          <w:tcPr>
            <w:tcW w:w="1413" w:type="dxa"/>
            <w:vAlign w:val="center"/>
          </w:tcPr>
          <w:p w14:paraId="6943C4BA" w14:textId="77777777" w:rsidR="00154DE6" w:rsidRDefault="00154DE6" w:rsidP="005E08E2">
            <w:pPr>
              <w:pStyle w:val="NormalText"/>
              <w:spacing w:before="60" w:after="60" w:line="240" w:lineRule="auto"/>
              <w:jc w:val="center"/>
            </w:pPr>
            <w:r>
              <w:rPr>
                <w:noProof/>
              </w:rPr>
              <w:drawing>
                <wp:inline distT="0" distB="0" distL="0" distR="0" wp14:anchorId="5A43E327" wp14:editId="796E239C">
                  <wp:extent cx="485714" cy="485714"/>
                  <wp:effectExtent l="0" t="0" r="0" b="0"/>
                  <wp:docPr id="18" name="Picture 18" descr="A white letter in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white letter in a black circle&#10;&#10;Description automatically generated"/>
                          <pic:cNvPicPr/>
                        </pic:nvPicPr>
                        <pic:blipFill>
                          <a:blip r:embed="rId32"/>
                          <a:stretch>
                            <a:fillRect/>
                          </a:stretch>
                        </pic:blipFill>
                        <pic:spPr>
                          <a:xfrm>
                            <a:off x="0" y="0"/>
                            <a:ext cx="485714" cy="485714"/>
                          </a:xfrm>
                          <a:prstGeom prst="rect">
                            <a:avLst/>
                          </a:prstGeom>
                        </pic:spPr>
                      </pic:pic>
                    </a:graphicData>
                  </a:graphic>
                </wp:inline>
              </w:drawing>
            </w:r>
          </w:p>
        </w:tc>
        <w:tc>
          <w:tcPr>
            <w:tcW w:w="8216" w:type="dxa"/>
            <w:shd w:val="clear" w:color="auto" w:fill="F2F2F2" w:themeFill="background1" w:themeFillShade="F2"/>
            <w:vAlign w:val="center"/>
          </w:tcPr>
          <w:p w14:paraId="72F77BAA" w14:textId="53F908C0" w:rsidR="00154DE6" w:rsidRDefault="00154DE6" w:rsidP="00154DE6">
            <w:pPr>
              <w:pStyle w:val="NormalText"/>
              <w:spacing w:before="60" w:after="60"/>
              <w:jc w:val="both"/>
            </w:pPr>
            <w:r w:rsidRPr="00154DE6">
              <w:rPr>
                <w:b/>
                <w:bCs/>
              </w:rPr>
              <w:t>The translator</w:t>
            </w:r>
            <w:r>
              <w:t xml:space="preserve">: </w:t>
            </w:r>
          </w:p>
          <w:p w14:paraId="67DEFDF7" w14:textId="3BA5A832" w:rsidR="00154DE6" w:rsidRDefault="00154DE6" w:rsidP="00154DE6">
            <w:pPr>
              <w:pStyle w:val="NormalText"/>
              <w:spacing w:before="60" w:after="60" w:line="240" w:lineRule="auto"/>
              <w:jc w:val="both"/>
            </w:pPr>
            <w:r>
              <w:t xml:space="preserve">Please ensure the translator can translate technical language. The translator needs to be able to translate a technical question asked by the auditor in English into </w:t>
            </w:r>
            <w:r w:rsidR="007B77B3">
              <w:t xml:space="preserve">the relevant </w:t>
            </w:r>
            <w:r>
              <w:t xml:space="preserve">language, as well as translate technical information into English. </w:t>
            </w:r>
            <w:r w:rsidR="007B77B3">
              <w:t>The a</w:t>
            </w:r>
            <w:r>
              <w:t xml:space="preserve">uditor may terminate the audit if </w:t>
            </w:r>
            <w:r w:rsidR="00E02ECB">
              <w:t>they</w:t>
            </w:r>
            <w:r>
              <w:t xml:space="preserve"> cannot communicate effectively or </w:t>
            </w:r>
            <w:r w:rsidR="007B77B3">
              <w:t xml:space="preserve">if the </w:t>
            </w:r>
            <w:r>
              <w:t>provided documents are not in English. If the information cannot be properly translated to the auditor, this may adversely affect the inspection outcome.</w:t>
            </w:r>
          </w:p>
        </w:tc>
      </w:tr>
    </w:tbl>
    <w:p w14:paraId="0AD48FFC" w14:textId="5F5413F5" w:rsidR="00870903" w:rsidRPr="0056603D" w:rsidRDefault="00870903" w:rsidP="0056603D">
      <w:pPr>
        <w:pStyle w:val="NormalText"/>
      </w:pPr>
      <w:r w:rsidRPr="0056603D">
        <w:t xml:space="preserve">The </w:t>
      </w:r>
      <w:r w:rsidR="00CD75F5">
        <w:t>Licence Holder</w:t>
      </w:r>
      <w:r w:rsidR="00CD75F5" w:rsidRPr="0056603D">
        <w:t xml:space="preserve"> </w:t>
      </w:r>
      <w:r w:rsidR="005B5F94">
        <w:t>may</w:t>
      </w:r>
      <w:r w:rsidRPr="0056603D">
        <w:t xml:space="preserve"> also appoint observers.</w:t>
      </w:r>
    </w:p>
    <w:p w14:paraId="0FCDA3B9" w14:textId="0BA27D6F" w:rsidR="00870903" w:rsidRPr="00427F9C" w:rsidRDefault="00317574" w:rsidP="0056603D">
      <w:pPr>
        <w:pStyle w:val="Heading3"/>
      </w:pPr>
      <w:bookmarkStart w:id="82" w:name="_Toc145432931"/>
      <w:bookmarkStart w:id="83" w:name="_Toc145606321"/>
      <w:bookmarkStart w:id="84" w:name="_Toc160083865"/>
      <w:r>
        <w:t>Preliminary identification of n</w:t>
      </w:r>
      <w:r w:rsidR="00870903" w:rsidRPr="0056603D">
        <w:t>on-conformances</w:t>
      </w:r>
      <w:bookmarkEnd w:id="82"/>
      <w:bookmarkEnd w:id="83"/>
      <w:bookmarkEnd w:id="84"/>
    </w:p>
    <w:p w14:paraId="28D8C4E7" w14:textId="76ABFAB5" w:rsidR="00154DE6" w:rsidRDefault="00DA0FD0" w:rsidP="0056603D">
      <w:pPr>
        <w:pStyle w:val="NormalText"/>
      </w:pPr>
      <w:r>
        <w:t>The a</w:t>
      </w:r>
      <w:r w:rsidR="00870903" w:rsidRPr="0056603D">
        <w:t xml:space="preserve">uditor will inform </w:t>
      </w:r>
      <w:r w:rsidR="000D29E4">
        <w:t>the Licence Holder</w:t>
      </w:r>
      <w:r w:rsidR="000D29E4" w:rsidRPr="0056603D">
        <w:t xml:space="preserve"> </w:t>
      </w:r>
      <w:r w:rsidR="00870903" w:rsidRPr="0056603D">
        <w:t xml:space="preserve">of all potential non-conformances that </w:t>
      </w:r>
      <w:r w:rsidR="004C005D">
        <w:t>have been</w:t>
      </w:r>
      <w:r w:rsidR="00870903" w:rsidRPr="0056603D">
        <w:t xml:space="preserve"> observed and </w:t>
      </w:r>
      <w:r w:rsidR="004C005D">
        <w:t xml:space="preserve">will </w:t>
      </w:r>
      <w:r w:rsidR="00870903" w:rsidRPr="0056603D">
        <w:t xml:space="preserve">give </w:t>
      </w:r>
      <w:r w:rsidR="000D29E4">
        <w:t>the Licence Holder</w:t>
      </w:r>
      <w:r w:rsidR="00870903" w:rsidRPr="0056603D">
        <w:t xml:space="preserve"> an opportunity to provide any additional relevant information.</w:t>
      </w:r>
    </w:p>
    <w:tbl>
      <w:tblPr>
        <w:tblStyle w:val="TableGrid"/>
        <w:tblW w:w="0" w:type="auto"/>
        <w:tblLook w:val="04A0" w:firstRow="1" w:lastRow="0" w:firstColumn="1" w:lastColumn="0" w:noHBand="0" w:noVBand="1"/>
      </w:tblPr>
      <w:tblGrid>
        <w:gridCol w:w="1413"/>
        <w:gridCol w:w="8216"/>
      </w:tblGrid>
      <w:tr w:rsidR="00154DE6" w14:paraId="61FA7079" w14:textId="77777777" w:rsidTr="005E08E2">
        <w:tc>
          <w:tcPr>
            <w:tcW w:w="1413" w:type="dxa"/>
            <w:vAlign w:val="center"/>
          </w:tcPr>
          <w:p w14:paraId="1D5F17F4" w14:textId="77777777" w:rsidR="00154DE6" w:rsidRDefault="00154DE6" w:rsidP="005E08E2">
            <w:pPr>
              <w:pStyle w:val="NormalText"/>
              <w:spacing w:before="60" w:after="60" w:line="240" w:lineRule="auto"/>
              <w:jc w:val="center"/>
            </w:pPr>
            <w:r>
              <w:rPr>
                <w:noProof/>
              </w:rPr>
              <w:drawing>
                <wp:inline distT="0" distB="0" distL="0" distR="0" wp14:anchorId="5FB9ABB8" wp14:editId="70FDA2E8">
                  <wp:extent cx="485714" cy="485714"/>
                  <wp:effectExtent l="0" t="0" r="0" b="0"/>
                  <wp:docPr id="19" name="Picture 19" descr="A white letter in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white letter in a black circle&#10;&#10;Description automatically generated"/>
                          <pic:cNvPicPr/>
                        </pic:nvPicPr>
                        <pic:blipFill>
                          <a:blip r:embed="rId32"/>
                          <a:stretch>
                            <a:fillRect/>
                          </a:stretch>
                        </pic:blipFill>
                        <pic:spPr>
                          <a:xfrm>
                            <a:off x="0" y="0"/>
                            <a:ext cx="485714" cy="485714"/>
                          </a:xfrm>
                          <a:prstGeom prst="rect">
                            <a:avLst/>
                          </a:prstGeom>
                        </pic:spPr>
                      </pic:pic>
                    </a:graphicData>
                  </a:graphic>
                </wp:inline>
              </w:drawing>
            </w:r>
          </w:p>
        </w:tc>
        <w:tc>
          <w:tcPr>
            <w:tcW w:w="8216" w:type="dxa"/>
            <w:shd w:val="clear" w:color="auto" w:fill="F2F2F2" w:themeFill="background1" w:themeFillShade="F2"/>
            <w:vAlign w:val="center"/>
          </w:tcPr>
          <w:p w14:paraId="3C7EA7DC" w14:textId="4B9FAA37" w:rsidR="00154DE6" w:rsidRDefault="00154DE6" w:rsidP="005E08E2">
            <w:pPr>
              <w:pStyle w:val="NormalText"/>
              <w:spacing w:before="60" w:after="60" w:line="240" w:lineRule="auto"/>
              <w:jc w:val="both"/>
            </w:pPr>
            <w:r w:rsidRPr="00154DE6">
              <w:t xml:space="preserve">If </w:t>
            </w:r>
            <w:r w:rsidR="004C005D">
              <w:t xml:space="preserve">the </w:t>
            </w:r>
            <w:r w:rsidRPr="00154DE6">
              <w:t xml:space="preserve">auditor notifies </w:t>
            </w:r>
            <w:r w:rsidR="000D29E4">
              <w:t>the Licence Holder</w:t>
            </w:r>
            <w:r w:rsidRPr="00154DE6">
              <w:t xml:space="preserve"> of an observed non-conformance, </w:t>
            </w:r>
            <w:r w:rsidR="004C005D">
              <w:t xml:space="preserve">the </w:t>
            </w:r>
            <w:r w:rsidR="000D29E4">
              <w:t>Licence Holder</w:t>
            </w:r>
            <w:r w:rsidR="000D29E4" w:rsidRPr="00154DE6">
              <w:t xml:space="preserve"> </w:t>
            </w:r>
            <w:r w:rsidRPr="00154DE6">
              <w:t xml:space="preserve">can provide additional information for the auditor to review. </w:t>
            </w:r>
            <w:r w:rsidR="004C005D">
              <w:t xml:space="preserve">However, if the </w:t>
            </w:r>
            <w:r w:rsidR="000D29E4">
              <w:t>Licence Holder</w:t>
            </w:r>
            <w:r w:rsidR="000D29E4" w:rsidRPr="00154DE6">
              <w:t xml:space="preserve"> </w:t>
            </w:r>
            <w:r w:rsidRPr="00154DE6">
              <w:t>ha</w:t>
            </w:r>
            <w:r w:rsidR="004C005D">
              <w:t xml:space="preserve">s </w:t>
            </w:r>
            <w:r w:rsidRPr="00154DE6">
              <w:t xml:space="preserve">additional information, </w:t>
            </w:r>
            <w:r w:rsidR="004C005D">
              <w:t xml:space="preserve">the </w:t>
            </w:r>
            <w:r w:rsidR="000D29E4">
              <w:t>APVMA</w:t>
            </w:r>
            <w:r w:rsidRPr="00154DE6">
              <w:t xml:space="preserve"> </w:t>
            </w:r>
            <w:r w:rsidR="004C005D">
              <w:t xml:space="preserve">preference is that this is provided to the </w:t>
            </w:r>
            <w:r w:rsidR="000D29E4">
              <w:t xml:space="preserve">auditor </w:t>
            </w:r>
            <w:r w:rsidRPr="00154DE6">
              <w:t>during the audit.</w:t>
            </w:r>
          </w:p>
        </w:tc>
      </w:tr>
    </w:tbl>
    <w:p w14:paraId="078D3129" w14:textId="1EB9C30B" w:rsidR="005B414F" w:rsidRDefault="005B414F" w:rsidP="0068425F">
      <w:pPr>
        <w:pStyle w:val="Heading3"/>
      </w:pPr>
      <w:bookmarkStart w:id="85" w:name="_Toc160083866"/>
      <w:r w:rsidRPr="005B414F">
        <w:lastRenderedPageBreak/>
        <w:t xml:space="preserve">Notification of </w:t>
      </w:r>
      <w:r w:rsidR="00317574">
        <w:t>c</w:t>
      </w:r>
      <w:r w:rsidRPr="005B414F">
        <w:t xml:space="preserve">ompleted Audit </w:t>
      </w:r>
      <w:r w:rsidR="00317574">
        <w:t>f</w:t>
      </w:r>
      <w:r w:rsidR="006E5DEB">
        <w:t xml:space="preserve">orm </w:t>
      </w:r>
      <w:r>
        <w:t xml:space="preserve">and </w:t>
      </w:r>
      <w:r w:rsidR="00317574">
        <w:t xml:space="preserve">the </w:t>
      </w:r>
      <w:r>
        <w:t>GMP Audit Report</w:t>
      </w:r>
      <w:bookmarkEnd w:id="85"/>
    </w:p>
    <w:p w14:paraId="248F009C" w14:textId="68D0CF6A" w:rsidR="00C94AC3" w:rsidRPr="00427F9C" w:rsidRDefault="00C94AC3" w:rsidP="00C94AC3">
      <w:pPr>
        <w:pStyle w:val="NormalText"/>
      </w:pPr>
      <w:r w:rsidRPr="00427F9C">
        <w:t>The auditor must use approved, current versions of audit documents, in the standardised format, as provided by the APVMA.</w:t>
      </w:r>
      <w:r>
        <w:t xml:space="preserve"> </w:t>
      </w:r>
      <w:r w:rsidRPr="00427F9C">
        <w:t>Audit documents to be completed</w:t>
      </w:r>
      <w:r w:rsidR="002B5BB8">
        <w:t xml:space="preserve"> </w:t>
      </w:r>
      <w:r w:rsidRPr="00427F9C">
        <w:t xml:space="preserve">by the </w:t>
      </w:r>
      <w:r w:rsidRPr="00756F92">
        <w:t>auditor</w:t>
      </w:r>
      <w:r w:rsidRPr="00427F9C">
        <w:t xml:space="preserve"> include:</w:t>
      </w:r>
    </w:p>
    <w:p w14:paraId="1D173844" w14:textId="3C5DDF1E" w:rsidR="00C94AC3" w:rsidRPr="00427F9C" w:rsidRDefault="00C94AC3" w:rsidP="00C94AC3">
      <w:pPr>
        <w:pStyle w:val="Bullet1"/>
        <w:spacing w:after="0"/>
        <w:ind w:left="714" w:hanging="357"/>
      </w:pPr>
      <w:r>
        <w:t xml:space="preserve">The </w:t>
      </w:r>
      <w:hyperlink r:id="rId51" w:history="1">
        <w:r w:rsidRPr="00B605FB">
          <w:rPr>
            <w:rStyle w:val="Hyperlink"/>
          </w:rPr>
          <w:t>Notification of Completed Audit form</w:t>
        </w:r>
      </w:hyperlink>
      <w:r w:rsidRPr="00427F9C">
        <w:t xml:space="preserve"> (</w:t>
      </w:r>
      <w:hyperlink r:id="rId52" w:history="1">
        <w:r w:rsidRPr="0056603D">
          <w:t>FM_MQL06</w:t>
        </w:r>
      </w:hyperlink>
      <w:r w:rsidRPr="00427F9C">
        <w:t>), within three (3) working days of audit completion (</w:t>
      </w:r>
      <w:r w:rsidRPr="0056603D">
        <w:t xml:space="preserve">24 hours where </w:t>
      </w:r>
      <w:r w:rsidR="004C005D">
        <w:t>Critical</w:t>
      </w:r>
      <w:r w:rsidRPr="0056603D">
        <w:t xml:space="preserve"> non-conformances are observed</w:t>
      </w:r>
      <w:r w:rsidRPr="00427F9C">
        <w:t>).</w:t>
      </w:r>
    </w:p>
    <w:p w14:paraId="1ED64925" w14:textId="189AEACD" w:rsidR="00C94AC3" w:rsidRPr="00427F9C" w:rsidRDefault="00C94AC3" w:rsidP="00C94AC3">
      <w:pPr>
        <w:pStyle w:val="Bullet1"/>
        <w:spacing w:after="0"/>
        <w:ind w:left="714" w:hanging="357"/>
      </w:pPr>
      <w:r>
        <w:t xml:space="preserve">The </w:t>
      </w:r>
      <w:hyperlink r:id="rId53" w:history="1">
        <w:r w:rsidRPr="00B605FB">
          <w:rPr>
            <w:rStyle w:val="Hyperlink"/>
          </w:rPr>
          <w:t>GMP Audit Report</w:t>
        </w:r>
      </w:hyperlink>
      <w:r w:rsidRPr="00427F9C">
        <w:t xml:space="preserve"> (</w:t>
      </w:r>
      <w:hyperlink r:id="rId54" w:history="1">
        <w:r w:rsidRPr="0056603D">
          <w:t>FM_MQL05</w:t>
        </w:r>
      </w:hyperlink>
      <w:r w:rsidRPr="00427F9C">
        <w:t>), within ten (10) working days of audit completion.</w:t>
      </w:r>
    </w:p>
    <w:p w14:paraId="1DC0CC03" w14:textId="77777777" w:rsidR="00C94AC3" w:rsidRPr="00427F9C" w:rsidRDefault="00C94AC3" w:rsidP="00C94AC3">
      <w:pPr>
        <w:pStyle w:val="Bullet1"/>
        <w:spacing w:after="0"/>
        <w:ind w:left="714" w:hanging="357"/>
      </w:pPr>
      <w:r>
        <w:t>The GMP Audit Report</w:t>
      </w:r>
      <w:r w:rsidRPr="00427F9C">
        <w:t xml:space="preserve"> supplements for annexes 1 to 6 to (as required), within ten (10) working days of audit completion.</w:t>
      </w:r>
      <w:r>
        <w:t xml:space="preserve"> </w:t>
      </w:r>
    </w:p>
    <w:p w14:paraId="085F5214" w14:textId="6ABC894D" w:rsidR="00C94AC3" w:rsidRPr="00427F9C" w:rsidRDefault="00C94AC3" w:rsidP="00C94AC3">
      <w:pPr>
        <w:pStyle w:val="NormalText"/>
      </w:pPr>
      <w:r w:rsidRPr="00427F9C">
        <w:t xml:space="preserve">The auditor must complete and forward a </w:t>
      </w:r>
      <w:r w:rsidRPr="00B605FB">
        <w:t>Notification of Completed Audit form</w:t>
      </w:r>
      <w:r>
        <w:t xml:space="preserve"> to the</w:t>
      </w:r>
      <w:r w:rsidRPr="00427F9C">
        <w:t xml:space="preserve"> APVMA </w:t>
      </w:r>
      <w:r w:rsidRPr="005B414F">
        <w:rPr>
          <w:b/>
          <w:bCs/>
        </w:rPr>
        <w:t>within three working days of completion of the audit</w:t>
      </w:r>
      <w:r>
        <w:t xml:space="preserve">. </w:t>
      </w:r>
      <w:r w:rsidRPr="00427F9C">
        <w:t xml:space="preserve">Where </w:t>
      </w:r>
      <w:r w:rsidR="005B414F">
        <w:t xml:space="preserve">Critical </w:t>
      </w:r>
      <w:r w:rsidRPr="00427F9C">
        <w:t>non-conformances have been identified, this form must be submitted to the APVMA within 24 hours of the audit. If additional comments are warranted</w:t>
      </w:r>
      <w:r>
        <w:t>,</w:t>
      </w:r>
      <w:r w:rsidRPr="00427F9C">
        <w:t xml:space="preserve"> they can be provided as a covering letter</w:t>
      </w:r>
      <w:r>
        <w:t xml:space="preserve">. </w:t>
      </w:r>
      <w:r w:rsidRPr="00427F9C">
        <w:t>The form should be uploaded to Objective Connect (preferred)</w:t>
      </w:r>
      <w:r>
        <w:t xml:space="preserve"> </w:t>
      </w:r>
      <w:r w:rsidRPr="00427F9C">
        <w:t>or</w:t>
      </w:r>
      <w:r>
        <w:t xml:space="preserve"> sent to the APVMA by </w:t>
      </w:r>
      <w:r w:rsidRPr="00427F9C">
        <w:t>email</w:t>
      </w:r>
      <w:r>
        <w:t xml:space="preserve">. </w:t>
      </w:r>
    </w:p>
    <w:p w14:paraId="4BDC8B94" w14:textId="13D28D10" w:rsidR="00C94AC3" w:rsidRPr="00427F9C" w:rsidRDefault="00C94AC3" w:rsidP="00C94AC3">
      <w:pPr>
        <w:pStyle w:val="NormalText"/>
      </w:pPr>
      <w:r w:rsidRPr="00427F9C">
        <w:t xml:space="preserve">The auditor must provide the </w:t>
      </w:r>
      <w:r>
        <w:t>Licence Holder</w:t>
      </w:r>
      <w:r w:rsidRPr="00427F9C">
        <w:t xml:space="preserve"> with the </w:t>
      </w:r>
      <w:r w:rsidRPr="00B605FB">
        <w:t>GMP Audit Report</w:t>
      </w:r>
      <w:r w:rsidRPr="00427F9C">
        <w:t xml:space="preserve"> and any associated documents (e.g. report supplements for annexes, product audit checklists) </w:t>
      </w:r>
      <w:r w:rsidRPr="00756F92">
        <w:t>within</w:t>
      </w:r>
      <w:r w:rsidRPr="00427F9C">
        <w:t xml:space="preserve"> </w:t>
      </w:r>
      <w:r w:rsidRPr="00756F92">
        <w:t xml:space="preserve">10 working days </w:t>
      </w:r>
      <w:r w:rsidR="00143836">
        <w:t xml:space="preserve">(2 calendar weeks) </w:t>
      </w:r>
      <w:r w:rsidRPr="00756F92">
        <w:t>of the last day of the audit</w:t>
      </w:r>
      <w:r>
        <w:t xml:space="preserve">. </w:t>
      </w:r>
      <w:r w:rsidRPr="00427F9C">
        <w:t xml:space="preserve">A copy of the </w:t>
      </w:r>
      <w:r>
        <w:t>GMP Audit Report</w:t>
      </w:r>
      <w:r w:rsidRPr="00427F9C">
        <w:t xml:space="preserve"> and associated documents are to be submitted to the APVMA by the auditor at the same time </w:t>
      </w:r>
      <w:r>
        <w:t xml:space="preserve">through Objective Connect (preferred) or sent to the APVMA </w:t>
      </w:r>
      <w:r w:rsidRPr="00427F9C">
        <w:t>by email.</w:t>
      </w:r>
    </w:p>
    <w:p w14:paraId="66E37D16" w14:textId="77777777" w:rsidR="00C94AC3" w:rsidRPr="00427F9C" w:rsidRDefault="00C94AC3" w:rsidP="00C94AC3">
      <w:pPr>
        <w:pStyle w:val="NormalText"/>
      </w:pPr>
      <w:r w:rsidRPr="00427F9C">
        <w:t xml:space="preserve">Auditors should note that the </w:t>
      </w:r>
      <w:r>
        <w:t>GMP Audit Report</w:t>
      </w:r>
      <w:r w:rsidRPr="00427F9C">
        <w:t xml:space="preserve"> has four (4) sections:</w:t>
      </w:r>
    </w:p>
    <w:p w14:paraId="4042AA68" w14:textId="4AAE7A6A" w:rsidR="00C94AC3" w:rsidRPr="00427F9C" w:rsidRDefault="00C94AC3" w:rsidP="00C94AC3">
      <w:pPr>
        <w:pStyle w:val="Bullet1"/>
        <w:spacing w:after="0"/>
        <w:ind w:left="714" w:hanging="357"/>
      </w:pPr>
      <w:r w:rsidRPr="001B26CB">
        <w:rPr>
          <w:b/>
          <w:bCs/>
        </w:rPr>
        <w:t>Manufacturer and audit details</w:t>
      </w:r>
      <w:r w:rsidRPr="00427F9C">
        <w:t>: details of the manufacturer, facility and key audit information.</w:t>
      </w:r>
    </w:p>
    <w:p w14:paraId="58902375" w14:textId="3411A085" w:rsidR="00C94AC3" w:rsidRPr="00427F9C" w:rsidRDefault="00C94AC3" w:rsidP="00C94AC3">
      <w:pPr>
        <w:pStyle w:val="Bullet1"/>
        <w:spacing w:after="0"/>
        <w:ind w:left="714" w:hanging="357"/>
      </w:pPr>
      <w:r w:rsidRPr="001B26CB">
        <w:rPr>
          <w:b/>
          <w:bCs/>
        </w:rPr>
        <w:t>Compliance report</w:t>
      </w:r>
      <w:r w:rsidRPr="00427F9C">
        <w:t>: should contain sufficient detail, based on the observations made, to allow the APVMA to make an informed licensing decision.</w:t>
      </w:r>
    </w:p>
    <w:p w14:paraId="2CAD2AE1" w14:textId="15BC7992" w:rsidR="00C94AC3" w:rsidRPr="00427F9C" w:rsidRDefault="00C94AC3" w:rsidP="00C94AC3">
      <w:pPr>
        <w:pStyle w:val="Bullet1"/>
        <w:spacing w:after="0"/>
        <w:ind w:left="714" w:hanging="357"/>
      </w:pPr>
      <w:r w:rsidRPr="001B26CB">
        <w:rPr>
          <w:b/>
          <w:bCs/>
        </w:rPr>
        <w:t>Non-conformances identified</w:t>
      </w:r>
      <w:r w:rsidRPr="00427F9C">
        <w:t xml:space="preserve">: lists </w:t>
      </w:r>
      <w:r w:rsidR="004C005D">
        <w:t>Minor</w:t>
      </w:r>
      <w:r w:rsidRPr="00427F9C">
        <w:t xml:space="preserve">, </w:t>
      </w:r>
      <w:r w:rsidR="004C005D">
        <w:t>Major</w:t>
      </w:r>
      <w:r w:rsidRPr="00427F9C">
        <w:t xml:space="preserve"> and </w:t>
      </w:r>
      <w:r w:rsidR="004C005D">
        <w:t>Critical</w:t>
      </w:r>
      <w:r w:rsidRPr="00427F9C">
        <w:t xml:space="preserve"> non-conformances identified in detail and close-out requirements (desk or verification audit and due dates); estimate of audit rating from non-conformance score</w:t>
      </w:r>
    </w:p>
    <w:p w14:paraId="0A52B862" w14:textId="77777777" w:rsidR="00C94AC3" w:rsidRPr="00427F9C" w:rsidRDefault="00C94AC3" w:rsidP="00C94AC3">
      <w:pPr>
        <w:pStyle w:val="Bullet1"/>
        <w:numPr>
          <w:ilvl w:val="1"/>
          <w:numId w:val="16"/>
        </w:numPr>
        <w:spacing w:after="0"/>
      </w:pPr>
      <w:r w:rsidRPr="00427F9C">
        <w:t xml:space="preserve">Non-conformances must be accurately classified and clearly written in a way which would allow the </w:t>
      </w:r>
      <w:r>
        <w:t>Licence Holder</w:t>
      </w:r>
      <w:r w:rsidRPr="00427F9C">
        <w:t xml:space="preserve">, the APVMA and/or another auditor to identify what was non-compliant. They should also be written in a way which would allow another auditor to review and confirm the corrective actions at a subsequent audit. </w:t>
      </w:r>
    </w:p>
    <w:p w14:paraId="22783563" w14:textId="301DF5E6" w:rsidR="00C94AC3" w:rsidRPr="00427F9C" w:rsidRDefault="00C94AC3" w:rsidP="00C94AC3">
      <w:pPr>
        <w:pStyle w:val="Bullet1"/>
        <w:numPr>
          <w:ilvl w:val="1"/>
          <w:numId w:val="16"/>
        </w:numPr>
        <w:spacing w:after="0"/>
      </w:pPr>
      <w:r w:rsidRPr="00427F9C">
        <w:t>Each non-conformance must be assigned an identifying reference number</w:t>
      </w:r>
      <w:r w:rsidR="002B5BB8">
        <w:t>,</w:t>
      </w:r>
      <w:r w:rsidRPr="00427F9C">
        <w:t xml:space="preserve"> and the </w:t>
      </w:r>
      <w:r w:rsidRPr="00A936AB">
        <w:t>relevant</w:t>
      </w:r>
      <w:r w:rsidRPr="00427F9C">
        <w:t xml:space="preserve"> GMP code clause or</w:t>
      </w:r>
      <w:r w:rsidR="005B414F">
        <w:t xml:space="preserve"> Manufacturing Principle</w:t>
      </w:r>
      <w:r w:rsidRPr="00427F9C">
        <w:t xml:space="preserve"> must be cited</w:t>
      </w:r>
      <w:r>
        <w:t>. T</w:t>
      </w:r>
      <w:r w:rsidRPr="00427F9C">
        <w:t xml:space="preserve">he </w:t>
      </w:r>
      <w:r w:rsidRPr="00756F92">
        <w:t>most relevant</w:t>
      </w:r>
      <w:r w:rsidRPr="00427F9C">
        <w:t xml:space="preserve"> one should be referenced (maximum 3)</w:t>
      </w:r>
      <w:r>
        <w:t xml:space="preserve"> </w:t>
      </w:r>
      <w:r w:rsidRPr="00427F9C">
        <w:t>(refer Appendix B)</w:t>
      </w:r>
      <w:r>
        <w:t>.</w:t>
      </w:r>
      <w:r w:rsidRPr="00427F9C">
        <w:t xml:space="preserve"> </w:t>
      </w:r>
    </w:p>
    <w:p w14:paraId="78A4C9C3" w14:textId="727BD290" w:rsidR="00C94AC3" w:rsidRPr="00427F9C" w:rsidRDefault="00C94AC3" w:rsidP="00C94AC3">
      <w:pPr>
        <w:pStyle w:val="Bullet1"/>
        <w:numPr>
          <w:ilvl w:val="1"/>
          <w:numId w:val="16"/>
        </w:numPr>
        <w:spacing w:after="0"/>
      </w:pPr>
      <w:r w:rsidRPr="00427F9C">
        <w:t>The agreed date for submission of corrective actions</w:t>
      </w:r>
      <w:r w:rsidR="007F250C">
        <w:t xml:space="preserve"> / </w:t>
      </w:r>
      <w:r w:rsidRPr="00427F9C">
        <w:t>plan for desk-review and/or date for verification audit should be included in this section.</w:t>
      </w:r>
    </w:p>
    <w:p w14:paraId="64DD43E2" w14:textId="26C3EECE" w:rsidR="00C94AC3" w:rsidRPr="00427F9C" w:rsidRDefault="00C94AC3" w:rsidP="00C94AC3">
      <w:pPr>
        <w:pStyle w:val="Bullet1"/>
        <w:numPr>
          <w:ilvl w:val="1"/>
          <w:numId w:val="16"/>
        </w:numPr>
        <w:spacing w:after="0"/>
      </w:pPr>
      <w:r w:rsidRPr="00427F9C">
        <w:t xml:space="preserve">Section C also includes the auditor’s calculation of the </w:t>
      </w:r>
      <w:hyperlink r:id="rId55" w:history="1">
        <w:r w:rsidRPr="0056603D">
          <w:t>non-conformance score</w:t>
        </w:r>
      </w:hyperlink>
      <w:r w:rsidRPr="00427F9C">
        <w:t xml:space="preserve"> and </w:t>
      </w:r>
      <w:hyperlink r:id="rId56" w:history="1">
        <w:r w:rsidRPr="0056603D">
          <w:t>audit rating/level</w:t>
        </w:r>
      </w:hyperlink>
      <w:r w:rsidRPr="00427F9C">
        <w:t>. The rating</w:t>
      </w:r>
      <w:r w:rsidR="007F250C">
        <w:t xml:space="preserve"> or </w:t>
      </w:r>
      <w:r w:rsidRPr="00427F9C">
        <w:t>score may be subject to change once the APVMA have assessed the provided information. While the APVMA does not normally alter the NC rating provided by an auditor</w:t>
      </w:r>
      <w:r w:rsidR="002B5BB8">
        <w:t>,</w:t>
      </w:r>
      <w:r w:rsidRPr="00427F9C">
        <w:t xml:space="preserve"> </w:t>
      </w:r>
      <w:r>
        <w:t>the APVMA</w:t>
      </w:r>
      <w:r w:rsidRPr="00427F9C">
        <w:t xml:space="preserve"> may de-aggregate distinct non-conformances when determining a non-</w:t>
      </w:r>
      <w:r w:rsidRPr="00427F9C">
        <w:lastRenderedPageBreak/>
        <w:t>conformance score</w:t>
      </w:r>
      <w:r w:rsidR="002B2A48">
        <w:t xml:space="preserve">. </w:t>
      </w:r>
      <w:r w:rsidRPr="00427F9C">
        <w:t xml:space="preserve">Similarly, if a NC reported is not clearly expressed—or it is challenged by the </w:t>
      </w:r>
      <w:r>
        <w:t>Licence Holder</w:t>
      </w:r>
      <w:r w:rsidRPr="00427F9C">
        <w:t>—the APVMA may ask the auditor to provide further information to justify the score and rating assigned.</w:t>
      </w:r>
    </w:p>
    <w:p w14:paraId="178233A9" w14:textId="2CFD8BA5" w:rsidR="00C94AC3" w:rsidRPr="00427F9C" w:rsidRDefault="00C94AC3" w:rsidP="00C94AC3">
      <w:pPr>
        <w:pStyle w:val="Bullet1"/>
        <w:numPr>
          <w:ilvl w:val="1"/>
          <w:numId w:val="16"/>
        </w:numPr>
        <w:spacing w:after="0"/>
      </w:pPr>
      <w:r w:rsidRPr="00427F9C">
        <w:t xml:space="preserve">Where there is any disagreement, the </w:t>
      </w:r>
      <w:r>
        <w:t>Licence Holder</w:t>
      </w:r>
      <w:r w:rsidRPr="00427F9C">
        <w:t xml:space="preserve"> will need to negotiate the matter with the APVMA (</w:t>
      </w:r>
      <w:r w:rsidR="002B2A48">
        <w:t>see below</w:t>
      </w:r>
      <w:r w:rsidRPr="00427F9C">
        <w:t>).</w:t>
      </w:r>
    </w:p>
    <w:p w14:paraId="790485DA" w14:textId="0757E24F" w:rsidR="00C94AC3" w:rsidRPr="00427F9C" w:rsidRDefault="00C94AC3" w:rsidP="00C94AC3">
      <w:pPr>
        <w:pStyle w:val="Bullet1"/>
        <w:spacing w:after="0"/>
        <w:ind w:left="714" w:hanging="357"/>
      </w:pPr>
      <w:r w:rsidRPr="001B26CB">
        <w:rPr>
          <w:b/>
          <w:bCs/>
        </w:rPr>
        <w:t>Auditor’s Summary</w:t>
      </w:r>
      <w:r w:rsidRPr="00427F9C">
        <w:t xml:space="preserve">: auditors should comment on the </w:t>
      </w:r>
      <w:r>
        <w:t>Licence Holder</w:t>
      </w:r>
      <w:r w:rsidRPr="00427F9C">
        <w:t xml:space="preserve">’s level of compliance with the </w:t>
      </w:r>
      <w:r w:rsidR="005B414F">
        <w:t>Manufacturing Principles</w:t>
      </w:r>
      <w:r w:rsidRPr="00427F9C">
        <w:t xml:space="preserve"> and </w:t>
      </w:r>
      <w:r>
        <w:t xml:space="preserve">GMP Code. </w:t>
      </w:r>
      <w:r w:rsidRPr="00427F9C">
        <w:t xml:space="preserve">The auditor must </w:t>
      </w:r>
      <w:r w:rsidRPr="0056603D">
        <w:t>sign</w:t>
      </w:r>
      <w:r w:rsidRPr="00427F9C">
        <w:t xml:space="preserve"> </w:t>
      </w:r>
      <w:r w:rsidR="00B1259E">
        <w:t>the form</w:t>
      </w:r>
      <w:r w:rsidRPr="00427F9C">
        <w:t>.</w:t>
      </w:r>
    </w:p>
    <w:p w14:paraId="1052D951" w14:textId="77777777" w:rsidR="00163503" w:rsidRDefault="00C94AC3" w:rsidP="00C94AC3">
      <w:pPr>
        <w:pStyle w:val="NormalText"/>
      </w:pPr>
      <w:r w:rsidRPr="00427F9C">
        <w:t xml:space="preserve">The GMP </w:t>
      </w:r>
      <w:r>
        <w:t>A</w:t>
      </w:r>
      <w:r w:rsidRPr="00427F9C">
        <w:t xml:space="preserve">udit </w:t>
      </w:r>
      <w:r>
        <w:t>R</w:t>
      </w:r>
      <w:r w:rsidRPr="00427F9C">
        <w:t>eport should accurately reflect both the auditing activities undertaken and observations made as well as the compliance status of the facility</w:t>
      </w:r>
      <w:r>
        <w:t xml:space="preserve">. </w:t>
      </w:r>
      <w:r w:rsidRPr="00427F9C">
        <w:t xml:space="preserve">Terms such as </w:t>
      </w:r>
      <w:r w:rsidRPr="00756F92">
        <w:t>‘assessed’, ‘examined’, ‘checked’, ‘read’ and ‘reviewed’</w:t>
      </w:r>
      <w:r w:rsidRPr="00427F9C">
        <w:t xml:space="preserve"> will be interpreted as indicating a more thorough assessment of the procedures and/or records and as such the relevant documents need to be individually cited</w:t>
      </w:r>
      <w:r>
        <w:t xml:space="preserve">. </w:t>
      </w:r>
      <w:r w:rsidRPr="00427F9C">
        <w:t xml:space="preserve">In contrast, terms such as </w:t>
      </w:r>
      <w:r w:rsidRPr="00756F92">
        <w:t>‘scanned’, ‘sighted’, and ‘viewed’</w:t>
      </w:r>
      <w:r w:rsidRPr="00427F9C">
        <w:t xml:space="preserve"> will be interpreted as indicating a superficial assessment of the procedures and/or records and as such the documents do not need to be individually cited</w:t>
      </w:r>
      <w:r>
        <w:t xml:space="preserve">. </w:t>
      </w:r>
      <w:r w:rsidRPr="00427F9C">
        <w:t xml:space="preserve">Phrases such as ‘sighted six raw material specifications’ would be acceptable. Due to the necessity for the auditor to pursue non-conformances, the extent to which individual requirements and guidelines are investigated will be left to the auditor’s discretion. </w:t>
      </w:r>
    </w:p>
    <w:p w14:paraId="3D8FE386" w14:textId="31EAC218" w:rsidR="00C94AC3" w:rsidRDefault="00C94AC3" w:rsidP="00C94AC3">
      <w:pPr>
        <w:pStyle w:val="NormalText"/>
      </w:pPr>
      <w:r w:rsidRPr="00427F9C">
        <w:t xml:space="preserve">Individual requirements and guidelines not examined should be left blank </w:t>
      </w:r>
      <w:r w:rsidR="00274783">
        <w:t xml:space="preserve">or marked ‘not assessed’ </w:t>
      </w:r>
      <w:r w:rsidRPr="00427F9C">
        <w:t>and these areas can be followed up as a priority at the next audit</w:t>
      </w:r>
      <w:r>
        <w:t xml:space="preserve">. </w:t>
      </w:r>
      <w:r w:rsidRPr="00427F9C">
        <w:t xml:space="preserve">Any areas or sections of the GMP code that were not audited should be listed in </w:t>
      </w:r>
      <w:r>
        <w:t>S</w:t>
      </w:r>
      <w:r w:rsidRPr="00427F9C">
        <w:t xml:space="preserve">ection </w:t>
      </w:r>
      <w:r>
        <w:t>A, question 15</w:t>
      </w:r>
      <w:r w:rsidRPr="00427F9C">
        <w:t xml:space="preserve"> of </w:t>
      </w:r>
      <w:r>
        <w:t xml:space="preserve">the </w:t>
      </w:r>
      <w:r w:rsidRPr="00427F9C">
        <w:t>audit report. Any GMP requirements rated as being ‘Non-Compliant’ in Section B should be mirrored by non-conformances (</w:t>
      </w:r>
      <w:r w:rsidR="004C005D">
        <w:t>Critical</w:t>
      </w:r>
      <w:r w:rsidRPr="00427F9C">
        <w:t xml:space="preserve">, </w:t>
      </w:r>
      <w:r w:rsidR="004C005D">
        <w:t>Major</w:t>
      </w:r>
      <w:r w:rsidRPr="00427F9C">
        <w:t xml:space="preserve">, </w:t>
      </w:r>
      <w:r w:rsidR="004C005D">
        <w:t>Minor</w:t>
      </w:r>
      <w:r w:rsidRPr="00427F9C">
        <w:t>) in Section C.</w:t>
      </w:r>
      <w:r w:rsidR="00274783">
        <w:t xml:space="preserve"> </w:t>
      </w:r>
      <w:r w:rsidR="00274783" w:rsidRPr="00274783">
        <w:t xml:space="preserve">For clarity, auditors </w:t>
      </w:r>
      <w:r w:rsidR="00274783">
        <w:t>should</w:t>
      </w:r>
      <w:r w:rsidR="00274783" w:rsidRPr="00274783">
        <w:t xml:space="preserve"> provide reference numbers to </w:t>
      </w:r>
      <w:r w:rsidR="00274783">
        <w:t>n</w:t>
      </w:r>
      <w:r w:rsidR="00274783" w:rsidRPr="00274783">
        <w:t>on-</w:t>
      </w:r>
      <w:r w:rsidR="00274783">
        <w:t>c</w:t>
      </w:r>
      <w:r w:rsidR="00274783" w:rsidRPr="00274783">
        <w:t>ompliant requirements in Section B and link them with the non-conformances in Section C.</w:t>
      </w:r>
    </w:p>
    <w:p w14:paraId="541851BD" w14:textId="58E46015" w:rsidR="00C94AC3" w:rsidRPr="00427F9C" w:rsidRDefault="00C94AC3" w:rsidP="00C94AC3">
      <w:pPr>
        <w:pStyle w:val="NormalText"/>
      </w:pPr>
      <w:r w:rsidRPr="00427F9C">
        <w:t xml:space="preserve">The </w:t>
      </w:r>
      <w:r w:rsidR="00E5625C">
        <w:t xml:space="preserve">APVMA requires that the </w:t>
      </w:r>
      <w:r w:rsidRPr="00427F9C">
        <w:t>auditor securely retain</w:t>
      </w:r>
      <w:r w:rsidR="00E5625C">
        <w:t>s</w:t>
      </w:r>
      <w:r w:rsidRPr="00427F9C">
        <w:t xml:space="preserve"> copies of the </w:t>
      </w:r>
      <w:r>
        <w:t>GMP Audit Report</w:t>
      </w:r>
      <w:r w:rsidRPr="00427F9C">
        <w:t xml:space="preserve"> and associated documents </w:t>
      </w:r>
      <w:r w:rsidR="00B1259E">
        <w:t>acquired in connection with or produced in the performance of the GMP Audit for at least seven (7) years post the audit as per document retention requirements</w:t>
      </w:r>
      <w:r w:rsidR="00E5625C">
        <w:t xml:space="preserve">. This will assist in the situation where later comment </w:t>
      </w:r>
      <w:r w:rsidRPr="00427F9C">
        <w:t>is sought by the APVMA.</w:t>
      </w:r>
      <w:r w:rsidR="00274783">
        <w:t xml:space="preserve"> </w:t>
      </w:r>
    </w:p>
    <w:p w14:paraId="6C7AE94C" w14:textId="77777777" w:rsidR="00CD40B8" w:rsidRDefault="00C94AC3" w:rsidP="00CD40B8">
      <w:pPr>
        <w:pStyle w:val="NormalText"/>
      </w:pPr>
      <w:r w:rsidRPr="00427F9C">
        <w:t xml:space="preserve">The auditor is expected to meet all obligations with respect to the terms of their agreed contract with the </w:t>
      </w:r>
      <w:r>
        <w:t>Licence Holder</w:t>
      </w:r>
      <w:r w:rsidRPr="00427F9C">
        <w:t>, and in accordance with the requirements of this procedure and their deed of authorisation.</w:t>
      </w:r>
      <w:r w:rsidR="00AB4705" w:rsidRPr="00427F9C">
        <w:t xml:space="preserve"> </w:t>
      </w:r>
      <w:r w:rsidR="00CD40B8" w:rsidRPr="00427F9C">
        <w:t xml:space="preserve">The </w:t>
      </w:r>
      <w:r w:rsidR="00CD40B8">
        <w:t>Licence Holder</w:t>
      </w:r>
      <w:r w:rsidR="00CD40B8" w:rsidRPr="00427F9C">
        <w:t xml:space="preserve"> is expected to meet all obligations with respect to the terms of the agreed contract with the auditor.</w:t>
      </w:r>
      <w:r w:rsidR="00CD40B8">
        <w:t xml:space="preserve"> </w:t>
      </w:r>
      <w:r w:rsidR="00CD40B8" w:rsidRPr="00427F9C">
        <w:t xml:space="preserve">This includes payment for audit services rendered and </w:t>
      </w:r>
      <w:r w:rsidR="00CD40B8">
        <w:t>Licence Holders</w:t>
      </w:r>
      <w:r w:rsidR="00CD40B8" w:rsidRPr="00427F9C">
        <w:t xml:space="preserve"> should note that further payments may be required for verification audits or desk reviews of corrective actions.</w:t>
      </w:r>
      <w:r w:rsidR="00CD40B8">
        <w:t xml:space="preserve"> </w:t>
      </w:r>
    </w:p>
    <w:tbl>
      <w:tblPr>
        <w:tblStyle w:val="TableGrid"/>
        <w:tblW w:w="0" w:type="auto"/>
        <w:tblLook w:val="04A0" w:firstRow="1" w:lastRow="0" w:firstColumn="1" w:lastColumn="0" w:noHBand="0" w:noVBand="1"/>
      </w:tblPr>
      <w:tblGrid>
        <w:gridCol w:w="1413"/>
        <w:gridCol w:w="8216"/>
      </w:tblGrid>
      <w:tr w:rsidR="00AB4705" w14:paraId="76021EA6" w14:textId="77777777" w:rsidTr="001D5F73">
        <w:tc>
          <w:tcPr>
            <w:tcW w:w="1413" w:type="dxa"/>
            <w:vAlign w:val="center"/>
          </w:tcPr>
          <w:p w14:paraId="6E234D5E" w14:textId="77777777" w:rsidR="00AB4705" w:rsidRDefault="00AB4705" w:rsidP="001D5F73">
            <w:pPr>
              <w:pStyle w:val="NormalText"/>
              <w:spacing w:before="60" w:after="60" w:line="240" w:lineRule="auto"/>
              <w:jc w:val="center"/>
            </w:pPr>
            <w:r>
              <w:rPr>
                <w:noProof/>
              </w:rPr>
              <w:drawing>
                <wp:inline distT="0" distB="0" distL="0" distR="0" wp14:anchorId="2F686CC4" wp14:editId="542177AA">
                  <wp:extent cx="485714" cy="485714"/>
                  <wp:effectExtent l="0" t="0" r="0" b="0"/>
                  <wp:docPr id="684060087" name="Picture 684060087" descr="A white letter in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white letter in a black circle&#10;&#10;Description automatically generated"/>
                          <pic:cNvPicPr/>
                        </pic:nvPicPr>
                        <pic:blipFill>
                          <a:blip r:embed="rId32"/>
                          <a:stretch>
                            <a:fillRect/>
                          </a:stretch>
                        </pic:blipFill>
                        <pic:spPr>
                          <a:xfrm>
                            <a:off x="0" y="0"/>
                            <a:ext cx="485714" cy="485714"/>
                          </a:xfrm>
                          <a:prstGeom prst="rect">
                            <a:avLst/>
                          </a:prstGeom>
                        </pic:spPr>
                      </pic:pic>
                    </a:graphicData>
                  </a:graphic>
                </wp:inline>
              </w:drawing>
            </w:r>
          </w:p>
        </w:tc>
        <w:tc>
          <w:tcPr>
            <w:tcW w:w="8216" w:type="dxa"/>
            <w:shd w:val="clear" w:color="auto" w:fill="F2F2F2" w:themeFill="background1" w:themeFillShade="F2"/>
            <w:vAlign w:val="center"/>
          </w:tcPr>
          <w:p w14:paraId="5B5C10EC" w14:textId="2F26E32F" w:rsidR="00AB4705" w:rsidRDefault="00AB4705" w:rsidP="001D5F73">
            <w:pPr>
              <w:pStyle w:val="NormalText"/>
              <w:spacing w:before="60" w:after="60" w:line="240" w:lineRule="auto"/>
              <w:jc w:val="both"/>
            </w:pPr>
            <w:r w:rsidRPr="00154DE6">
              <w:t xml:space="preserve">Where </w:t>
            </w:r>
            <w:r w:rsidR="004C005D">
              <w:t>Critical</w:t>
            </w:r>
            <w:r w:rsidRPr="00154DE6">
              <w:t xml:space="preserve"> non-conformances have been identified, the </w:t>
            </w:r>
            <w:r>
              <w:t>Licence Holder</w:t>
            </w:r>
            <w:r w:rsidRPr="00154DE6">
              <w:t xml:space="preserve"> must notify the APVMA of those </w:t>
            </w:r>
            <w:r w:rsidRPr="00154DE6">
              <w:rPr>
                <w:b/>
                <w:bCs/>
              </w:rPr>
              <w:t xml:space="preserve">within </w:t>
            </w:r>
            <w:r w:rsidR="009F2979">
              <w:rPr>
                <w:b/>
                <w:bCs/>
              </w:rPr>
              <w:t>24 hours</w:t>
            </w:r>
            <w:r w:rsidRPr="00154DE6">
              <w:t>. This is a condition of the licence.</w:t>
            </w:r>
          </w:p>
        </w:tc>
      </w:tr>
    </w:tbl>
    <w:p w14:paraId="78E25DCF" w14:textId="77777777" w:rsidR="00926774" w:rsidRDefault="00926774" w:rsidP="00926774">
      <w:pPr>
        <w:pStyle w:val="Heading3"/>
      </w:pPr>
      <w:bookmarkStart w:id="86" w:name="_Toc160083867"/>
      <w:r>
        <w:t>Dispute resolution</w:t>
      </w:r>
      <w:bookmarkEnd w:id="86"/>
    </w:p>
    <w:p w14:paraId="195ED060" w14:textId="77777777" w:rsidR="006E30E1" w:rsidRDefault="00926774" w:rsidP="006E30E1">
      <w:pPr>
        <w:pStyle w:val="NormalText"/>
      </w:pPr>
      <w:r w:rsidRPr="00427F9C">
        <w:t xml:space="preserve">If the </w:t>
      </w:r>
      <w:r>
        <w:t xml:space="preserve">Licence Holder </w:t>
      </w:r>
      <w:r w:rsidRPr="00427F9C">
        <w:t xml:space="preserve">does not accept </w:t>
      </w:r>
      <w:r w:rsidR="006E30E1">
        <w:t xml:space="preserve">one or more of </w:t>
      </w:r>
      <w:r w:rsidRPr="00427F9C">
        <w:t xml:space="preserve">the auditor’s findings at the audit and </w:t>
      </w:r>
      <w:r w:rsidR="006E30E1">
        <w:t xml:space="preserve">is </w:t>
      </w:r>
      <w:r w:rsidRPr="00427F9C">
        <w:t>unable to reach agreement with the auditor</w:t>
      </w:r>
      <w:r w:rsidR="006E30E1">
        <w:t xml:space="preserve"> subsequently</w:t>
      </w:r>
      <w:r w:rsidRPr="00427F9C">
        <w:t xml:space="preserve">, the </w:t>
      </w:r>
      <w:r>
        <w:t>Licence Holder</w:t>
      </w:r>
      <w:r w:rsidRPr="00427F9C">
        <w:t xml:space="preserve"> should state their reasons</w:t>
      </w:r>
      <w:r w:rsidR="007F250C">
        <w:t xml:space="preserve"> / </w:t>
      </w:r>
      <w:r w:rsidRPr="00427F9C">
        <w:t xml:space="preserve">justification in Part 1 of the Response to </w:t>
      </w:r>
      <w:r>
        <w:t>GMP Audit Report</w:t>
      </w:r>
      <w:r w:rsidRPr="00427F9C">
        <w:t xml:space="preserve"> form (or separate letter), offering alternative corrective actions or solutions and timeframes for correction (where applicable). </w:t>
      </w:r>
      <w:r w:rsidR="006E30E1" w:rsidRPr="00427F9C">
        <w:t xml:space="preserve">Similarly, if the </w:t>
      </w:r>
      <w:r w:rsidR="006E30E1">
        <w:t>Licence Holder</w:t>
      </w:r>
      <w:r w:rsidR="006E30E1" w:rsidRPr="00427F9C">
        <w:t xml:space="preserve"> is not satisfied or has concerns with </w:t>
      </w:r>
      <w:r w:rsidR="006E30E1" w:rsidRPr="00427F9C">
        <w:lastRenderedPageBreak/>
        <w:t xml:space="preserve">the auditor’s assessment of their corrective actions addressing non-conformances identified, the </w:t>
      </w:r>
      <w:r w:rsidR="006E30E1">
        <w:t>Licence Holder</w:t>
      </w:r>
      <w:r w:rsidR="006E30E1" w:rsidRPr="00427F9C">
        <w:t xml:space="preserve"> should write to the APVMA detailing their concerns and the reasons why they then consider corrective actions to be adequate. </w:t>
      </w:r>
    </w:p>
    <w:p w14:paraId="3BAE89A1" w14:textId="4C46EAEE" w:rsidR="006E30E1" w:rsidRPr="00BE6387" w:rsidRDefault="006E30E1" w:rsidP="006E30E1">
      <w:pPr>
        <w:pStyle w:val="NormalText"/>
      </w:pPr>
      <w:r>
        <w:t xml:space="preserve">In these and other cases of dispute, the APVMA will convene an APVMA Review Panel. This Panel will be chaired by the APVMA delegate for the issuance of licenses (the MQL Assistant Director: or the MQL Director in the A/Director’s absence) and will include the Senior GMP </w:t>
      </w:r>
      <w:r w:rsidR="00F46C03">
        <w:t xml:space="preserve">Officer </w:t>
      </w:r>
      <w:r>
        <w:t>with oversight for the audit review. The Panel will discuss the matter at hand with both the m</w:t>
      </w:r>
      <w:r w:rsidRPr="00BE6387">
        <w:t>anufacturer and the external authorised auditor and will make a determination that can then be taken forward in the audit review and close-out procedure.</w:t>
      </w:r>
    </w:p>
    <w:p w14:paraId="77A7F75B" w14:textId="5A08B9D7" w:rsidR="00163503" w:rsidRPr="00BE6387" w:rsidRDefault="00163503" w:rsidP="00163503">
      <w:pPr>
        <w:pStyle w:val="Heading2"/>
      </w:pPr>
      <w:bookmarkStart w:id="87" w:name="_Ref159943474"/>
      <w:bookmarkStart w:id="88" w:name="_Toc160083868"/>
      <w:r w:rsidRPr="00BE6387">
        <w:t>Audit close</w:t>
      </w:r>
      <w:r w:rsidR="00B16ACB">
        <w:t>-</w:t>
      </w:r>
      <w:r w:rsidRPr="00BE6387">
        <w:t>out</w:t>
      </w:r>
      <w:bookmarkEnd w:id="87"/>
      <w:bookmarkEnd w:id="88"/>
    </w:p>
    <w:p w14:paraId="6573F2DE" w14:textId="2166D2E1" w:rsidR="00143836" w:rsidRDefault="00D04C20" w:rsidP="008C4A3F">
      <w:pPr>
        <w:pStyle w:val="NormalText"/>
      </w:pPr>
      <w:r>
        <w:t>As n</w:t>
      </w:r>
      <w:r w:rsidR="00143836" w:rsidRPr="00BE6387">
        <w:t>oted above</w:t>
      </w:r>
      <w:r>
        <w:t>,</w:t>
      </w:r>
      <w:r w:rsidR="00143836" w:rsidRPr="00BE6387">
        <w:t xml:space="preserve"> auditors must prov</w:t>
      </w:r>
      <w:r w:rsidR="00143836" w:rsidRPr="00427F9C">
        <w:t xml:space="preserve">ide the </w:t>
      </w:r>
      <w:r w:rsidR="00143836">
        <w:t>Licence Holder</w:t>
      </w:r>
      <w:r w:rsidR="00143836" w:rsidRPr="00427F9C">
        <w:t xml:space="preserve"> with the </w:t>
      </w:r>
      <w:r w:rsidR="00143836" w:rsidRPr="00B605FB">
        <w:t>GMP Audit Report</w:t>
      </w:r>
      <w:r w:rsidR="00143836" w:rsidRPr="00427F9C">
        <w:t xml:space="preserve"> and any associated documents</w:t>
      </w:r>
      <w:r w:rsidR="00143836">
        <w:t xml:space="preserve"> </w:t>
      </w:r>
      <w:r w:rsidR="00143836" w:rsidRPr="00756F92">
        <w:t>within</w:t>
      </w:r>
      <w:r w:rsidR="00143836" w:rsidRPr="00427F9C">
        <w:t xml:space="preserve"> </w:t>
      </w:r>
      <w:r w:rsidR="00143836" w:rsidRPr="00756F92">
        <w:t xml:space="preserve">10 working days </w:t>
      </w:r>
      <w:r w:rsidR="00143836">
        <w:t xml:space="preserve">(2 calendar weeks) </w:t>
      </w:r>
      <w:r w:rsidR="00143836" w:rsidRPr="00756F92">
        <w:t>of the last day of the audit</w:t>
      </w:r>
      <w:r w:rsidR="00143836">
        <w:t xml:space="preserve">. </w:t>
      </w:r>
      <w:r w:rsidR="004E3B6F">
        <w:t>Licence holders will then have an additional 15 working days (3 calendar weeks) in which to respond to this in writing</w:t>
      </w:r>
      <w:r w:rsidR="00F46C03">
        <w:t xml:space="preserve"> and provide corrective action evidence and/or a plan for review</w:t>
      </w:r>
      <w:r w:rsidR="004E3B6F">
        <w:t xml:space="preserve">. </w:t>
      </w:r>
      <w:r>
        <w:t xml:space="preserve">Including </w:t>
      </w:r>
      <w:r w:rsidR="00EA7139">
        <w:t>a further 15 working days (3 calendar weeks) for the auditor’s assessment of this response results in an overall 8-calendar-week window for the immediate rectification of non-conformances.</w:t>
      </w:r>
    </w:p>
    <w:p w14:paraId="03AC9EE8" w14:textId="57AF9C7A" w:rsidR="007350A0" w:rsidRDefault="002D50DA" w:rsidP="008C4A3F">
      <w:pPr>
        <w:pStyle w:val="Bullet1"/>
        <w:spacing w:after="0"/>
        <w:ind w:left="714" w:hanging="357"/>
      </w:pPr>
      <w:r>
        <w:t>Where non-conform</w:t>
      </w:r>
      <w:r w:rsidRPr="00143836">
        <w:t xml:space="preserve">ances can be corrected within </w:t>
      </w:r>
      <w:r w:rsidR="007350A0">
        <w:t xml:space="preserve">this </w:t>
      </w:r>
      <w:r w:rsidRPr="00143836">
        <w:t>8</w:t>
      </w:r>
      <w:r w:rsidR="007350A0">
        <w:t>-</w:t>
      </w:r>
      <w:r w:rsidRPr="00143836">
        <w:t>week</w:t>
      </w:r>
      <w:r w:rsidR="007350A0">
        <w:t xml:space="preserve"> window between </w:t>
      </w:r>
      <w:r w:rsidRPr="00143836">
        <w:t>the end of the audit</w:t>
      </w:r>
      <w:r w:rsidR="00143836">
        <w:t xml:space="preserve"> </w:t>
      </w:r>
      <w:r w:rsidR="007350A0">
        <w:t>and the APVMA-</w:t>
      </w:r>
      <w:r w:rsidR="00F46C03">
        <w:t xml:space="preserve">authorised </w:t>
      </w:r>
      <w:r w:rsidR="007350A0">
        <w:t xml:space="preserve">auditor’s </w:t>
      </w:r>
      <w:r w:rsidR="00B35DC4">
        <w:t>assessment</w:t>
      </w:r>
      <w:r w:rsidR="007350A0">
        <w:t xml:space="preserve"> of the Licence Holder’s response to the audit outcomes, the audit will be c</w:t>
      </w:r>
      <w:r w:rsidR="00B35DC4">
        <w:t xml:space="preserve">losed out </w:t>
      </w:r>
      <w:r w:rsidR="007350A0">
        <w:t xml:space="preserve">by the auditor. </w:t>
      </w:r>
      <w:r w:rsidR="00B35DC4">
        <w:t xml:space="preserve">As </w:t>
      </w:r>
      <w:r w:rsidR="007350A0">
        <w:t xml:space="preserve">required, this </w:t>
      </w:r>
      <w:r w:rsidR="00B35DC4">
        <w:t xml:space="preserve">may </w:t>
      </w:r>
      <w:r w:rsidR="007350A0">
        <w:t>include a verification audit (see below).</w:t>
      </w:r>
    </w:p>
    <w:p w14:paraId="0FBA96B2" w14:textId="0712E35E" w:rsidR="007350A0" w:rsidRDefault="007350A0" w:rsidP="008C4A3F">
      <w:pPr>
        <w:pStyle w:val="Bullet1"/>
        <w:spacing w:after="0"/>
        <w:ind w:left="714" w:hanging="357"/>
      </w:pPr>
      <w:r>
        <w:t>Where the correction of non-conformances cannot be completed within this 8-week window, a</w:t>
      </w:r>
      <w:r w:rsidR="002D50DA">
        <w:t xml:space="preserve"> Corrective and Preventive Action (CAPA) Plan will be developed</w:t>
      </w:r>
      <w:r>
        <w:t xml:space="preserve"> by the Licence Holder. Once the auditor </w:t>
      </w:r>
      <w:r w:rsidR="00F46C03">
        <w:t xml:space="preserve">and the APVMA </w:t>
      </w:r>
      <w:r>
        <w:t>ha</w:t>
      </w:r>
      <w:r w:rsidR="00F46C03">
        <w:t>ve</w:t>
      </w:r>
      <w:r>
        <w:t xml:space="preserve"> agreed to </w:t>
      </w:r>
      <w:r w:rsidR="00A9104C">
        <w:t>the</w:t>
      </w:r>
      <w:r>
        <w:t xml:space="preserve"> CAPA Plan, audit close-out will </w:t>
      </w:r>
      <w:r w:rsidR="00B35DC4">
        <w:t xml:space="preserve">then </w:t>
      </w:r>
      <w:r>
        <w:t xml:space="preserve">be transitioned to the APVMA. </w:t>
      </w:r>
      <w:r w:rsidR="00B35DC4">
        <w:t xml:space="preserve">As </w:t>
      </w:r>
      <w:r>
        <w:t xml:space="preserve">required, </w:t>
      </w:r>
      <w:r w:rsidR="00B35DC4">
        <w:t xml:space="preserve">this may </w:t>
      </w:r>
      <w:r>
        <w:t>include a verification audit (see below).</w:t>
      </w:r>
    </w:p>
    <w:p w14:paraId="7025923E" w14:textId="410AEFB0" w:rsidR="007940F3" w:rsidRDefault="005A3087" w:rsidP="008C4A3F">
      <w:pPr>
        <w:pStyle w:val="NormalText"/>
      </w:pPr>
      <w:r>
        <w:t xml:space="preserve">The two </w:t>
      </w:r>
      <w:r w:rsidR="007940F3">
        <w:t xml:space="preserve">pathways </w:t>
      </w:r>
      <w:r>
        <w:t xml:space="preserve">to audit close-out are </w:t>
      </w:r>
      <w:r w:rsidR="007940F3">
        <w:t>discussed below.</w:t>
      </w:r>
    </w:p>
    <w:p w14:paraId="555E450D" w14:textId="062E6840" w:rsidR="005B414F" w:rsidRDefault="00E1507C" w:rsidP="008C4A3F">
      <w:pPr>
        <w:pStyle w:val="NormalText"/>
      </w:pPr>
      <w:r>
        <w:t>N</w:t>
      </w:r>
      <w:r w:rsidR="005B414F">
        <w:t>ote</w:t>
      </w:r>
      <w:r w:rsidR="00A9104C">
        <w:t xml:space="preserve">, however, </w:t>
      </w:r>
      <w:r w:rsidR="005B414F">
        <w:t xml:space="preserve">that where </w:t>
      </w:r>
      <w:r w:rsidR="005B414F" w:rsidRPr="005B414F">
        <w:rPr>
          <w:b/>
          <w:bCs/>
        </w:rPr>
        <w:t>Critical</w:t>
      </w:r>
      <w:r w:rsidR="005B414F">
        <w:t xml:space="preserve"> non-conformances have been identified, the APVMA and the auditor will work together with the Licence Holder to develop a CAPA </w:t>
      </w:r>
      <w:r>
        <w:t>P</w:t>
      </w:r>
      <w:r w:rsidR="005B414F">
        <w:t>lan that can be implemented immediately and, thus, will immediately address any risk to animals</w:t>
      </w:r>
      <w:r w:rsidR="002B5BB8">
        <w:t>,</w:t>
      </w:r>
      <w:r w:rsidR="005B414F">
        <w:t xml:space="preserve"> humans</w:t>
      </w:r>
      <w:r w:rsidR="002B5BB8">
        <w:t xml:space="preserve"> or environment</w:t>
      </w:r>
      <w:r w:rsidR="005B414F">
        <w:t xml:space="preserve">. </w:t>
      </w:r>
    </w:p>
    <w:p w14:paraId="574636B2" w14:textId="7AA947F7" w:rsidR="00143836" w:rsidRDefault="00143836" w:rsidP="00143836">
      <w:pPr>
        <w:pStyle w:val="Heading3"/>
      </w:pPr>
      <w:bookmarkStart w:id="89" w:name="_Toc160083869"/>
      <w:r w:rsidRPr="00143836">
        <w:t>Audit close</w:t>
      </w:r>
      <w:r w:rsidR="00B16ACB">
        <w:t>-</w:t>
      </w:r>
      <w:r w:rsidRPr="00143836">
        <w:t>out by APVMA-</w:t>
      </w:r>
      <w:r w:rsidR="00117D69">
        <w:t>authorised</w:t>
      </w:r>
      <w:r w:rsidR="00117D69" w:rsidRPr="00143836">
        <w:t xml:space="preserve"> </w:t>
      </w:r>
      <w:r w:rsidRPr="00143836">
        <w:t>auditor</w:t>
      </w:r>
      <w:bookmarkEnd w:id="89"/>
    </w:p>
    <w:p w14:paraId="71A72F6E" w14:textId="1C7A9BD6" w:rsidR="00F64E6E" w:rsidRDefault="00293470" w:rsidP="00F64E6E">
      <w:pPr>
        <w:pStyle w:val="NormalText"/>
      </w:pPr>
      <w:r>
        <w:t xml:space="preserve">Within 15 working days of receipt of the </w:t>
      </w:r>
      <w:r w:rsidRPr="00293470">
        <w:t>GMP Audit Report</w:t>
      </w:r>
      <w:r w:rsidR="00F64E6E">
        <w:t xml:space="preserve"> (</w:t>
      </w:r>
      <w:r w:rsidR="00675AD6">
        <w:t xml:space="preserve">which should also be </w:t>
      </w:r>
      <w:r w:rsidR="00F64E6E">
        <w:t>within 25 working days of the audit completion)</w:t>
      </w:r>
      <w:r>
        <w:t xml:space="preserve">, Licence Holders must </w:t>
      </w:r>
      <w:r w:rsidR="00632154" w:rsidRPr="00DA080A">
        <w:t>sign</w:t>
      </w:r>
      <w:r w:rsidR="00632154" w:rsidRPr="00427F9C">
        <w:t xml:space="preserve"> </w:t>
      </w:r>
      <w:r w:rsidR="00F46C03">
        <w:t>FM_MQL05</w:t>
      </w:r>
      <w:r w:rsidR="00632154" w:rsidRPr="00427F9C">
        <w:t xml:space="preserve"> confirming they have read </w:t>
      </w:r>
      <w:r w:rsidR="00632154">
        <w:t xml:space="preserve">and agree to </w:t>
      </w:r>
      <w:r w:rsidR="00632154" w:rsidRPr="00427F9C">
        <w:t>the report</w:t>
      </w:r>
      <w:r w:rsidR="00675AD6">
        <w:t>,</w:t>
      </w:r>
      <w:r w:rsidR="00632154">
        <w:t xml:space="preserve"> and </w:t>
      </w:r>
      <w:r w:rsidR="00675AD6">
        <w:t xml:space="preserve">with </w:t>
      </w:r>
      <w:r w:rsidR="00632154">
        <w:t>any non-conformances noted</w:t>
      </w:r>
      <w:r w:rsidR="00675AD6">
        <w:t xml:space="preserve">. Licence Holders must then </w:t>
      </w:r>
      <w:r w:rsidR="00F64E6E">
        <w:t xml:space="preserve">return </w:t>
      </w:r>
      <w:r w:rsidR="00F46C03">
        <w:t xml:space="preserve">a copy of </w:t>
      </w:r>
      <w:r w:rsidR="00F64E6E">
        <w:t>th</w:t>
      </w:r>
      <w:r w:rsidR="00675AD6">
        <w:t xml:space="preserve">e GMP Audit Report </w:t>
      </w:r>
      <w:r w:rsidR="00F64E6E">
        <w:t>to both the APVMA (</w:t>
      </w:r>
      <w:hyperlink r:id="rId57" w:history="1">
        <w:r w:rsidR="00F64E6E" w:rsidRPr="009B561B">
          <w:rPr>
            <w:rStyle w:val="Hyperlink"/>
          </w:rPr>
          <w:t>mls@apvma.gov.au</w:t>
        </w:r>
      </w:hyperlink>
      <w:r w:rsidR="00F64E6E">
        <w:t xml:space="preserve">) and </w:t>
      </w:r>
      <w:r w:rsidR="00675AD6">
        <w:t xml:space="preserve">to </w:t>
      </w:r>
      <w:r w:rsidR="00F64E6E">
        <w:t>the auditor</w:t>
      </w:r>
      <w:r w:rsidR="00632154" w:rsidRPr="00427F9C">
        <w:t>.</w:t>
      </w:r>
      <w:r w:rsidR="00F64E6E">
        <w:t xml:space="preserve"> </w:t>
      </w:r>
    </w:p>
    <w:p w14:paraId="054A3FAA" w14:textId="2F94AE3D" w:rsidR="00041720" w:rsidRDefault="00041720" w:rsidP="00F64E6E">
      <w:pPr>
        <w:pStyle w:val="NormalText"/>
      </w:pPr>
      <w:r w:rsidRPr="00041720">
        <w:t xml:space="preserve">If no non-conformances are identified, the Licence Holder </w:t>
      </w:r>
      <w:r>
        <w:t xml:space="preserve">must </w:t>
      </w:r>
      <w:r w:rsidRPr="00041720">
        <w:t>complete</w:t>
      </w:r>
      <w:r w:rsidR="00F46C03">
        <w:t xml:space="preserve"> only the GMP Audit Report (FM_MQL05)</w:t>
      </w:r>
      <w:r w:rsidR="009F2979">
        <w:t xml:space="preserve">. </w:t>
      </w:r>
      <w:r>
        <w:t>Although not compulsory, the APVMA</w:t>
      </w:r>
      <w:r w:rsidRPr="00041720">
        <w:t xml:space="preserve"> a</w:t>
      </w:r>
      <w:r>
        <w:t>lso requests that Licence Holders complete</w:t>
      </w:r>
      <w:r w:rsidRPr="00041720">
        <w:t xml:space="preserve"> Part 2: Manufacturer’s </w:t>
      </w:r>
      <w:r>
        <w:t>F</w:t>
      </w:r>
      <w:r w:rsidRPr="00041720">
        <w:t>eedback to APVMA.</w:t>
      </w:r>
    </w:p>
    <w:p w14:paraId="39E0B175" w14:textId="1C1B0A3E" w:rsidR="00632154" w:rsidRPr="00427F9C" w:rsidRDefault="00632154" w:rsidP="00632154">
      <w:pPr>
        <w:pStyle w:val="NormalText"/>
      </w:pPr>
      <w:r w:rsidRPr="00427F9C">
        <w:t xml:space="preserve">If non-conformances </w:t>
      </w:r>
      <w:r>
        <w:t xml:space="preserve">have been </w:t>
      </w:r>
      <w:r w:rsidRPr="00427F9C">
        <w:t xml:space="preserve">identified in the </w:t>
      </w:r>
      <w:r>
        <w:t>GMP Audit Report</w:t>
      </w:r>
      <w:r w:rsidRPr="00427F9C">
        <w:t xml:space="preserve">, the </w:t>
      </w:r>
      <w:r>
        <w:t>Licence Holder</w:t>
      </w:r>
      <w:r w:rsidRPr="00DA080A">
        <w:t xml:space="preserve"> must</w:t>
      </w:r>
      <w:r w:rsidRPr="00427F9C">
        <w:t xml:space="preserve"> also complete</w:t>
      </w:r>
      <w:r w:rsidR="00F64E6E">
        <w:t xml:space="preserve">, sign and return </w:t>
      </w:r>
      <w:r w:rsidR="00675AD6">
        <w:t xml:space="preserve">to the auditor and to the APVMA </w:t>
      </w:r>
      <w:r w:rsidR="00F64E6E">
        <w:t>(</w:t>
      </w:r>
      <w:r w:rsidR="00675AD6">
        <w:t xml:space="preserve">as </w:t>
      </w:r>
      <w:r w:rsidR="00F64E6E">
        <w:t xml:space="preserve">above) </w:t>
      </w:r>
      <w:r w:rsidRPr="00DA080A">
        <w:t>Part 1</w:t>
      </w:r>
      <w:r w:rsidRPr="00427F9C">
        <w:t xml:space="preserve"> of a </w:t>
      </w:r>
      <w:hyperlink r:id="rId58" w:history="1">
        <w:r w:rsidRPr="00282B50">
          <w:rPr>
            <w:rStyle w:val="Hyperlink"/>
          </w:rPr>
          <w:t>Response to GMP Audit Report form</w:t>
        </w:r>
      </w:hyperlink>
      <w:r w:rsidRPr="00427F9C">
        <w:t xml:space="preserve">, providing </w:t>
      </w:r>
      <w:r w:rsidRPr="00427F9C">
        <w:lastRenderedPageBreak/>
        <w:t>a response</w:t>
      </w:r>
      <w:r w:rsidR="00F46C03">
        <w:t xml:space="preserve"> and corrective action evidence for</w:t>
      </w:r>
      <w:r w:rsidRPr="00427F9C">
        <w:t xml:space="preserve"> each and all of the non-conformances identified in the </w:t>
      </w:r>
      <w:r>
        <w:t>GMP Audit Report</w:t>
      </w:r>
      <w:r w:rsidR="00675AD6">
        <w:t xml:space="preserve">. This will include </w:t>
      </w:r>
      <w:r w:rsidRPr="00427F9C">
        <w:t xml:space="preserve">details of proposed corrective actions. </w:t>
      </w:r>
      <w:r>
        <w:t xml:space="preserve">If these corrective actions cannot be undertaken within the 8-week period following from completion of the audit, Licence Holders should develop a CAPA Plan. This is discussed in more detail in the </w:t>
      </w:r>
      <w:r w:rsidR="00675AD6">
        <w:t xml:space="preserve">following </w:t>
      </w:r>
      <w:r>
        <w:t xml:space="preserve">section </w:t>
      </w:r>
      <w:r w:rsidR="00675AD6">
        <w:t>(Audit close-out by CAPA Plan)</w:t>
      </w:r>
      <w:r>
        <w:t>.</w:t>
      </w:r>
    </w:p>
    <w:p w14:paraId="33A169EF" w14:textId="28FE0F57" w:rsidR="00632154" w:rsidRPr="00427F9C" w:rsidRDefault="00632154" w:rsidP="00632154">
      <w:pPr>
        <w:pStyle w:val="Bullet1"/>
        <w:spacing w:after="0"/>
        <w:ind w:left="714" w:hanging="357"/>
      </w:pPr>
      <w:r w:rsidRPr="00427F9C">
        <w:t xml:space="preserve">If the </w:t>
      </w:r>
      <w:r>
        <w:t>Licence Holder</w:t>
      </w:r>
      <w:r w:rsidRPr="00427F9C">
        <w:t xml:space="preserve"> does not accept </w:t>
      </w:r>
      <w:r>
        <w:t>some</w:t>
      </w:r>
      <w:r w:rsidRPr="00427F9C">
        <w:t xml:space="preserve"> or all of the auditor’s findings</w:t>
      </w:r>
      <w:r w:rsidR="00E620CA">
        <w:t>,</w:t>
      </w:r>
      <w:r w:rsidRPr="00427F9C">
        <w:t xml:space="preserve"> they should raise these with the auditor in the first instance. If </w:t>
      </w:r>
      <w:r>
        <w:t xml:space="preserve">an </w:t>
      </w:r>
      <w:r w:rsidRPr="00427F9C">
        <w:t xml:space="preserve">agreement cannot be reached, the </w:t>
      </w:r>
      <w:r>
        <w:t>Licence Holder</w:t>
      </w:r>
      <w:r w:rsidRPr="00427F9C">
        <w:t xml:space="preserve"> should </w:t>
      </w:r>
      <w:r>
        <w:t xml:space="preserve">then </w:t>
      </w:r>
      <w:r w:rsidRPr="00427F9C">
        <w:t>discuss their concerns with the APVMA</w:t>
      </w:r>
      <w:r w:rsidR="00781FA6">
        <w:t xml:space="preserve"> </w:t>
      </w:r>
      <w:r w:rsidR="00E620CA">
        <w:t xml:space="preserve">– as discussed in </w:t>
      </w:r>
      <w:r w:rsidRPr="00427F9C">
        <w:t xml:space="preserve">Section </w:t>
      </w:r>
      <w:r w:rsidR="00781FA6">
        <w:fldChar w:fldCharType="begin"/>
      </w:r>
      <w:r w:rsidR="00781FA6">
        <w:instrText xml:space="preserve"> REF _Ref158645917 \w \h </w:instrText>
      </w:r>
      <w:r w:rsidR="00781FA6">
        <w:fldChar w:fldCharType="separate"/>
      </w:r>
      <w:r w:rsidR="003A0149">
        <w:t>3.2</w:t>
      </w:r>
      <w:r w:rsidR="00781FA6">
        <w:fldChar w:fldCharType="end"/>
      </w:r>
      <w:r w:rsidRPr="00427F9C">
        <w:t>.</w:t>
      </w:r>
    </w:p>
    <w:p w14:paraId="5269B61D" w14:textId="531DA58B" w:rsidR="00632154" w:rsidRPr="00427F9C" w:rsidRDefault="00632154" w:rsidP="00632154">
      <w:pPr>
        <w:pStyle w:val="Bullet1"/>
        <w:spacing w:after="0"/>
        <w:ind w:left="714" w:hanging="357"/>
      </w:pPr>
      <w:r>
        <w:t>Licence Holders are encouraged to a</w:t>
      </w:r>
      <w:r w:rsidRPr="00427F9C">
        <w:t xml:space="preserve">lso complete </w:t>
      </w:r>
      <w:r w:rsidRPr="00DA080A">
        <w:rPr>
          <w:b/>
          <w:bCs/>
        </w:rPr>
        <w:t>Part 2</w:t>
      </w:r>
      <w:r w:rsidRPr="00427F9C">
        <w:t xml:space="preserve"> ‘Manufacturer’s feedback to APVMA </w:t>
      </w:r>
      <w:r w:rsidR="009F2979">
        <w:t xml:space="preserve">(online form </w:t>
      </w:r>
      <w:hyperlink r:id="rId59" w:history="1">
        <w:r w:rsidR="009F2979" w:rsidRPr="009F2979">
          <w:rPr>
            <w:rStyle w:val="Hyperlink"/>
          </w:rPr>
          <w:t>here</w:t>
        </w:r>
      </w:hyperlink>
      <w:r w:rsidR="003A0149">
        <w:t xml:space="preserve"> – please contact the APVMA if difficulty accessing this form)</w:t>
      </w:r>
      <w:r w:rsidR="009F2979">
        <w:t xml:space="preserve"> </w:t>
      </w:r>
      <w:r w:rsidRPr="00427F9C">
        <w:t xml:space="preserve">of the Response to </w:t>
      </w:r>
      <w:r>
        <w:t>GMP Audit Report</w:t>
      </w:r>
      <w:r w:rsidRPr="00427F9C">
        <w:t xml:space="preserve"> form. </w:t>
      </w:r>
      <w:r>
        <w:t>Licence Holder should</w:t>
      </w:r>
      <w:r w:rsidRPr="00427F9C">
        <w:t xml:space="preserve"> answer the questions in this section and provide comment on the auditor’s conduct, preparation</w:t>
      </w:r>
      <w:r w:rsidR="00E620CA">
        <w:t>,</w:t>
      </w:r>
      <w:r w:rsidRPr="00427F9C">
        <w:t xml:space="preserve"> and any other relevant information. This section remains confidential and will be viewed by </w:t>
      </w:r>
      <w:r w:rsidR="00E620CA">
        <w:t xml:space="preserve">the </w:t>
      </w:r>
      <w:r w:rsidRPr="00427F9C">
        <w:t>APVMA only</w:t>
      </w:r>
      <w:r>
        <w:t xml:space="preserve">. </w:t>
      </w:r>
      <w:r w:rsidR="00E620CA">
        <w:t>Although s</w:t>
      </w:r>
      <w:r w:rsidRPr="00427F9C">
        <w:t>pecific issues of concern may be discussed with the auditor</w:t>
      </w:r>
      <w:r w:rsidR="00E620CA">
        <w:t>,</w:t>
      </w:r>
      <w:r w:rsidRPr="00427F9C">
        <w:t xml:space="preserve"> </w:t>
      </w:r>
      <w:r w:rsidR="00E620CA">
        <w:t xml:space="preserve">this will be at a level above the detail provide by the Licence Holder. </w:t>
      </w:r>
      <w:r w:rsidR="00F46C03">
        <w:t xml:space="preserve">Responses will be de-identified and de-aggregated for sharing with other internal and external stakeholders. </w:t>
      </w:r>
    </w:p>
    <w:p w14:paraId="1198CCEB" w14:textId="6B6F0BF9" w:rsidR="00675AD6" w:rsidRDefault="00CD40B8" w:rsidP="00675AD6">
      <w:pPr>
        <w:pStyle w:val="NormalText"/>
      </w:pPr>
      <w:r w:rsidRPr="00CD40B8">
        <w:t xml:space="preserve">Once the APVMA has received the auditor’s written confirmation that all corrective actions arising from the audit have been completed, </w:t>
      </w:r>
      <w:r w:rsidR="00E620CA">
        <w:t xml:space="preserve">an internal review of the audit will be undertaken. The </w:t>
      </w:r>
      <w:r w:rsidRPr="00CD40B8">
        <w:t xml:space="preserve">APVMA will </w:t>
      </w:r>
      <w:r w:rsidR="00E620CA">
        <w:t xml:space="preserve">then </w:t>
      </w:r>
      <w:r w:rsidRPr="00CD40B8">
        <w:t xml:space="preserve">send written advice to the Licence Holder of its decision with respect to audit closure, licensing, </w:t>
      </w:r>
      <w:r w:rsidR="00E620CA">
        <w:t xml:space="preserve">and </w:t>
      </w:r>
      <w:r w:rsidRPr="00CD40B8">
        <w:t xml:space="preserve">notification of the due date </w:t>
      </w:r>
      <w:r w:rsidR="00781FA6">
        <w:t xml:space="preserve">for the next audit </w:t>
      </w:r>
      <w:r w:rsidRPr="00CD40B8">
        <w:t xml:space="preserve">and </w:t>
      </w:r>
      <w:r w:rsidR="00781FA6">
        <w:t xml:space="preserve">the first estimate of audit duration (Section </w:t>
      </w:r>
      <w:r w:rsidR="00781FA6">
        <w:fldChar w:fldCharType="begin"/>
      </w:r>
      <w:r w:rsidR="00781FA6">
        <w:instrText xml:space="preserve"> REF _Ref158645754 \w \h </w:instrText>
      </w:r>
      <w:r w:rsidR="00781FA6">
        <w:fldChar w:fldCharType="separate"/>
      </w:r>
      <w:r w:rsidR="003A0149">
        <w:t>3.1</w:t>
      </w:r>
      <w:r w:rsidR="00781FA6">
        <w:fldChar w:fldCharType="end"/>
      </w:r>
      <w:r w:rsidR="00781FA6">
        <w:t>).</w:t>
      </w:r>
    </w:p>
    <w:p w14:paraId="509C9A04" w14:textId="6CD96BB8" w:rsidR="00041720" w:rsidRDefault="00041720" w:rsidP="00675AD6">
      <w:pPr>
        <w:pStyle w:val="NormalText"/>
      </w:pPr>
      <w:r>
        <w:t>O</w:t>
      </w:r>
      <w:r w:rsidRPr="00427F9C">
        <w:t>nce the audit is closed out</w:t>
      </w:r>
      <w:r>
        <w:t xml:space="preserve">, the auditor must notify the APVMA that audit materials are </w:t>
      </w:r>
      <w:r w:rsidRPr="00427F9C">
        <w:t>securely stored.</w:t>
      </w:r>
    </w:p>
    <w:tbl>
      <w:tblPr>
        <w:tblStyle w:val="TableGrid"/>
        <w:tblW w:w="0" w:type="auto"/>
        <w:tblLook w:val="04A0" w:firstRow="1" w:lastRow="0" w:firstColumn="1" w:lastColumn="0" w:noHBand="0" w:noVBand="1"/>
      </w:tblPr>
      <w:tblGrid>
        <w:gridCol w:w="1413"/>
        <w:gridCol w:w="8216"/>
      </w:tblGrid>
      <w:tr w:rsidR="00675AD6" w14:paraId="11E28C18" w14:textId="77777777" w:rsidTr="001D5F73">
        <w:tc>
          <w:tcPr>
            <w:tcW w:w="1413" w:type="dxa"/>
            <w:vAlign w:val="center"/>
          </w:tcPr>
          <w:p w14:paraId="2DFA1768" w14:textId="77777777" w:rsidR="00675AD6" w:rsidRDefault="00675AD6" w:rsidP="001D5F73">
            <w:pPr>
              <w:pStyle w:val="NormalText"/>
              <w:spacing w:before="60" w:after="60" w:line="240" w:lineRule="auto"/>
              <w:jc w:val="center"/>
            </w:pPr>
            <w:r>
              <w:rPr>
                <w:noProof/>
              </w:rPr>
              <w:drawing>
                <wp:inline distT="0" distB="0" distL="0" distR="0" wp14:anchorId="3B2522CD" wp14:editId="1AB4E126">
                  <wp:extent cx="485714" cy="485714"/>
                  <wp:effectExtent l="0" t="0" r="0" b="0"/>
                  <wp:docPr id="1565245481" name="Picture 1565245481" descr="A white letter in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white letter in a black circle&#10;&#10;Description automatically generated"/>
                          <pic:cNvPicPr/>
                        </pic:nvPicPr>
                        <pic:blipFill>
                          <a:blip r:embed="rId32"/>
                          <a:stretch>
                            <a:fillRect/>
                          </a:stretch>
                        </pic:blipFill>
                        <pic:spPr>
                          <a:xfrm>
                            <a:off x="0" y="0"/>
                            <a:ext cx="485714" cy="485714"/>
                          </a:xfrm>
                          <a:prstGeom prst="rect">
                            <a:avLst/>
                          </a:prstGeom>
                        </pic:spPr>
                      </pic:pic>
                    </a:graphicData>
                  </a:graphic>
                </wp:inline>
              </w:drawing>
            </w:r>
          </w:p>
        </w:tc>
        <w:tc>
          <w:tcPr>
            <w:tcW w:w="8216" w:type="dxa"/>
            <w:shd w:val="clear" w:color="auto" w:fill="F2F2F2" w:themeFill="background1" w:themeFillShade="F2"/>
            <w:vAlign w:val="center"/>
          </w:tcPr>
          <w:p w14:paraId="6E60C7EC" w14:textId="77777777" w:rsidR="00675AD6" w:rsidRDefault="00675AD6" w:rsidP="001D5F73">
            <w:pPr>
              <w:pStyle w:val="NormalText"/>
              <w:spacing w:before="60" w:after="60" w:line="240" w:lineRule="auto"/>
              <w:jc w:val="both"/>
            </w:pPr>
            <w:r w:rsidRPr="00154DE6">
              <w:t xml:space="preserve">It is a condition of all licences that </w:t>
            </w:r>
            <w:r>
              <w:t>Licence Holders</w:t>
            </w:r>
            <w:r w:rsidRPr="00154DE6">
              <w:t xml:space="preserve"> must sign and submit all audit reports and related documentation to the APVMA within 25 working days of the audit </w:t>
            </w:r>
            <w:r>
              <w:t xml:space="preserve">completion </w:t>
            </w:r>
            <w:r w:rsidRPr="00154DE6">
              <w:t>date. Failure to provide the documentation within the required timeframe may result in suspension or cancellation of the licence for breach of licence condition</w:t>
            </w:r>
            <w:r>
              <w:t>.</w:t>
            </w:r>
          </w:p>
        </w:tc>
      </w:tr>
    </w:tbl>
    <w:p w14:paraId="3D0AFC67" w14:textId="1AAA53AB" w:rsidR="00F64E6E" w:rsidRDefault="00F64E6E" w:rsidP="00F64E6E">
      <w:pPr>
        <w:pStyle w:val="Heading3"/>
      </w:pPr>
      <w:bookmarkStart w:id="90" w:name="_Toc160083870"/>
      <w:r w:rsidRPr="00143836">
        <w:t>Audit close</w:t>
      </w:r>
      <w:r w:rsidR="00B16ACB">
        <w:t>-</w:t>
      </w:r>
      <w:r w:rsidRPr="00143836">
        <w:t xml:space="preserve">out by </w:t>
      </w:r>
      <w:r>
        <w:t>CAPA Plan</w:t>
      </w:r>
      <w:bookmarkEnd w:id="90"/>
    </w:p>
    <w:p w14:paraId="36C7C9D0" w14:textId="5CE53D8D" w:rsidR="008E27FE" w:rsidRDefault="008C53C3" w:rsidP="00F64E6E">
      <w:pPr>
        <w:pStyle w:val="NormalText"/>
      </w:pPr>
      <w:r w:rsidRPr="008C53C3">
        <w:t xml:space="preserve">Where the correction of non-conformances cannot be </w:t>
      </w:r>
      <w:r>
        <w:t xml:space="preserve">undertaken </w:t>
      </w:r>
      <w:r w:rsidRPr="008C53C3">
        <w:t xml:space="preserve">within </w:t>
      </w:r>
      <w:r>
        <w:t xml:space="preserve">the </w:t>
      </w:r>
      <w:r w:rsidRPr="008C53C3">
        <w:t xml:space="preserve">8-week </w:t>
      </w:r>
      <w:r>
        <w:t>period between completion of the audit</w:t>
      </w:r>
      <w:r w:rsidR="00470E49">
        <w:t>,</w:t>
      </w:r>
      <w:r>
        <w:t xml:space="preserve"> and the auditor’s review of the Licence Holder’s </w:t>
      </w:r>
      <w:r w:rsidRPr="008C53C3">
        <w:t>Response to GMP Audit Report form</w:t>
      </w:r>
      <w:r w:rsidR="00470E49">
        <w:t xml:space="preserve"> (see above)</w:t>
      </w:r>
      <w:r>
        <w:t xml:space="preserve">, </w:t>
      </w:r>
      <w:r w:rsidR="00470E49">
        <w:t xml:space="preserve">a </w:t>
      </w:r>
      <w:r w:rsidRPr="008C53C3">
        <w:t xml:space="preserve">CAPA Plan will be developed by the Licence Holder. </w:t>
      </w:r>
    </w:p>
    <w:p w14:paraId="76653FF2" w14:textId="37053648" w:rsidR="009A7D0F" w:rsidRDefault="009A7D0F" w:rsidP="008A5247">
      <w:pPr>
        <w:pStyle w:val="NormalText"/>
      </w:pPr>
      <w:r>
        <w:t xml:space="preserve">For Critical and Major non-conformances, the </w:t>
      </w:r>
      <w:r w:rsidR="008E27FE" w:rsidRPr="008E27FE">
        <w:t>CAPA Plan must</w:t>
      </w:r>
      <w:r w:rsidR="005B414F" w:rsidRPr="008E27FE">
        <w:t xml:space="preserve"> include </w:t>
      </w:r>
      <w:r>
        <w:t>the following:</w:t>
      </w:r>
    </w:p>
    <w:p w14:paraId="7D0BFF28" w14:textId="6B833E62" w:rsidR="009A7D0F" w:rsidRDefault="009A7D0F" w:rsidP="009A7D0F">
      <w:pPr>
        <w:pStyle w:val="Bullet1"/>
        <w:spacing w:after="0"/>
        <w:ind w:left="714" w:hanging="357"/>
      </w:pPr>
      <w:r>
        <w:t xml:space="preserve">An investigation of the root cause of all </w:t>
      </w:r>
      <w:r w:rsidR="004C005D">
        <w:t>Critical</w:t>
      </w:r>
      <w:r>
        <w:t xml:space="preserve"> and </w:t>
      </w:r>
      <w:r w:rsidR="004C005D">
        <w:t>Major</w:t>
      </w:r>
      <w:r>
        <w:t xml:space="preserve"> </w:t>
      </w:r>
      <w:r w:rsidR="004C005D">
        <w:t>non-conformances</w:t>
      </w:r>
    </w:p>
    <w:p w14:paraId="5048ABEC" w14:textId="21B814AF" w:rsidR="009A7D0F" w:rsidRDefault="009A7D0F" w:rsidP="009A7D0F">
      <w:pPr>
        <w:pStyle w:val="Bullet1"/>
        <w:spacing w:after="0"/>
        <w:ind w:left="714" w:hanging="357"/>
      </w:pPr>
      <w:r>
        <w:t>The details of the corrective action(s) to address the root cause</w:t>
      </w:r>
      <w:r w:rsidR="004C6220">
        <w:t>(s) of non-conformances</w:t>
      </w:r>
    </w:p>
    <w:p w14:paraId="0EF86975" w14:textId="10D3F60A" w:rsidR="009A7D0F" w:rsidRDefault="009A7D0F" w:rsidP="009A7D0F">
      <w:pPr>
        <w:pStyle w:val="Bullet1"/>
        <w:spacing w:after="0"/>
        <w:ind w:left="714" w:hanging="357"/>
      </w:pPr>
      <w:r>
        <w:t>The details of the preventative action(s) to address the root cause</w:t>
      </w:r>
      <w:r w:rsidR="004C6220">
        <w:t>(s) of non-conformances</w:t>
      </w:r>
    </w:p>
    <w:p w14:paraId="6AF2767B" w14:textId="2E9284E6" w:rsidR="009A7D0F" w:rsidRDefault="009A7D0F" w:rsidP="009A7D0F">
      <w:pPr>
        <w:pStyle w:val="Bullet1"/>
        <w:spacing w:after="0"/>
        <w:ind w:left="714" w:hanging="357"/>
      </w:pPr>
      <w:r>
        <w:t xml:space="preserve">The corrections to address the </w:t>
      </w:r>
      <w:r w:rsidR="004C005D">
        <w:t>non-conformance</w:t>
      </w:r>
      <w:r w:rsidR="004C6220">
        <w:t>s</w:t>
      </w:r>
      <w:r>
        <w:t xml:space="preserve"> </w:t>
      </w:r>
    </w:p>
    <w:p w14:paraId="02A8D4B8" w14:textId="4431A0B2" w:rsidR="009A7D0F" w:rsidRDefault="009A7D0F" w:rsidP="009A7D0F">
      <w:pPr>
        <w:pStyle w:val="Bullet1"/>
        <w:spacing w:after="0"/>
        <w:ind w:left="714" w:hanging="357"/>
      </w:pPr>
      <w:r>
        <w:t xml:space="preserve">The date </w:t>
      </w:r>
      <w:r w:rsidR="004C6220">
        <w:t xml:space="preserve">by which </w:t>
      </w:r>
      <w:r>
        <w:t>all actions will be complete</w:t>
      </w:r>
      <w:r w:rsidR="004C6220">
        <w:t>d</w:t>
      </w:r>
      <w:r>
        <w:t>.</w:t>
      </w:r>
    </w:p>
    <w:p w14:paraId="0256439B" w14:textId="6747CB68" w:rsidR="009A7D0F" w:rsidRDefault="009A7D0F" w:rsidP="008A5247">
      <w:pPr>
        <w:pStyle w:val="NormalText"/>
      </w:pPr>
      <w:r w:rsidRPr="009A7D0F">
        <w:t xml:space="preserve">For </w:t>
      </w:r>
      <w:r>
        <w:t>Minor non-conformances</w:t>
      </w:r>
      <w:r w:rsidR="009F2979">
        <w:t xml:space="preserve"> that cannot be resolved within 8-weeks of the audit, </w:t>
      </w:r>
      <w:r>
        <w:t xml:space="preserve">the </w:t>
      </w:r>
      <w:r w:rsidR="00AA7499">
        <w:t xml:space="preserve">CAPA </w:t>
      </w:r>
      <w:r>
        <w:t xml:space="preserve">Plan must include </w:t>
      </w:r>
      <w:r w:rsidRPr="009A7D0F">
        <w:t>the correcti</w:t>
      </w:r>
      <w:r w:rsidR="00AA7499">
        <w:t xml:space="preserve">ve actions to be taken </w:t>
      </w:r>
      <w:r w:rsidRPr="009A7D0F">
        <w:t xml:space="preserve">and </w:t>
      </w:r>
      <w:r>
        <w:t xml:space="preserve">the date by which </w:t>
      </w:r>
      <w:r w:rsidRPr="009A7D0F">
        <w:t>they will be completed</w:t>
      </w:r>
      <w:r>
        <w:t>. As relevant, and for all non</w:t>
      </w:r>
      <w:r w:rsidR="004110B7">
        <w:t>-</w:t>
      </w:r>
      <w:r>
        <w:t xml:space="preserve">conformances, the Plan should also include a list of </w:t>
      </w:r>
      <w:r w:rsidRPr="00427F9C">
        <w:t>any documents and their reference numbers</w:t>
      </w:r>
      <w:r w:rsidR="00056C7B">
        <w:t xml:space="preserve">, and may include </w:t>
      </w:r>
      <w:r w:rsidR="00056C7B">
        <w:lastRenderedPageBreak/>
        <w:t>a requirement for a verification audit</w:t>
      </w:r>
      <w:r w:rsidRPr="00427F9C">
        <w:t xml:space="preserve">. Guidance for </w:t>
      </w:r>
      <w:r>
        <w:t>Licence Holders</w:t>
      </w:r>
      <w:r w:rsidRPr="00427F9C">
        <w:t xml:space="preserve"> on the information that should be included in the </w:t>
      </w:r>
      <w:r>
        <w:t>P</w:t>
      </w:r>
      <w:r w:rsidRPr="00427F9C">
        <w:t xml:space="preserve">lan is </w:t>
      </w:r>
      <w:r w:rsidR="00AA7499">
        <w:t xml:space="preserve">given </w:t>
      </w:r>
      <w:r w:rsidRPr="00427F9C">
        <w:t>in Appendix C</w:t>
      </w:r>
      <w:r w:rsidR="00C07891">
        <w:t xml:space="preserve">. </w:t>
      </w:r>
    </w:p>
    <w:p w14:paraId="02D4A1FE" w14:textId="0DBA02B3" w:rsidR="00E4354C" w:rsidRDefault="008E27FE" w:rsidP="00E4354C">
      <w:pPr>
        <w:pStyle w:val="NormalText"/>
        <w:rPr>
          <w:color w:val="000000" w:themeColor="text1"/>
        </w:rPr>
      </w:pPr>
      <w:r>
        <w:t>Th</w:t>
      </w:r>
      <w:r w:rsidR="008A5247">
        <w:t xml:space="preserve">e CAPA </w:t>
      </w:r>
      <w:r>
        <w:t xml:space="preserve">Plan should be discussed with </w:t>
      </w:r>
      <w:r w:rsidRPr="008E27FE">
        <w:rPr>
          <w:color w:val="000000" w:themeColor="text1"/>
        </w:rPr>
        <w:t>the auditor, finalised, and submitted to the APVMA by the Licence Holder within the stated 8-week period.</w:t>
      </w:r>
      <w:r w:rsidR="008A5247">
        <w:rPr>
          <w:color w:val="000000" w:themeColor="text1"/>
        </w:rPr>
        <w:t xml:space="preserve"> </w:t>
      </w:r>
      <w:r w:rsidR="008A5247" w:rsidRPr="008A5247">
        <w:rPr>
          <w:color w:val="000000" w:themeColor="text1"/>
        </w:rPr>
        <w:t xml:space="preserve">The auditor </w:t>
      </w:r>
      <w:r w:rsidR="008A5247">
        <w:rPr>
          <w:color w:val="000000" w:themeColor="text1"/>
        </w:rPr>
        <w:t xml:space="preserve">must </w:t>
      </w:r>
      <w:r w:rsidR="00E4354C">
        <w:rPr>
          <w:color w:val="000000" w:themeColor="text1"/>
        </w:rPr>
        <w:t xml:space="preserve">also </w:t>
      </w:r>
      <w:r w:rsidR="008A5247" w:rsidRPr="008A5247">
        <w:rPr>
          <w:color w:val="000000" w:themeColor="text1"/>
        </w:rPr>
        <w:t xml:space="preserve">provide </w:t>
      </w:r>
      <w:r w:rsidR="008A5247">
        <w:rPr>
          <w:color w:val="000000" w:themeColor="text1"/>
        </w:rPr>
        <w:t xml:space="preserve">the APVMA with </w:t>
      </w:r>
      <w:r w:rsidR="008A5247" w:rsidRPr="008A5247">
        <w:rPr>
          <w:color w:val="000000" w:themeColor="text1"/>
        </w:rPr>
        <w:t xml:space="preserve">a </w:t>
      </w:r>
      <w:r w:rsidR="008A5247">
        <w:rPr>
          <w:color w:val="000000" w:themeColor="text1"/>
        </w:rPr>
        <w:t xml:space="preserve">signed </w:t>
      </w:r>
      <w:r w:rsidR="008A5247" w:rsidRPr="008A5247">
        <w:rPr>
          <w:color w:val="000000" w:themeColor="text1"/>
        </w:rPr>
        <w:t>copy of th</w:t>
      </w:r>
      <w:r w:rsidR="00E4354C">
        <w:rPr>
          <w:color w:val="000000" w:themeColor="text1"/>
        </w:rPr>
        <w:t xml:space="preserve">e </w:t>
      </w:r>
      <w:r w:rsidR="008A5247">
        <w:rPr>
          <w:color w:val="000000" w:themeColor="text1"/>
        </w:rPr>
        <w:t>P</w:t>
      </w:r>
      <w:r w:rsidR="008A5247" w:rsidRPr="008A5247">
        <w:rPr>
          <w:color w:val="000000" w:themeColor="text1"/>
        </w:rPr>
        <w:t>lan</w:t>
      </w:r>
      <w:r w:rsidR="00E4354C">
        <w:rPr>
          <w:color w:val="000000" w:themeColor="text1"/>
        </w:rPr>
        <w:t>, endorsing its corrective actions and timelines</w:t>
      </w:r>
      <w:r w:rsidR="008A5247" w:rsidRPr="008A5247">
        <w:rPr>
          <w:color w:val="000000" w:themeColor="text1"/>
        </w:rPr>
        <w:t>.</w:t>
      </w:r>
      <w:r w:rsidR="008A5247">
        <w:rPr>
          <w:color w:val="000000" w:themeColor="text1"/>
        </w:rPr>
        <w:t xml:space="preserve"> </w:t>
      </w:r>
      <w:r w:rsidR="00E4354C">
        <w:rPr>
          <w:color w:val="000000" w:themeColor="text1"/>
        </w:rPr>
        <w:t xml:space="preserve">The APVMA will then review the Plan and, if acceptable, </w:t>
      </w:r>
      <w:r w:rsidRPr="008E27FE">
        <w:rPr>
          <w:color w:val="000000" w:themeColor="text1"/>
        </w:rPr>
        <w:t xml:space="preserve">audit close-out will </w:t>
      </w:r>
      <w:r w:rsidR="00E4354C">
        <w:rPr>
          <w:color w:val="000000" w:themeColor="text1"/>
        </w:rPr>
        <w:t xml:space="preserve">at this point </w:t>
      </w:r>
      <w:r w:rsidRPr="008E27FE">
        <w:rPr>
          <w:color w:val="000000" w:themeColor="text1"/>
        </w:rPr>
        <w:t xml:space="preserve">be transitioned to the APVMA. </w:t>
      </w:r>
      <w:r w:rsidR="00E4354C">
        <w:rPr>
          <w:color w:val="000000" w:themeColor="text1"/>
        </w:rPr>
        <w:t xml:space="preserve">If changes </w:t>
      </w:r>
      <w:r w:rsidR="00056C7B">
        <w:rPr>
          <w:color w:val="000000" w:themeColor="text1"/>
        </w:rPr>
        <w:t xml:space="preserve">to actions or timelines </w:t>
      </w:r>
      <w:r w:rsidR="00E4354C">
        <w:rPr>
          <w:color w:val="000000" w:themeColor="text1"/>
        </w:rPr>
        <w:t xml:space="preserve">are required, these will be </w:t>
      </w:r>
      <w:r w:rsidR="00056C7B">
        <w:rPr>
          <w:color w:val="000000" w:themeColor="text1"/>
        </w:rPr>
        <w:t xml:space="preserve">negotiated with the Licence Holder and auditor. </w:t>
      </w:r>
    </w:p>
    <w:p w14:paraId="17438D93" w14:textId="7A9106B2" w:rsidR="008A5247" w:rsidRDefault="008A5247" w:rsidP="008A5247">
      <w:pPr>
        <w:pStyle w:val="NormalText"/>
        <w:rPr>
          <w:color w:val="000000" w:themeColor="text1"/>
        </w:rPr>
      </w:pPr>
      <w:r w:rsidRPr="009A7D0F">
        <w:rPr>
          <w:b/>
          <w:bCs/>
          <w:color w:val="000000" w:themeColor="text1"/>
        </w:rPr>
        <w:t>Failure to submit an acceptable CAPA Plan</w:t>
      </w:r>
      <w:r>
        <w:rPr>
          <w:color w:val="000000" w:themeColor="text1"/>
        </w:rPr>
        <w:t xml:space="preserve">: in </w:t>
      </w:r>
      <w:r w:rsidR="009A7D0F">
        <w:rPr>
          <w:color w:val="000000" w:themeColor="text1"/>
        </w:rPr>
        <w:t xml:space="preserve">the </w:t>
      </w:r>
      <w:r>
        <w:rPr>
          <w:color w:val="000000" w:themeColor="text1"/>
        </w:rPr>
        <w:t xml:space="preserve">situation where the Licence Holder and auditor cannot agree to a Plan that is acceptable to both, the APVMA will </w:t>
      </w:r>
      <w:r w:rsidR="00D8003C">
        <w:rPr>
          <w:color w:val="000000" w:themeColor="text1"/>
        </w:rPr>
        <w:t xml:space="preserve">form an APVMA Review Panel (Section </w:t>
      </w:r>
      <w:r w:rsidR="00D8003C">
        <w:rPr>
          <w:color w:val="000000" w:themeColor="text1"/>
        </w:rPr>
        <w:fldChar w:fldCharType="begin"/>
      </w:r>
      <w:r w:rsidR="00D8003C">
        <w:rPr>
          <w:color w:val="000000" w:themeColor="text1"/>
        </w:rPr>
        <w:instrText xml:space="preserve"> REF _Ref158649453 \w \h </w:instrText>
      </w:r>
      <w:r w:rsidR="00D8003C">
        <w:rPr>
          <w:color w:val="000000" w:themeColor="text1"/>
        </w:rPr>
      </w:r>
      <w:r w:rsidR="00D8003C">
        <w:rPr>
          <w:color w:val="000000" w:themeColor="text1"/>
        </w:rPr>
        <w:fldChar w:fldCharType="separate"/>
      </w:r>
      <w:r w:rsidR="003A0149">
        <w:rPr>
          <w:color w:val="000000" w:themeColor="text1"/>
        </w:rPr>
        <w:t>3.2</w:t>
      </w:r>
      <w:r w:rsidR="00D8003C">
        <w:rPr>
          <w:color w:val="000000" w:themeColor="text1"/>
        </w:rPr>
        <w:fldChar w:fldCharType="end"/>
      </w:r>
      <w:r w:rsidR="00D8003C">
        <w:rPr>
          <w:color w:val="000000" w:themeColor="text1"/>
        </w:rPr>
        <w:t xml:space="preserve">). </w:t>
      </w:r>
      <w:r>
        <w:rPr>
          <w:color w:val="000000" w:themeColor="text1"/>
        </w:rPr>
        <w:t xml:space="preserve">If a prolonged disagreement </w:t>
      </w:r>
      <w:r w:rsidR="00D8003C">
        <w:rPr>
          <w:color w:val="000000" w:themeColor="text1"/>
        </w:rPr>
        <w:t>appears u</w:t>
      </w:r>
      <w:r>
        <w:rPr>
          <w:color w:val="000000" w:themeColor="text1"/>
        </w:rPr>
        <w:t xml:space="preserve">navoidable, the APVMA will terminate the auditor’s </w:t>
      </w:r>
      <w:r w:rsidR="00D8003C">
        <w:rPr>
          <w:color w:val="000000" w:themeColor="text1"/>
        </w:rPr>
        <w:t xml:space="preserve">ongoing </w:t>
      </w:r>
      <w:r>
        <w:rPr>
          <w:color w:val="000000" w:themeColor="text1"/>
        </w:rPr>
        <w:t xml:space="preserve">involvement and </w:t>
      </w:r>
      <w:r w:rsidR="009A7D0F">
        <w:rPr>
          <w:color w:val="000000" w:themeColor="text1"/>
        </w:rPr>
        <w:t xml:space="preserve">will </w:t>
      </w:r>
      <w:r>
        <w:rPr>
          <w:color w:val="000000" w:themeColor="text1"/>
        </w:rPr>
        <w:t xml:space="preserve">take responsibility for development of the Plan. If a </w:t>
      </w:r>
      <w:r w:rsidR="009A7D0F">
        <w:rPr>
          <w:color w:val="000000" w:themeColor="text1"/>
        </w:rPr>
        <w:t>P</w:t>
      </w:r>
      <w:r>
        <w:rPr>
          <w:color w:val="000000" w:themeColor="text1"/>
        </w:rPr>
        <w:t>lan cannot be developed to a standard that is acceptable to the APVMA within 16 calendar weeks (</w:t>
      </w:r>
      <w:r w:rsidRPr="008A5247">
        <w:rPr>
          <w:color w:val="000000" w:themeColor="text1"/>
        </w:rPr>
        <w:t>four months</w:t>
      </w:r>
      <w:r>
        <w:rPr>
          <w:color w:val="000000" w:themeColor="text1"/>
        </w:rPr>
        <w:t>)</w:t>
      </w:r>
      <w:r w:rsidRPr="008A5247">
        <w:rPr>
          <w:color w:val="000000" w:themeColor="text1"/>
        </w:rPr>
        <w:t xml:space="preserve"> of </w:t>
      </w:r>
      <w:r>
        <w:rPr>
          <w:color w:val="000000" w:themeColor="text1"/>
        </w:rPr>
        <w:t xml:space="preserve">completion of the </w:t>
      </w:r>
      <w:r w:rsidRPr="008A5247">
        <w:rPr>
          <w:color w:val="000000" w:themeColor="text1"/>
        </w:rPr>
        <w:t xml:space="preserve">audit, the facility will be considered non-compliant with Regulation 61 (3A) and </w:t>
      </w:r>
      <w:r>
        <w:rPr>
          <w:color w:val="000000" w:themeColor="text1"/>
        </w:rPr>
        <w:t xml:space="preserve">will be </w:t>
      </w:r>
      <w:r w:rsidRPr="008A5247">
        <w:rPr>
          <w:color w:val="000000" w:themeColor="text1"/>
        </w:rPr>
        <w:t>managed accordingly.</w:t>
      </w:r>
    </w:p>
    <w:p w14:paraId="32A04C0E" w14:textId="3B32654B" w:rsidR="00781FA6" w:rsidRDefault="00913D74" w:rsidP="00781FA6">
      <w:pPr>
        <w:pStyle w:val="NormalText"/>
      </w:pPr>
      <w:r w:rsidRPr="00913D74">
        <w:rPr>
          <w:b/>
          <w:bCs/>
        </w:rPr>
        <w:t>Audit close-out</w:t>
      </w:r>
      <w:r>
        <w:t xml:space="preserve">: </w:t>
      </w:r>
      <w:r w:rsidR="003E79BA">
        <w:t xml:space="preserve">once transitioned to the APVMA, the APVMA will assume responsibility for monitoring completion of the tasks </w:t>
      </w:r>
      <w:r w:rsidR="00696523">
        <w:t xml:space="preserve">within the </w:t>
      </w:r>
      <w:r w:rsidR="003E79BA">
        <w:t xml:space="preserve">timelines detailed </w:t>
      </w:r>
      <w:r w:rsidR="00696523">
        <w:t xml:space="preserve">in </w:t>
      </w:r>
      <w:r w:rsidR="003E79BA">
        <w:t xml:space="preserve">the Licence Holder’s CAPA Plan. </w:t>
      </w:r>
      <w:r w:rsidR="00A93EA7">
        <w:t xml:space="preserve">Note that </w:t>
      </w:r>
      <w:r>
        <w:t>Licence Holders are expected to observe the</w:t>
      </w:r>
      <w:r w:rsidR="00A93EA7">
        <w:t>se</w:t>
      </w:r>
      <w:r>
        <w:t xml:space="preserve"> time</w:t>
      </w:r>
      <w:r w:rsidR="00A93EA7">
        <w:t xml:space="preserve">lines </w:t>
      </w:r>
      <w:r>
        <w:t>unless written advice to the contrary is obtained from the APVMA.</w:t>
      </w:r>
      <w:r w:rsidR="00A93EA7">
        <w:t xml:space="preserve"> </w:t>
      </w:r>
      <w:r w:rsidR="00D20064">
        <w:t xml:space="preserve">Note also that failure to </w:t>
      </w:r>
      <w:r w:rsidR="00D70A0A">
        <w:t xml:space="preserve">complete the tasks described within the timelines </w:t>
      </w:r>
      <w:r w:rsidR="002D6112">
        <w:t>stated</w:t>
      </w:r>
      <w:r w:rsidR="00D70A0A">
        <w:t xml:space="preserve"> may result in regulatory action by the APVMA. This may include</w:t>
      </w:r>
      <w:r w:rsidR="007F0B5E">
        <w:t>, as relevant,</w:t>
      </w:r>
      <w:r w:rsidR="00D70A0A">
        <w:t xml:space="preserve"> </w:t>
      </w:r>
      <w:r w:rsidR="00AA7D3D">
        <w:t xml:space="preserve">licensing action or adjustment of the Licence Holder’s audit interval (Section </w:t>
      </w:r>
      <w:r w:rsidR="00AA7D3D">
        <w:fldChar w:fldCharType="begin"/>
      </w:r>
      <w:r w:rsidR="00AA7D3D">
        <w:instrText xml:space="preserve"> REF _Ref158643091 \w \h </w:instrText>
      </w:r>
      <w:r w:rsidR="00AA7D3D">
        <w:fldChar w:fldCharType="separate"/>
      </w:r>
      <w:r w:rsidR="003A0149">
        <w:t>4</w:t>
      </w:r>
      <w:r w:rsidR="00AA7D3D">
        <w:fldChar w:fldCharType="end"/>
      </w:r>
      <w:r w:rsidR="00AA7D3D">
        <w:t>).</w:t>
      </w:r>
      <w:r w:rsidR="00781FA6">
        <w:t xml:space="preserve"> </w:t>
      </w:r>
      <w:r w:rsidR="007F0B5E">
        <w:t xml:space="preserve">Once the CAPA Plan has been completed to the satisfaction of the APVMA, the APVMA will review the audit and close it out. At this point, </w:t>
      </w:r>
      <w:r w:rsidR="00781FA6">
        <w:t xml:space="preserve">the APVMA will issue an audit outcome letter that includes, amongst other things, the due date for the next audit and the first estimate of audit duration (Section </w:t>
      </w:r>
      <w:r w:rsidR="00781FA6">
        <w:fldChar w:fldCharType="begin"/>
      </w:r>
      <w:r w:rsidR="00781FA6">
        <w:instrText xml:space="preserve"> REF _Ref158645754 \w \h </w:instrText>
      </w:r>
      <w:r w:rsidR="00781FA6">
        <w:fldChar w:fldCharType="separate"/>
      </w:r>
      <w:r w:rsidR="003A0149">
        <w:t>3.1</w:t>
      </w:r>
      <w:r w:rsidR="00781FA6">
        <w:fldChar w:fldCharType="end"/>
      </w:r>
      <w:r w:rsidR="00781FA6">
        <w:t xml:space="preserve">). </w:t>
      </w:r>
    </w:p>
    <w:p w14:paraId="6EB523E8" w14:textId="62AA1D31" w:rsidR="0068425F" w:rsidRDefault="0068425F" w:rsidP="0068425F">
      <w:pPr>
        <w:pStyle w:val="Heading3"/>
      </w:pPr>
      <w:bookmarkStart w:id="91" w:name="_Toc160083871"/>
      <w:r>
        <w:t>Verification audits</w:t>
      </w:r>
      <w:bookmarkEnd w:id="91"/>
    </w:p>
    <w:p w14:paraId="59439C02" w14:textId="6EC029CF" w:rsidR="0068425F" w:rsidRPr="00427F9C" w:rsidRDefault="0068425F" w:rsidP="0068425F">
      <w:pPr>
        <w:pStyle w:val="NormalText"/>
      </w:pPr>
      <w:r w:rsidRPr="00427F9C">
        <w:t xml:space="preserve">Verification audits involve an on-site inspection or visit by the auditor. The verification audit differs from routine audits in that the scope of the audit </w:t>
      </w:r>
      <w:r w:rsidR="00E06C67">
        <w:t xml:space="preserve">will be </w:t>
      </w:r>
      <w:r w:rsidRPr="00427F9C">
        <w:t>restricted to confirming that non-conformances identified at the previous full audit have been satisfactorily addressed. </w:t>
      </w:r>
    </w:p>
    <w:p w14:paraId="11C4D0EC" w14:textId="79845719" w:rsidR="0068425F" w:rsidRPr="00427F9C" w:rsidRDefault="0068425F" w:rsidP="0068425F">
      <w:pPr>
        <w:pStyle w:val="NormalText"/>
      </w:pPr>
      <w:r w:rsidRPr="00427F9C">
        <w:t xml:space="preserve">The procedure for a verification audit will be similar to that for a full audit, except that </w:t>
      </w:r>
      <w:r w:rsidR="007F2F9C">
        <w:t xml:space="preserve">a </w:t>
      </w:r>
      <w:r w:rsidRPr="00427F9C">
        <w:t>product</w:t>
      </w:r>
      <w:r w:rsidR="007F2F9C">
        <w:t xml:space="preserve">-specific evaluation </w:t>
      </w:r>
      <w:r w:rsidRPr="00427F9C">
        <w:t>will not usually be required and the APVMA will not usually provide the auditor with any further information unless it is specifically requested.</w:t>
      </w:r>
    </w:p>
    <w:p w14:paraId="468F9931" w14:textId="10DE2B50" w:rsidR="0068425F" w:rsidRPr="00427F9C" w:rsidRDefault="0068425F" w:rsidP="0068425F">
      <w:pPr>
        <w:pStyle w:val="NormalText"/>
      </w:pPr>
      <w:r w:rsidRPr="00427F9C">
        <w:t xml:space="preserve">Where the non-conformances are of a </w:t>
      </w:r>
      <w:r w:rsidR="004C005D">
        <w:t>Critical</w:t>
      </w:r>
      <w:r w:rsidRPr="00427F9C">
        <w:t xml:space="preserve"> nature, or where the </w:t>
      </w:r>
      <w:r>
        <w:t xml:space="preserve">Licence Holder </w:t>
      </w:r>
      <w:r w:rsidRPr="00427F9C">
        <w:t xml:space="preserve">disputes the auditor’s findings, </w:t>
      </w:r>
      <w:r w:rsidR="007F2F9C">
        <w:t xml:space="preserve">the </w:t>
      </w:r>
      <w:r>
        <w:t xml:space="preserve">Licence Holder </w:t>
      </w:r>
      <w:r w:rsidRPr="00427F9C">
        <w:t>is advised to use the dispute resolution process</w:t>
      </w:r>
      <w:r w:rsidR="00781FA6">
        <w:t xml:space="preserve"> (S</w:t>
      </w:r>
      <w:r w:rsidRPr="00427F9C">
        <w:t>ection</w:t>
      </w:r>
      <w:r w:rsidR="00781FA6">
        <w:t xml:space="preserve"> </w:t>
      </w:r>
      <w:r w:rsidR="00781FA6">
        <w:fldChar w:fldCharType="begin"/>
      </w:r>
      <w:r w:rsidR="00781FA6">
        <w:instrText xml:space="preserve"> REF _Ref158645966 \w \h </w:instrText>
      </w:r>
      <w:r w:rsidR="00781FA6">
        <w:fldChar w:fldCharType="separate"/>
      </w:r>
      <w:r w:rsidR="003A0149">
        <w:t>3.2</w:t>
      </w:r>
      <w:r w:rsidR="00781FA6">
        <w:fldChar w:fldCharType="end"/>
      </w:r>
      <w:r w:rsidR="00781FA6">
        <w:t>)</w:t>
      </w:r>
      <w:r w:rsidRPr="00427F9C">
        <w:t>.</w:t>
      </w:r>
    </w:p>
    <w:p w14:paraId="0DF4D421" w14:textId="52844448" w:rsidR="0068425F" w:rsidRPr="00427F9C" w:rsidRDefault="0068425F" w:rsidP="00154453">
      <w:pPr>
        <w:pStyle w:val="NormalText"/>
        <w:keepNext/>
        <w:keepLines/>
      </w:pPr>
      <w:r w:rsidRPr="00427F9C">
        <w:t xml:space="preserve">Each time a verification audit or desk review is performed to review corrective actions or plan, the auditor </w:t>
      </w:r>
      <w:r>
        <w:t>must</w:t>
      </w:r>
      <w:r w:rsidRPr="00427F9C">
        <w:t xml:space="preserve"> complete a </w:t>
      </w:r>
      <w:hyperlink r:id="rId60" w:history="1">
        <w:r w:rsidRPr="009019C0">
          <w:rPr>
            <w:rStyle w:val="Hyperlink"/>
          </w:rPr>
          <w:t>Corrective Action Review form</w:t>
        </w:r>
      </w:hyperlink>
      <w:r>
        <w:t xml:space="preserve"> (MQL_24) </w:t>
      </w:r>
      <w:r w:rsidRPr="00427F9C">
        <w:t xml:space="preserve">noting the non-conformance number, specific evidence reviewed, and its acceptability. If further corrective action is required, the auditor should note the new due date for re-submission of evidence on the form. In most cases, the maximum period allowed should be 15 working days. The auditor will send the form to the </w:t>
      </w:r>
      <w:r>
        <w:t xml:space="preserve">Licence Holder </w:t>
      </w:r>
      <w:r w:rsidRPr="00427F9C">
        <w:t xml:space="preserve">and a copy to the APVMA within </w:t>
      </w:r>
      <w:r w:rsidR="00154453">
        <w:t>15</w:t>
      </w:r>
      <w:r w:rsidR="00154453" w:rsidRPr="00427F9C">
        <w:t xml:space="preserve"> </w:t>
      </w:r>
      <w:r w:rsidRPr="00427F9C">
        <w:t>working days of receipt of submissions for desk review.</w:t>
      </w:r>
    </w:p>
    <w:p w14:paraId="047ABBFA" w14:textId="77777777" w:rsidR="0068425F" w:rsidRPr="00427F9C" w:rsidRDefault="0068425F" w:rsidP="0068425F">
      <w:pPr>
        <w:pStyle w:val="NormalText"/>
      </w:pPr>
      <w:r w:rsidRPr="00427F9C">
        <w:t xml:space="preserve">Once all non-conformances are closed out to the auditor’s satisfaction (by evidence or plan), this should be indicated on the Corrective </w:t>
      </w:r>
      <w:r>
        <w:t>A</w:t>
      </w:r>
      <w:r w:rsidRPr="00427F9C">
        <w:t xml:space="preserve">ction </w:t>
      </w:r>
      <w:r>
        <w:t>R</w:t>
      </w:r>
      <w:r w:rsidRPr="00427F9C">
        <w:t>eview</w:t>
      </w:r>
      <w:r>
        <w:t xml:space="preserve"> form</w:t>
      </w:r>
      <w:r w:rsidRPr="00427F9C">
        <w:t xml:space="preserve"> by ticking the ‘YES’ box.</w:t>
      </w:r>
    </w:p>
    <w:p w14:paraId="738A0BF5" w14:textId="77777777" w:rsidR="0068425F" w:rsidRPr="00427F9C" w:rsidRDefault="0068425F" w:rsidP="0068425F">
      <w:pPr>
        <w:pStyle w:val="NormalText"/>
      </w:pPr>
      <w:r w:rsidRPr="00427F9C">
        <w:lastRenderedPageBreak/>
        <w:t>In the event that a verification audit or desk-review is delayed</w:t>
      </w:r>
      <w:r>
        <w:t>,</w:t>
      </w:r>
      <w:r w:rsidRPr="00427F9C">
        <w:t xml:space="preserve"> or submissions are not received by the due date, the auditor should advise the APVMA of the status of the arrangements for closure. The APVMA will follow-up with the </w:t>
      </w:r>
      <w:r>
        <w:t xml:space="preserve">Licence Holder </w:t>
      </w:r>
      <w:r w:rsidRPr="00427F9C">
        <w:t>where necessary.</w:t>
      </w:r>
    </w:p>
    <w:p w14:paraId="4E69579C" w14:textId="45343663" w:rsidR="00761309" w:rsidRPr="00427F9C" w:rsidRDefault="00761309" w:rsidP="00310EAD">
      <w:pPr>
        <w:pStyle w:val="Heading1"/>
        <w:ind w:left="357" w:hanging="357"/>
        <w:jc w:val="both"/>
      </w:pPr>
      <w:bookmarkStart w:id="92" w:name="_Toc145432941"/>
      <w:bookmarkStart w:id="93" w:name="_Toc145606331"/>
      <w:bookmarkStart w:id="94" w:name="_Ref158643091"/>
      <w:bookmarkStart w:id="95" w:name="_Toc160083872"/>
      <w:r w:rsidRPr="00427F9C">
        <w:lastRenderedPageBreak/>
        <w:t>A</w:t>
      </w:r>
      <w:r w:rsidR="008C4A3F">
        <w:t>udit interval and scheduling</w:t>
      </w:r>
      <w:bookmarkEnd w:id="92"/>
      <w:bookmarkEnd w:id="93"/>
      <w:bookmarkEnd w:id="94"/>
      <w:bookmarkEnd w:id="95"/>
    </w:p>
    <w:p w14:paraId="49C9DFC1" w14:textId="2E677DE7" w:rsidR="00230979" w:rsidRDefault="00230979" w:rsidP="00230979">
      <w:pPr>
        <w:pStyle w:val="NormalText"/>
      </w:pPr>
      <w:r>
        <w:t xml:space="preserve">Audit intervals </w:t>
      </w:r>
      <w:r w:rsidR="00C430DA">
        <w:t>will be</w:t>
      </w:r>
      <w:r>
        <w:t xml:space="preserve"> allocated to Licence Holder</w:t>
      </w:r>
      <w:r w:rsidR="00C430DA">
        <w:t>s</w:t>
      </w:r>
      <w:r>
        <w:t xml:space="preserve"> based on the scheme outlined in </w:t>
      </w:r>
      <w:r>
        <w:fldChar w:fldCharType="begin"/>
      </w:r>
      <w:r>
        <w:instrText xml:space="preserve"> REF _Ref158366104 \h </w:instrText>
      </w:r>
      <w:r>
        <w:fldChar w:fldCharType="separate"/>
      </w:r>
      <w:r w:rsidR="003A0149" w:rsidRPr="00427F9C">
        <w:t xml:space="preserve">Table </w:t>
      </w:r>
      <w:r w:rsidR="003A0149">
        <w:rPr>
          <w:noProof/>
        </w:rPr>
        <w:t>1</w:t>
      </w:r>
      <w:r>
        <w:fldChar w:fldCharType="end"/>
      </w:r>
      <w:r w:rsidR="00C430DA">
        <w:t xml:space="preserve"> below</w:t>
      </w:r>
      <w:r>
        <w:t xml:space="preserve">. This scheme classifies Licence Holders according to </w:t>
      </w:r>
      <w:r w:rsidR="00C430DA">
        <w:t xml:space="preserve">the following </w:t>
      </w:r>
      <w:r>
        <w:t>four audit levels:</w:t>
      </w:r>
    </w:p>
    <w:p w14:paraId="08377C36" w14:textId="72998ED9" w:rsidR="00230979" w:rsidRDefault="00230979" w:rsidP="00230979">
      <w:pPr>
        <w:pStyle w:val="NormalText"/>
        <w:numPr>
          <w:ilvl w:val="0"/>
          <w:numId w:val="20"/>
        </w:numPr>
      </w:pPr>
      <w:r w:rsidRPr="00E170DD">
        <w:rPr>
          <w:u w:val="single"/>
        </w:rPr>
        <w:t>Audit level 1</w:t>
      </w:r>
      <w:r>
        <w:t xml:space="preserve">: assigned when the audit has reported no </w:t>
      </w:r>
      <w:r w:rsidR="004C005D">
        <w:t>Major</w:t>
      </w:r>
      <w:r>
        <w:t xml:space="preserve"> non-conformances and the non-conformance score is less than 7. When a manufacturing site is assigned an audit level 1, the high levels of compliance with the manufacturing standards provide a basis for allocating longer audit intervals.</w:t>
      </w:r>
    </w:p>
    <w:p w14:paraId="13FAFF09" w14:textId="1794AE62" w:rsidR="00230979" w:rsidRDefault="00230979" w:rsidP="00230979">
      <w:pPr>
        <w:pStyle w:val="NormalText"/>
        <w:numPr>
          <w:ilvl w:val="0"/>
          <w:numId w:val="20"/>
        </w:numPr>
      </w:pPr>
      <w:r w:rsidRPr="00E170DD">
        <w:rPr>
          <w:u w:val="single"/>
        </w:rPr>
        <w:t>Audit level 2</w:t>
      </w:r>
      <w:r>
        <w:t xml:space="preserve">: assigned when an audit has reported no more than 5 </w:t>
      </w:r>
      <w:r w:rsidR="004C005D">
        <w:t>Major</w:t>
      </w:r>
      <w:r>
        <w:t xml:space="preserve"> non-conformances and their non-conformance score is between 7 and 20. This means the APVMA considers manufacturing sites with an audit level 2 rating to have a functioning quality management system, although with some identifiable weaknesses to address.</w:t>
      </w:r>
    </w:p>
    <w:p w14:paraId="11F4BECE" w14:textId="23373447" w:rsidR="00230979" w:rsidRDefault="00230979" w:rsidP="00230979">
      <w:pPr>
        <w:pStyle w:val="NormalText"/>
        <w:numPr>
          <w:ilvl w:val="0"/>
          <w:numId w:val="20"/>
        </w:numPr>
      </w:pPr>
      <w:r w:rsidRPr="00E170DD">
        <w:rPr>
          <w:u w:val="single"/>
        </w:rPr>
        <w:t>Audit level 3</w:t>
      </w:r>
      <w:r>
        <w:t xml:space="preserve">: assigned when non-conformance scores total 21 to 40, with no more than 10 </w:t>
      </w:r>
      <w:r w:rsidR="004C005D">
        <w:t>Major</w:t>
      </w:r>
      <w:r>
        <w:t xml:space="preserve"> non-conformances. For manufacturers assigned an audit level 3 rating, the audit intervals will remain similar to those applied prior to 1 March 2016.</w:t>
      </w:r>
    </w:p>
    <w:p w14:paraId="0609F277" w14:textId="217626DB" w:rsidR="00230979" w:rsidRDefault="00230979" w:rsidP="00230979">
      <w:pPr>
        <w:pStyle w:val="NormalText"/>
        <w:numPr>
          <w:ilvl w:val="0"/>
          <w:numId w:val="20"/>
        </w:numPr>
      </w:pPr>
      <w:r w:rsidRPr="00E170DD">
        <w:rPr>
          <w:u w:val="single"/>
        </w:rPr>
        <w:t>Audit level 4</w:t>
      </w:r>
      <w:r>
        <w:t xml:space="preserve">: assigned when the audit reports more than 10 </w:t>
      </w:r>
      <w:r w:rsidR="004C005D">
        <w:t>Major</w:t>
      </w:r>
      <w:r>
        <w:t xml:space="preserve"> non-conformances and/or a non-conformance score greater than 40. </w:t>
      </w:r>
    </w:p>
    <w:p w14:paraId="225EE3CD" w14:textId="0410B440" w:rsidR="00230979" w:rsidRDefault="00E170DD" w:rsidP="00230979">
      <w:pPr>
        <w:pStyle w:val="NormalText"/>
      </w:pPr>
      <w:r w:rsidRPr="00E170DD">
        <w:rPr>
          <w:b/>
          <w:bCs/>
        </w:rPr>
        <w:t>Extension to audit interval</w:t>
      </w:r>
      <w:r>
        <w:t xml:space="preserve">: </w:t>
      </w:r>
      <w:r w:rsidR="00230979">
        <w:t>Licence Holders who consistently demonstrate high levels of compliance may be given an extension on their audit interval. The consistency extension will only be granted where the facility has maintained a rating of audit level 1 for 2 or more consecutive audits.</w:t>
      </w:r>
    </w:p>
    <w:p w14:paraId="5CECA75D" w14:textId="31C30F72" w:rsidR="00230979" w:rsidRDefault="00230979" w:rsidP="00230979">
      <w:pPr>
        <w:pStyle w:val="NormalText"/>
      </w:pPr>
      <w:r w:rsidRPr="00230979">
        <w:rPr>
          <w:b/>
          <w:bCs/>
        </w:rPr>
        <w:t xml:space="preserve">Exception for </w:t>
      </w:r>
      <w:r w:rsidR="004C005D">
        <w:rPr>
          <w:b/>
          <w:bCs/>
        </w:rPr>
        <w:t>Critical</w:t>
      </w:r>
      <w:r w:rsidRPr="00230979">
        <w:rPr>
          <w:b/>
          <w:bCs/>
        </w:rPr>
        <w:t xml:space="preserve"> non-conformance</w:t>
      </w:r>
      <w:r>
        <w:t xml:space="preserve">: in situations when an audit identifies a </w:t>
      </w:r>
      <w:r w:rsidR="004C005D">
        <w:t>Critical</w:t>
      </w:r>
      <w:r>
        <w:t xml:space="preserve"> non-conformance the Licence Holder must implement immediate corrective actions, irrespective of their established audit rating or category. The schedule anticipates that other compliance and enforcement tools may be used to support auditing where appropriate.</w:t>
      </w:r>
    </w:p>
    <w:p w14:paraId="7363A1A9" w14:textId="1F79F136" w:rsidR="00230979" w:rsidRDefault="00230979" w:rsidP="00230979">
      <w:pPr>
        <w:pStyle w:val="NormalText"/>
      </w:pPr>
      <w:r w:rsidRPr="00230979">
        <w:rPr>
          <w:b/>
          <w:bCs/>
        </w:rPr>
        <w:t>Rescheduling audits</w:t>
      </w:r>
      <w:r>
        <w:t>: in exceptional circumstances, Licence Holders can formally request to reschedule an audit. Written request should be submitted to the MLS email address (</w:t>
      </w:r>
      <w:hyperlink r:id="rId61" w:history="1">
        <w:r w:rsidRPr="00F9766B">
          <w:rPr>
            <w:rStyle w:val="Hyperlink"/>
          </w:rPr>
          <w:t>mls@apvma.gov.au</w:t>
        </w:r>
      </w:hyperlink>
      <w:r>
        <w:t>) more than 14 days prior to the audit due date. Requests may be based on:</w:t>
      </w:r>
    </w:p>
    <w:p w14:paraId="6D0B3FAD" w14:textId="73918B24" w:rsidR="00230979" w:rsidRDefault="00230979" w:rsidP="00230979">
      <w:pPr>
        <w:pStyle w:val="NormalText"/>
        <w:numPr>
          <w:ilvl w:val="0"/>
          <w:numId w:val="20"/>
        </w:numPr>
      </w:pPr>
      <w:r>
        <w:t>Recent major changes to management and/or staffing</w:t>
      </w:r>
    </w:p>
    <w:p w14:paraId="6396C1E3" w14:textId="4CF223BE" w:rsidR="00230979" w:rsidRDefault="00230979" w:rsidP="00230979">
      <w:pPr>
        <w:pStyle w:val="NormalText"/>
        <w:numPr>
          <w:ilvl w:val="0"/>
          <w:numId w:val="20"/>
        </w:numPr>
      </w:pPr>
      <w:r>
        <w:t>Factory fires or other unscheduled asset crises and any associated maintenance or repair activities</w:t>
      </w:r>
    </w:p>
    <w:p w14:paraId="29990CFD" w14:textId="5D067C0A" w:rsidR="00230979" w:rsidRDefault="00230979" w:rsidP="00230979">
      <w:pPr>
        <w:pStyle w:val="NormalText"/>
        <w:numPr>
          <w:ilvl w:val="0"/>
          <w:numId w:val="20"/>
        </w:numPr>
      </w:pPr>
      <w:r>
        <w:t>Other circumstances, such as voluntary licence suspension where cessation of manufacture may mitigate many of the risks associated with the postponement of an audit.</w:t>
      </w:r>
    </w:p>
    <w:p w14:paraId="1C775E46" w14:textId="65FF2E3E" w:rsidR="00EF6321" w:rsidRPr="00427F9C" w:rsidRDefault="00EF6321" w:rsidP="00EF6321">
      <w:pPr>
        <w:pStyle w:val="APVMAheading2"/>
        <w:keepNext/>
        <w:keepLines/>
        <w:rPr>
          <w:rFonts w:ascii="Arial" w:hAnsi="Arial"/>
          <w:b/>
          <w:bCs/>
          <w:sz w:val="20"/>
        </w:rPr>
      </w:pPr>
      <w:r w:rsidRPr="00427F9C">
        <w:rPr>
          <w:rFonts w:ascii="Arial" w:hAnsi="Arial"/>
          <w:b/>
          <w:bCs/>
          <w:sz w:val="20"/>
        </w:rPr>
        <w:lastRenderedPageBreak/>
        <w:t>Table 1: Risk-based audit interval calculation</w:t>
      </w:r>
    </w:p>
    <w:tbl>
      <w:tblPr>
        <w:tblW w:w="9781" w:type="dxa"/>
        <w:tblLayout w:type="fixed"/>
        <w:tblCellMar>
          <w:left w:w="0" w:type="dxa"/>
          <w:right w:w="0" w:type="dxa"/>
        </w:tblCellMar>
        <w:tblLook w:val="04A0" w:firstRow="1" w:lastRow="0" w:firstColumn="1" w:lastColumn="0" w:noHBand="0" w:noVBand="1"/>
      </w:tblPr>
      <w:tblGrid>
        <w:gridCol w:w="2127"/>
        <w:gridCol w:w="1785"/>
        <w:gridCol w:w="978"/>
        <w:gridCol w:w="978"/>
        <w:gridCol w:w="1956"/>
        <w:gridCol w:w="1957"/>
      </w:tblGrid>
      <w:tr w:rsidR="00EF6321" w:rsidRPr="00427F9C" w14:paraId="41DD7E61" w14:textId="77777777" w:rsidTr="00E2544E">
        <w:trPr>
          <w:trHeight w:val="285"/>
        </w:trPr>
        <w:tc>
          <w:tcPr>
            <w:tcW w:w="4890" w:type="dxa"/>
            <w:gridSpan w:val="3"/>
            <w:tcBorders>
              <w:bottom w:val="single" w:sz="12" w:space="0" w:color="002060"/>
            </w:tcBorders>
            <w:noWrap/>
            <w:tcMar>
              <w:top w:w="0" w:type="dxa"/>
              <w:left w:w="108" w:type="dxa"/>
              <w:bottom w:w="0" w:type="dxa"/>
              <w:right w:w="108" w:type="dxa"/>
            </w:tcMar>
            <w:vAlign w:val="bottom"/>
            <w:hideMark/>
          </w:tcPr>
          <w:p w14:paraId="2A6860F3" w14:textId="77777777" w:rsidR="00EF6321" w:rsidRPr="00427F9C" w:rsidRDefault="00EF6321" w:rsidP="00E2544E">
            <w:pPr>
              <w:keepNext/>
              <w:keepLines/>
              <w:ind w:left="-113" w:right="-69"/>
              <w:rPr>
                <w:rFonts w:cs="Arial"/>
                <w:szCs w:val="20"/>
              </w:rPr>
            </w:pPr>
          </w:p>
        </w:tc>
        <w:tc>
          <w:tcPr>
            <w:tcW w:w="4891" w:type="dxa"/>
            <w:gridSpan w:val="3"/>
            <w:tcBorders>
              <w:bottom w:val="single" w:sz="12" w:space="0" w:color="002060"/>
            </w:tcBorders>
            <w:noWrap/>
            <w:tcMar>
              <w:top w:w="0" w:type="dxa"/>
              <w:left w:w="108" w:type="dxa"/>
              <w:bottom w:w="0" w:type="dxa"/>
              <w:right w:w="108" w:type="dxa"/>
            </w:tcMar>
            <w:vAlign w:val="center"/>
            <w:hideMark/>
          </w:tcPr>
          <w:p w14:paraId="015C02A1" w14:textId="77777777" w:rsidR="00EF6321" w:rsidRPr="00427F9C" w:rsidRDefault="00EF6321" w:rsidP="00E2544E">
            <w:pPr>
              <w:keepNext/>
              <w:keepLines/>
              <w:rPr>
                <w:rFonts w:cs="Arial"/>
                <w:szCs w:val="20"/>
                <w:lang w:eastAsia="en-AU"/>
              </w:rPr>
            </w:pPr>
            <w:r w:rsidRPr="00427F9C">
              <w:rPr>
                <w:rFonts w:cs="Arial"/>
                <w:b/>
                <w:color w:val="000000"/>
                <w:szCs w:val="20"/>
                <w:lang w:eastAsia="en-AU"/>
              </w:rPr>
              <w:t>Risk Rating</w:t>
            </w:r>
          </w:p>
        </w:tc>
      </w:tr>
      <w:tr w:rsidR="00EF6321" w:rsidRPr="00427F9C" w14:paraId="465CB72D" w14:textId="77777777" w:rsidTr="00E2544E">
        <w:trPr>
          <w:trHeight w:val="285"/>
        </w:trPr>
        <w:tc>
          <w:tcPr>
            <w:tcW w:w="2127" w:type="dxa"/>
            <w:tcBorders>
              <w:top w:val="single" w:sz="12" w:space="0" w:color="002060"/>
              <w:bottom w:val="single" w:sz="12" w:space="0" w:color="002060"/>
            </w:tcBorders>
            <w:noWrap/>
            <w:tcMar>
              <w:top w:w="0" w:type="dxa"/>
              <w:left w:w="108" w:type="dxa"/>
              <w:bottom w:w="0" w:type="dxa"/>
              <w:right w:w="108" w:type="dxa"/>
            </w:tcMar>
            <w:vAlign w:val="bottom"/>
            <w:hideMark/>
          </w:tcPr>
          <w:p w14:paraId="6946294D" w14:textId="77777777" w:rsidR="00EF6321" w:rsidRPr="00427F9C" w:rsidRDefault="00EF6321" w:rsidP="00E2544E">
            <w:pPr>
              <w:keepNext/>
              <w:keepLines/>
              <w:jc w:val="center"/>
              <w:rPr>
                <w:rFonts w:cs="Arial"/>
                <w:b/>
                <w:color w:val="000000"/>
                <w:szCs w:val="20"/>
                <w:lang w:eastAsia="en-AU"/>
              </w:rPr>
            </w:pPr>
            <w:r w:rsidRPr="00427F9C">
              <w:rPr>
                <w:rFonts w:cs="Arial"/>
                <w:b/>
                <w:color w:val="000000"/>
                <w:szCs w:val="20"/>
                <w:lang w:eastAsia="en-AU"/>
              </w:rPr>
              <w:t>Category</w:t>
            </w:r>
          </w:p>
        </w:tc>
        <w:tc>
          <w:tcPr>
            <w:tcW w:w="1785" w:type="dxa"/>
            <w:tcBorders>
              <w:top w:val="single" w:sz="12" w:space="0" w:color="002060"/>
              <w:bottom w:val="single" w:sz="12" w:space="0" w:color="002060"/>
            </w:tcBorders>
            <w:noWrap/>
            <w:tcMar>
              <w:top w:w="0" w:type="dxa"/>
              <w:left w:w="108" w:type="dxa"/>
              <w:bottom w:w="0" w:type="dxa"/>
              <w:right w:w="108" w:type="dxa"/>
            </w:tcMar>
            <w:vAlign w:val="bottom"/>
            <w:hideMark/>
          </w:tcPr>
          <w:p w14:paraId="43AB6103" w14:textId="14ED111B" w:rsidR="00EF6321" w:rsidRPr="00427F9C" w:rsidRDefault="00EF6321" w:rsidP="00E2544E">
            <w:pPr>
              <w:keepNext/>
              <w:keepLines/>
              <w:jc w:val="center"/>
              <w:rPr>
                <w:rFonts w:cs="Arial"/>
                <w:color w:val="000000"/>
                <w:szCs w:val="20"/>
                <w:lang w:eastAsia="en-AU"/>
              </w:rPr>
            </w:pPr>
            <w:r w:rsidRPr="00427F9C">
              <w:rPr>
                <w:rFonts w:cs="Arial"/>
                <w:color w:val="000000"/>
                <w:szCs w:val="20"/>
                <w:lang w:eastAsia="en-AU"/>
              </w:rPr>
              <w:t>Low (&lt; 7)</w:t>
            </w:r>
          </w:p>
          <w:p w14:paraId="20B59B77" w14:textId="77777777" w:rsidR="00EF6321" w:rsidRPr="00427F9C" w:rsidRDefault="00EF6321" w:rsidP="00E2544E">
            <w:pPr>
              <w:keepNext/>
              <w:keepLines/>
              <w:jc w:val="center"/>
              <w:rPr>
                <w:rFonts w:cs="Arial"/>
                <w:color w:val="000000"/>
                <w:szCs w:val="20"/>
                <w:lang w:eastAsia="en-AU"/>
              </w:rPr>
            </w:pPr>
            <w:r w:rsidRPr="00427F9C">
              <w:rPr>
                <w:rFonts w:cs="Arial"/>
                <w:color w:val="000000"/>
                <w:szCs w:val="20"/>
                <w:lang w:eastAsia="en-AU"/>
              </w:rPr>
              <w:t>Level 1</w:t>
            </w:r>
          </w:p>
        </w:tc>
        <w:tc>
          <w:tcPr>
            <w:tcW w:w="1956" w:type="dxa"/>
            <w:gridSpan w:val="2"/>
            <w:tcBorders>
              <w:top w:val="single" w:sz="12" w:space="0" w:color="002060"/>
              <w:bottom w:val="single" w:sz="12" w:space="0" w:color="002060"/>
            </w:tcBorders>
            <w:noWrap/>
            <w:tcMar>
              <w:top w:w="0" w:type="dxa"/>
              <w:left w:w="108" w:type="dxa"/>
              <w:bottom w:w="0" w:type="dxa"/>
              <w:right w:w="108" w:type="dxa"/>
            </w:tcMar>
            <w:vAlign w:val="bottom"/>
            <w:hideMark/>
          </w:tcPr>
          <w:p w14:paraId="7219E2DE" w14:textId="77777777" w:rsidR="00EF6321" w:rsidRPr="00427F9C" w:rsidRDefault="00EF6321" w:rsidP="00E2544E">
            <w:pPr>
              <w:keepNext/>
              <w:keepLines/>
              <w:jc w:val="center"/>
              <w:rPr>
                <w:rFonts w:cs="Arial"/>
                <w:color w:val="000000"/>
                <w:szCs w:val="20"/>
                <w:lang w:eastAsia="en-AU"/>
              </w:rPr>
            </w:pPr>
            <w:r w:rsidRPr="00427F9C">
              <w:rPr>
                <w:rFonts w:cs="Arial"/>
                <w:color w:val="000000"/>
                <w:szCs w:val="20"/>
                <w:lang w:eastAsia="en-AU"/>
              </w:rPr>
              <w:t>Medium (7-20)</w:t>
            </w:r>
          </w:p>
          <w:p w14:paraId="66215927" w14:textId="77777777" w:rsidR="00EF6321" w:rsidRPr="00427F9C" w:rsidRDefault="00EF6321" w:rsidP="00E2544E">
            <w:pPr>
              <w:keepNext/>
              <w:keepLines/>
              <w:jc w:val="center"/>
              <w:rPr>
                <w:rFonts w:cs="Arial"/>
                <w:color w:val="000000"/>
                <w:szCs w:val="20"/>
                <w:lang w:eastAsia="en-AU"/>
              </w:rPr>
            </w:pPr>
            <w:r w:rsidRPr="00427F9C">
              <w:rPr>
                <w:rFonts w:cs="Arial"/>
                <w:color w:val="000000"/>
                <w:szCs w:val="20"/>
                <w:lang w:eastAsia="en-AU"/>
              </w:rPr>
              <w:t>Level 2</w:t>
            </w:r>
          </w:p>
        </w:tc>
        <w:tc>
          <w:tcPr>
            <w:tcW w:w="1956" w:type="dxa"/>
            <w:tcBorders>
              <w:top w:val="single" w:sz="12" w:space="0" w:color="002060"/>
              <w:bottom w:val="single" w:sz="12" w:space="0" w:color="002060"/>
            </w:tcBorders>
            <w:noWrap/>
            <w:tcMar>
              <w:top w:w="0" w:type="dxa"/>
              <w:left w:w="108" w:type="dxa"/>
              <w:bottom w:w="0" w:type="dxa"/>
              <w:right w:w="108" w:type="dxa"/>
            </w:tcMar>
            <w:vAlign w:val="bottom"/>
            <w:hideMark/>
          </w:tcPr>
          <w:p w14:paraId="28662CC6" w14:textId="77777777" w:rsidR="00EF6321" w:rsidRPr="00427F9C" w:rsidRDefault="00EF6321" w:rsidP="00E2544E">
            <w:pPr>
              <w:keepNext/>
              <w:keepLines/>
              <w:jc w:val="center"/>
              <w:rPr>
                <w:rFonts w:cs="Arial"/>
                <w:color w:val="000000"/>
                <w:szCs w:val="20"/>
                <w:lang w:eastAsia="en-AU"/>
              </w:rPr>
            </w:pPr>
            <w:r w:rsidRPr="00427F9C">
              <w:rPr>
                <w:rFonts w:cs="Arial"/>
                <w:color w:val="000000"/>
                <w:szCs w:val="20"/>
                <w:lang w:eastAsia="en-AU"/>
              </w:rPr>
              <w:t>High (21-40)</w:t>
            </w:r>
          </w:p>
          <w:p w14:paraId="72D06837" w14:textId="77777777" w:rsidR="00EF6321" w:rsidRPr="00427F9C" w:rsidRDefault="00EF6321" w:rsidP="00E2544E">
            <w:pPr>
              <w:keepNext/>
              <w:keepLines/>
              <w:jc w:val="center"/>
              <w:rPr>
                <w:rFonts w:cs="Arial"/>
                <w:color w:val="000000"/>
                <w:szCs w:val="20"/>
                <w:lang w:eastAsia="en-AU"/>
              </w:rPr>
            </w:pPr>
            <w:r w:rsidRPr="00427F9C">
              <w:rPr>
                <w:rFonts w:cs="Arial"/>
                <w:color w:val="000000"/>
                <w:szCs w:val="20"/>
                <w:lang w:eastAsia="en-AU"/>
              </w:rPr>
              <w:t>Level 3</w:t>
            </w:r>
          </w:p>
        </w:tc>
        <w:tc>
          <w:tcPr>
            <w:tcW w:w="1957" w:type="dxa"/>
            <w:tcBorders>
              <w:top w:val="single" w:sz="12" w:space="0" w:color="002060"/>
              <w:bottom w:val="single" w:sz="12" w:space="0" w:color="002060"/>
            </w:tcBorders>
            <w:noWrap/>
            <w:tcMar>
              <w:top w:w="0" w:type="dxa"/>
              <w:left w:w="108" w:type="dxa"/>
              <w:bottom w:w="0" w:type="dxa"/>
              <w:right w:w="108" w:type="dxa"/>
            </w:tcMar>
            <w:vAlign w:val="bottom"/>
            <w:hideMark/>
          </w:tcPr>
          <w:p w14:paraId="403B0057" w14:textId="77777777" w:rsidR="00EF6321" w:rsidRPr="00427F9C" w:rsidRDefault="00EF6321" w:rsidP="00E2544E">
            <w:pPr>
              <w:keepNext/>
              <w:keepLines/>
              <w:jc w:val="center"/>
              <w:rPr>
                <w:rFonts w:cs="Arial"/>
                <w:color w:val="000000"/>
                <w:szCs w:val="20"/>
                <w:lang w:eastAsia="en-AU"/>
              </w:rPr>
            </w:pPr>
            <w:r w:rsidRPr="00427F9C">
              <w:rPr>
                <w:rFonts w:cs="Arial"/>
                <w:color w:val="000000"/>
                <w:szCs w:val="20"/>
                <w:lang w:eastAsia="en-AU"/>
              </w:rPr>
              <w:t>Very High (&gt; 40)</w:t>
            </w:r>
          </w:p>
          <w:p w14:paraId="3288D4E9" w14:textId="77777777" w:rsidR="00EF6321" w:rsidRPr="00427F9C" w:rsidRDefault="00EF6321" w:rsidP="00E2544E">
            <w:pPr>
              <w:keepNext/>
              <w:keepLines/>
              <w:jc w:val="center"/>
              <w:rPr>
                <w:rFonts w:cs="Arial"/>
                <w:color w:val="000000"/>
                <w:szCs w:val="20"/>
                <w:lang w:eastAsia="en-AU"/>
              </w:rPr>
            </w:pPr>
            <w:r w:rsidRPr="00427F9C">
              <w:rPr>
                <w:rFonts w:cs="Arial"/>
                <w:color w:val="000000"/>
                <w:szCs w:val="20"/>
                <w:lang w:eastAsia="en-AU"/>
              </w:rPr>
              <w:t>Level 4</w:t>
            </w:r>
          </w:p>
        </w:tc>
      </w:tr>
      <w:tr w:rsidR="00EF6321" w:rsidRPr="00427F9C" w14:paraId="5D129914" w14:textId="77777777" w:rsidTr="00E2544E">
        <w:trPr>
          <w:trHeight w:val="408"/>
        </w:trPr>
        <w:tc>
          <w:tcPr>
            <w:tcW w:w="2127" w:type="dxa"/>
            <w:tcBorders>
              <w:top w:val="single" w:sz="12" w:space="0" w:color="002060"/>
            </w:tcBorders>
            <w:noWrap/>
            <w:tcMar>
              <w:top w:w="0" w:type="dxa"/>
              <w:left w:w="108" w:type="dxa"/>
              <w:bottom w:w="0" w:type="dxa"/>
              <w:right w:w="108" w:type="dxa"/>
            </w:tcMar>
            <w:vAlign w:val="bottom"/>
            <w:hideMark/>
          </w:tcPr>
          <w:p w14:paraId="6DEC0C97" w14:textId="77777777" w:rsidR="00EF6321" w:rsidRPr="00427F9C" w:rsidRDefault="00EF6321" w:rsidP="00E2544E">
            <w:pPr>
              <w:keepNext/>
              <w:keepLines/>
              <w:rPr>
                <w:rFonts w:cs="Arial"/>
                <w:b/>
                <w:color w:val="000000"/>
                <w:szCs w:val="20"/>
                <w:lang w:eastAsia="en-AU"/>
              </w:rPr>
            </w:pPr>
            <w:r w:rsidRPr="00427F9C">
              <w:rPr>
                <w:rFonts w:cs="Arial"/>
                <w:b/>
                <w:color w:val="000000"/>
                <w:szCs w:val="20"/>
                <w:lang w:eastAsia="en-AU"/>
              </w:rPr>
              <w:t>Cat 1</w:t>
            </w:r>
          </w:p>
        </w:tc>
        <w:tc>
          <w:tcPr>
            <w:tcW w:w="1785" w:type="dxa"/>
            <w:tcBorders>
              <w:top w:val="single" w:sz="12" w:space="0" w:color="002060"/>
            </w:tcBorders>
            <w:shd w:val="clear" w:color="auto" w:fill="92D050"/>
            <w:noWrap/>
            <w:tcMar>
              <w:top w:w="0" w:type="dxa"/>
              <w:left w:w="108" w:type="dxa"/>
              <w:bottom w:w="0" w:type="dxa"/>
              <w:right w:w="108" w:type="dxa"/>
            </w:tcMar>
            <w:vAlign w:val="bottom"/>
            <w:hideMark/>
          </w:tcPr>
          <w:p w14:paraId="13ABF57E" w14:textId="5E7971FA" w:rsidR="00EF6321" w:rsidRPr="00427F9C" w:rsidRDefault="00EF6321" w:rsidP="00E2544E">
            <w:pPr>
              <w:keepNext/>
              <w:keepLines/>
              <w:rPr>
                <w:rFonts w:cs="Arial"/>
                <w:color w:val="000000"/>
                <w:szCs w:val="20"/>
                <w:lang w:eastAsia="en-AU"/>
              </w:rPr>
            </w:pPr>
            <w:r w:rsidRPr="00427F9C">
              <w:rPr>
                <w:rFonts w:cs="Arial"/>
                <w:color w:val="000000"/>
                <w:szCs w:val="20"/>
                <w:lang w:eastAsia="en-AU"/>
              </w:rPr>
              <w:t>30 Months</w:t>
            </w:r>
          </w:p>
        </w:tc>
        <w:tc>
          <w:tcPr>
            <w:tcW w:w="1956" w:type="dxa"/>
            <w:gridSpan w:val="2"/>
            <w:tcBorders>
              <w:top w:val="single" w:sz="12" w:space="0" w:color="002060"/>
            </w:tcBorders>
            <w:shd w:val="clear" w:color="auto" w:fill="FFE599" w:themeFill="accent4" w:themeFillTint="66"/>
            <w:noWrap/>
            <w:tcMar>
              <w:top w:w="0" w:type="dxa"/>
              <w:left w:w="108" w:type="dxa"/>
              <w:bottom w:w="0" w:type="dxa"/>
              <w:right w:w="108" w:type="dxa"/>
            </w:tcMar>
            <w:vAlign w:val="bottom"/>
            <w:hideMark/>
          </w:tcPr>
          <w:p w14:paraId="46F5A755" w14:textId="7D15F236" w:rsidR="00EF6321" w:rsidRPr="00427F9C" w:rsidRDefault="00EF6321" w:rsidP="00E2544E">
            <w:pPr>
              <w:keepNext/>
              <w:keepLines/>
              <w:rPr>
                <w:rFonts w:cs="Arial"/>
                <w:color w:val="000000"/>
                <w:szCs w:val="20"/>
                <w:lang w:eastAsia="en-AU"/>
              </w:rPr>
            </w:pPr>
            <w:r w:rsidRPr="00427F9C">
              <w:rPr>
                <w:rFonts w:cs="Arial"/>
                <w:color w:val="000000"/>
                <w:szCs w:val="20"/>
                <w:lang w:eastAsia="en-AU"/>
              </w:rPr>
              <w:t>24 Months</w:t>
            </w:r>
          </w:p>
        </w:tc>
        <w:tc>
          <w:tcPr>
            <w:tcW w:w="1956" w:type="dxa"/>
            <w:tcBorders>
              <w:top w:val="single" w:sz="12" w:space="0" w:color="002060"/>
            </w:tcBorders>
            <w:shd w:val="clear" w:color="auto" w:fill="F7CAAC" w:themeFill="accent2" w:themeFillTint="66"/>
            <w:noWrap/>
            <w:tcMar>
              <w:top w:w="0" w:type="dxa"/>
              <w:left w:w="108" w:type="dxa"/>
              <w:bottom w:w="0" w:type="dxa"/>
              <w:right w:w="108" w:type="dxa"/>
            </w:tcMar>
            <w:vAlign w:val="bottom"/>
            <w:hideMark/>
          </w:tcPr>
          <w:p w14:paraId="5921496F" w14:textId="10ED6D7A" w:rsidR="00EF6321" w:rsidRPr="00427F9C" w:rsidRDefault="00EF6321" w:rsidP="00E2544E">
            <w:pPr>
              <w:keepNext/>
              <w:keepLines/>
              <w:rPr>
                <w:rFonts w:cs="Arial"/>
                <w:color w:val="000000"/>
                <w:szCs w:val="20"/>
                <w:lang w:eastAsia="en-AU"/>
              </w:rPr>
            </w:pPr>
            <w:r w:rsidRPr="00427F9C">
              <w:rPr>
                <w:rFonts w:cs="Arial"/>
                <w:color w:val="000000"/>
                <w:szCs w:val="20"/>
                <w:lang w:eastAsia="en-AU"/>
              </w:rPr>
              <w:t>12 Months</w:t>
            </w:r>
          </w:p>
        </w:tc>
        <w:tc>
          <w:tcPr>
            <w:tcW w:w="1957" w:type="dxa"/>
            <w:tcBorders>
              <w:top w:val="single" w:sz="12" w:space="0" w:color="002060"/>
            </w:tcBorders>
            <w:shd w:val="clear" w:color="auto" w:fill="C45911" w:themeFill="accent2" w:themeFillShade="BF"/>
            <w:noWrap/>
            <w:tcMar>
              <w:top w:w="0" w:type="dxa"/>
              <w:left w:w="108" w:type="dxa"/>
              <w:bottom w:w="0" w:type="dxa"/>
              <w:right w:w="108" w:type="dxa"/>
            </w:tcMar>
            <w:vAlign w:val="bottom"/>
            <w:hideMark/>
          </w:tcPr>
          <w:p w14:paraId="6D0B1431" w14:textId="3F8B57DD" w:rsidR="00EF6321" w:rsidRPr="00427F9C" w:rsidRDefault="00EF6321" w:rsidP="00E2544E">
            <w:pPr>
              <w:keepNext/>
              <w:keepLines/>
              <w:rPr>
                <w:rFonts w:cs="Arial"/>
                <w:color w:val="000000"/>
                <w:szCs w:val="20"/>
                <w:lang w:eastAsia="en-AU"/>
              </w:rPr>
            </w:pPr>
            <w:r w:rsidRPr="00427F9C">
              <w:rPr>
                <w:rFonts w:cs="Arial"/>
                <w:color w:val="000000"/>
                <w:szCs w:val="20"/>
                <w:lang w:eastAsia="en-AU"/>
              </w:rPr>
              <w:t>≤12 Months</w:t>
            </w:r>
          </w:p>
        </w:tc>
      </w:tr>
      <w:tr w:rsidR="00EF6321" w:rsidRPr="00427F9C" w14:paraId="79C0CE51" w14:textId="77777777" w:rsidTr="00E2544E">
        <w:trPr>
          <w:trHeight w:val="408"/>
        </w:trPr>
        <w:tc>
          <w:tcPr>
            <w:tcW w:w="2127" w:type="dxa"/>
            <w:noWrap/>
            <w:tcMar>
              <w:top w:w="0" w:type="dxa"/>
              <w:left w:w="108" w:type="dxa"/>
              <w:bottom w:w="0" w:type="dxa"/>
              <w:right w:w="108" w:type="dxa"/>
            </w:tcMar>
            <w:vAlign w:val="bottom"/>
          </w:tcPr>
          <w:p w14:paraId="2D878915" w14:textId="77777777" w:rsidR="00EF6321" w:rsidRPr="00427F9C" w:rsidRDefault="00EF6321" w:rsidP="00E2544E">
            <w:pPr>
              <w:keepNext/>
              <w:keepLines/>
              <w:rPr>
                <w:rFonts w:cs="Arial"/>
                <w:b/>
                <w:color w:val="000000"/>
                <w:szCs w:val="20"/>
                <w:lang w:eastAsia="en-AU"/>
              </w:rPr>
            </w:pPr>
            <w:r w:rsidRPr="00427F9C">
              <w:rPr>
                <w:rFonts w:cs="Arial"/>
                <w:b/>
                <w:color w:val="000000"/>
                <w:szCs w:val="20"/>
                <w:lang w:eastAsia="en-AU"/>
              </w:rPr>
              <w:t>Multiple categories</w:t>
            </w:r>
          </w:p>
        </w:tc>
        <w:tc>
          <w:tcPr>
            <w:tcW w:w="1785" w:type="dxa"/>
            <w:shd w:val="clear" w:color="auto" w:fill="92D050"/>
            <w:noWrap/>
            <w:tcMar>
              <w:top w:w="0" w:type="dxa"/>
              <w:left w:w="108" w:type="dxa"/>
              <w:bottom w:w="0" w:type="dxa"/>
              <w:right w:w="108" w:type="dxa"/>
            </w:tcMar>
            <w:vAlign w:val="bottom"/>
          </w:tcPr>
          <w:p w14:paraId="43A2A4EC" w14:textId="53F51185" w:rsidR="00EF6321" w:rsidRPr="00427F9C" w:rsidRDefault="00EF6321" w:rsidP="00E2544E">
            <w:pPr>
              <w:keepNext/>
              <w:keepLines/>
              <w:rPr>
                <w:rFonts w:cs="Arial"/>
                <w:color w:val="000000"/>
                <w:szCs w:val="20"/>
                <w:lang w:eastAsia="en-AU"/>
              </w:rPr>
            </w:pPr>
            <w:r w:rsidRPr="00427F9C">
              <w:rPr>
                <w:rFonts w:cs="Arial"/>
                <w:color w:val="000000"/>
                <w:szCs w:val="20"/>
                <w:lang w:eastAsia="en-AU"/>
              </w:rPr>
              <w:t>30 Months</w:t>
            </w:r>
          </w:p>
        </w:tc>
        <w:tc>
          <w:tcPr>
            <w:tcW w:w="1956" w:type="dxa"/>
            <w:gridSpan w:val="2"/>
            <w:shd w:val="clear" w:color="auto" w:fill="FFE599" w:themeFill="accent4" w:themeFillTint="66"/>
            <w:noWrap/>
            <w:tcMar>
              <w:top w:w="0" w:type="dxa"/>
              <w:left w:w="108" w:type="dxa"/>
              <w:bottom w:w="0" w:type="dxa"/>
              <w:right w:w="108" w:type="dxa"/>
            </w:tcMar>
            <w:vAlign w:val="bottom"/>
          </w:tcPr>
          <w:p w14:paraId="519DD7B6" w14:textId="7C4160FE" w:rsidR="00EF6321" w:rsidRPr="00427F9C" w:rsidRDefault="00EF6321" w:rsidP="00E2544E">
            <w:pPr>
              <w:keepNext/>
              <w:keepLines/>
              <w:rPr>
                <w:rFonts w:cs="Arial"/>
                <w:color w:val="000000"/>
                <w:szCs w:val="20"/>
                <w:lang w:eastAsia="en-AU"/>
              </w:rPr>
            </w:pPr>
            <w:r w:rsidRPr="00427F9C">
              <w:rPr>
                <w:rFonts w:cs="Arial"/>
                <w:color w:val="000000"/>
                <w:szCs w:val="20"/>
                <w:lang w:eastAsia="en-AU"/>
              </w:rPr>
              <w:t>24 Months</w:t>
            </w:r>
          </w:p>
        </w:tc>
        <w:tc>
          <w:tcPr>
            <w:tcW w:w="1956" w:type="dxa"/>
            <w:shd w:val="clear" w:color="auto" w:fill="F7CAAC" w:themeFill="accent2" w:themeFillTint="66"/>
            <w:noWrap/>
            <w:tcMar>
              <w:top w:w="0" w:type="dxa"/>
              <w:left w:w="108" w:type="dxa"/>
              <w:bottom w:w="0" w:type="dxa"/>
              <w:right w:w="108" w:type="dxa"/>
            </w:tcMar>
            <w:vAlign w:val="bottom"/>
          </w:tcPr>
          <w:p w14:paraId="2F694320" w14:textId="0996E6A8" w:rsidR="00EF6321" w:rsidRPr="00427F9C" w:rsidRDefault="00EF6321" w:rsidP="00E2544E">
            <w:pPr>
              <w:keepNext/>
              <w:keepLines/>
              <w:rPr>
                <w:rFonts w:cs="Arial"/>
                <w:color w:val="000000"/>
                <w:szCs w:val="20"/>
                <w:lang w:eastAsia="en-AU"/>
              </w:rPr>
            </w:pPr>
            <w:r w:rsidRPr="00427F9C">
              <w:rPr>
                <w:rFonts w:cs="Arial"/>
                <w:color w:val="000000"/>
                <w:szCs w:val="20"/>
                <w:lang w:eastAsia="en-AU"/>
              </w:rPr>
              <w:t>12 Months</w:t>
            </w:r>
          </w:p>
        </w:tc>
        <w:tc>
          <w:tcPr>
            <w:tcW w:w="1957" w:type="dxa"/>
            <w:shd w:val="clear" w:color="auto" w:fill="C45911" w:themeFill="accent2" w:themeFillShade="BF"/>
            <w:noWrap/>
            <w:tcMar>
              <w:top w:w="0" w:type="dxa"/>
              <w:left w:w="108" w:type="dxa"/>
              <w:bottom w:w="0" w:type="dxa"/>
              <w:right w:w="108" w:type="dxa"/>
            </w:tcMar>
            <w:vAlign w:val="bottom"/>
          </w:tcPr>
          <w:p w14:paraId="7440EC94" w14:textId="5DDE2266" w:rsidR="00EF6321" w:rsidRPr="00427F9C" w:rsidRDefault="00EF6321" w:rsidP="00E2544E">
            <w:pPr>
              <w:keepNext/>
              <w:keepLines/>
              <w:rPr>
                <w:rFonts w:cs="Arial"/>
                <w:color w:val="000000"/>
                <w:szCs w:val="20"/>
                <w:lang w:eastAsia="en-AU"/>
              </w:rPr>
            </w:pPr>
            <w:r w:rsidRPr="00427F9C">
              <w:rPr>
                <w:rFonts w:cs="Arial"/>
                <w:color w:val="000000"/>
                <w:szCs w:val="20"/>
                <w:lang w:eastAsia="en-AU"/>
              </w:rPr>
              <w:t>≤12 Months</w:t>
            </w:r>
          </w:p>
        </w:tc>
      </w:tr>
      <w:tr w:rsidR="00EF6321" w:rsidRPr="00427F9C" w14:paraId="2D6C215B" w14:textId="77777777" w:rsidTr="00E2544E">
        <w:trPr>
          <w:trHeight w:val="408"/>
        </w:trPr>
        <w:tc>
          <w:tcPr>
            <w:tcW w:w="2127" w:type="dxa"/>
            <w:noWrap/>
            <w:tcMar>
              <w:top w:w="0" w:type="dxa"/>
              <w:left w:w="108" w:type="dxa"/>
              <w:bottom w:w="0" w:type="dxa"/>
              <w:right w:w="108" w:type="dxa"/>
            </w:tcMar>
            <w:vAlign w:val="bottom"/>
            <w:hideMark/>
          </w:tcPr>
          <w:p w14:paraId="74B7F0A2" w14:textId="77777777" w:rsidR="00EF6321" w:rsidRPr="00427F9C" w:rsidRDefault="00EF6321" w:rsidP="00E2544E">
            <w:pPr>
              <w:keepNext/>
              <w:keepLines/>
              <w:rPr>
                <w:rFonts w:cs="Arial"/>
                <w:b/>
                <w:color w:val="000000"/>
                <w:szCs w:val="20"/>
                <w:lang w:eastAsia="en-AU"/>
              </w:rPr>
            </w:pPr>
            <w:r w:rsidRPr="00427F9C">
              <w:rPr>
                <w:rFonts w:cs="Arial"/>
                <w:b/>
                <w:color w:val="000000"/>
                <w:szCs w:val="20"/>
                <w:lang w:eastAsia="en-AU"/>
              </w:rPr>
              <w:t>Cat 2</w:t>
            </w:r>
          </w:p>
        </w:tc>
        <w:tc>
          <w:tcPr>
            <w:tcW w:w="1785" w:type="dxa"/>
            <w:tcBorders>
              <w:top w:val="nil"/>
            </w:tcBorders>
            <w:shd w:val="clear" w:color="auto" w:fill="00B050"/>
            <w:noWrap/>
            <w:tcMar>
              <w:top w:w="0" w:type="dxa"/>
              <w:left w:w="108" w:type="dxa"/>
              <w:bottom w:w="0" w:type="dxa"/>
              <w:right w:w="108" w:type="dxa"/>
            </w:tcMar>
            <w:vAlign w:val="bottom"/>
            <w:hideMark/>
          </w:tcPr>
          <w:p w14:paraId="4F9776C1" w14:textId="6B76ADF4" w:rsidR="00EF6321" w:rsidRPr="00427F9C" w:rsidRDefault="00EF6321" w:rsidP="00E2544E">
            <w:pPr>
              <w:keepNext/>
              <w:keepLines/>
              <w:rPr>
                <w:rFonts w:cs="Arial"/>
                <w:color w:val="000000"/>
                <w:szCs w:val="20"/>
                <w:lang w:eastAsia="en-AU"/>
              </w:rPr>
            </w:pPr>
            <w:r w:rsidRPr="00427F9C">
              <w:rPr>
                <w:rFonts w:cs="Arial"/>
                <w:color w:val="000000"/>
                <w:szCs w:val="20"/>
                <w:lang w:eastAsia="en-AU"/>
              </w:rPr>
              <w:t>36 Months</w:t>
            </w:r>
          </w:p>
        </w:tc>
        <w:tc>
          <w:tcPr>
            <w:tcW w:w="1956" w:type="dxa"/>
            <w:gridSpan w:val="2"/>
            <w:tcBorders>
              <w:top w:val="nil"/>
            </w:tcBorders>
            <w:shd w:val="clear" w:color="auto" w:fill="92D050"/>
            <w:noWrap/>
            <w:tcMar>
              <w:top w:w="0" w:type="dxa"/>
              <w:left w:w="108" w:type="dxa"/>
              <w:bottom w:w="0" w:type="dxa"/>
              <w:right w:w="108" w:type="dxa"/>
            </w:tcMar>
            <w:vAlign w:val="bottom"/>
            <w:hideMark/>
          </w:tcPr>
          <w:p w14:paraId="00B3A65B" w14:textId="0A6A77BE" w:rsidR="00EF6321" w:rsidRPr="00427F9C" w:rsidRDefault="00EF6321" w:rsidP="00E2544E">
            <w:pPr>
              <w:keepNext/>
              <w:keepLines/>
              <w:rPr>
                <w:rFonts w:cs="Arial"/>
                <w:color w:val="000000"/>
                <w:szCs w:val="20"/>
                <w:lang w:eastAsia="en-AU"/>
              </w:rPr>
            </w:pPr>
            <w:r w:rsidRPr="00427F9C">
              <w:rPr>
                <w:rFonts w:cs="Arial"/>
                <w:color w:val="000000"/>
                <w:szCs w:val="20"/>
                <w:lang w:eastAsia="en-AU"/>
              </w:rPr>
              <w:t>30 Months</w:t>
            </w:r>
          </w:p>
        </w:tc>
        <w:tc>
          <w:tcPr>
            <w:tcW w:w="1956" w:type="dxa"/>
            <w:tcBorders>
              <w:top w:val="nil"/>
            </w:tcBorders>
            <w:shd w:val="clear" w:color="auto" w:fill="F7CAAC" w:themeFill="accent2" w:themeFillTint="66"/>
            <w:noWrap/>
            <w:tcMar>
              <w:top w:w="0" w:type="dxa"/>
              <w:left w:w="108" w:type="dxa"/>
              <w:bottom w:w="0" w:type="dxa"/>
              <w:right w:w="108" w:type="dxa"/>
            </w:tcMar>
            <w:vAlign w:val="bottom"/>
            <w:hideMark/>
          </w:tcPr>
          <w:p w14:paraId="0701952E" w14:textId="38799975" w:rsidR="00EF6321" w:rsidRPr="00427F9C" w:rsidRDefault="00EF6321" w:rsidP="00E2544E">
            <w:pPr>
              <w:keepNext/>
              <w:keepLines/>
              <w:rPr>
                <w:rFonts w:cs="Arial"/>
                <w:color w:val="000000"/>
                <w:szCs w:val="20"/>
                <w:lang w:eastAsia="en-AU"/>
              </w:rPr>
            </w:pPr>
            <w:r w:rsidRPr="00427F9C">
              <w:rPr>
                <w:rFonts w:cs="Arial"/>
                <w:color w:val="000000"/>
                <w:szCs w:val="20"/>
                <w:lang w:eastAsia="en-AU"/>
              </w:rPr>
              <w:t>12 Months</w:t>
            </w:r>
          </w:p>
        </w:tc>
        <w:tc>
          <w:tcPr>
            <w:tcW w:w="1957" w:type="dxa"/>
            <w:tcBorders>
              <w:top w:val="nil"/>
            </w:tcBorders>
            <w:shd w:val="clear" w:color="auto" w:fill="C45911" w:themeFill="accent2" w:themeFillShade="BF"/>
            <w:noWrap/>
            <w:tcMar>
              <w:top w:w="0" w:type="dxa"/>
              <w:left w:w="108" w:type="dxa"/>
              <w:bottom w:w="0" w:type="dxa"/>
              <w:right w:w="108" w:type="dxa"/>
            </w:tcMar>
            <w:vAlign w:val="bottom"/>
            <w:hideMark/>
          </w:tcPr>
          <w:p w14:paraId="62C4A7F4" w14:textId="70869883" w:rsidR="00EF6321" w:rsidRPr="00427F9C" w:rsidRDefault="00EF6321" w:rsidP="00E2544E">
            <w:pPr>
              <w:keepNext/>
              <w:keepLines/>
              <w:rPr>
                <w:rFonts w:cs="Arial"/>
                <w:color w:val="000000"/>
                <w:szCs w:val="20"/>
                <w:lang w:eastAsia="en-AU"/>
              </w:rPr>
            </w:pPr>
            <w:r w:rsidRPr="00427F9C">
              <w:rPr>
                <w:rFonts w:cs="Arial"/>
                <w:color w:val="000000"/>
                <w:szCs w:val="20"/>
                <w:lang w:eastAsia="en-AU"/>
              </w:rPr>
              <w:t>≤12 Months</w:t>
            </w:r>
          </w:p>
        </w:tc>
      </w:tr>
      <w:tr w:rsidR="00EF6321" w:rsidRPr="00427F9C" w14:paraId="29E1E84A" w14:textId="77777777" w:rsidTr="00E2544E">
        <w:trPr>
          <w:trHeight w:val="409"/>
        </w:trPr>
        <w:tc>
          <w:tcPr>
            <w:tcW w:w="2127" w:type="dxa"/>
            <w:tcBorders>
              <w:bottom w:val="single" w:sz="12" w:space="0" w:color="002060"/>
            </w:tcBorders>
            <w:noWrap/>
            <w:tcMar>
              <w:top w:w="0" w:type="dxa"/>
              <w:left w:w="108" w:type="dxa"/>
              <w:bottom w:w="0" w:type="dxa"/>
              <w:right w:w="108" w:type="dxa"/>
            </w:tcMar>
            <w:vAlign w:val="bottom"/>
            <w:hideMark/>
          </w:tcPr>
          <w:p w14:paraId="28487CD2" w14:textId="77777777" w:rsidR="00EF6321" w:rsidRPr="00427F9C" w:rsidRDefault="00EF6321" w:rsidP="00E2544E">
            <w:pPr>
              <w:keepNext/>
              <w:keepLines/>
              <w:rPr>
                <w:rFonts w:cs="Arial"/>
                <w:b/>
                <w:color w:val="000000"/>
                <w:szCs w:val="20"/>
                <w:lang w:eastAsia="en-AU"/>
              </w:rPr>
            </w:pPr>
            <w:r w:rsidRPr="00427F9C">
              <w:rPr>
                <w:rFonts w:cs="Arial"/>
                <w:b/>
                <w:color w:val="000000"/>
                <w:szCs w:val="20"/>
                <w:lang w:eastAsia="en-AU"/>
              </w:rPr>
              <w:t>Cat 3, 4 and 6</w:t>
            </w:r>
          </w:p>
        </w:tc>
        <w:tc>
          <w:tcPr>
            <w:tcW w:w="1785" w:type="dxa"/>
            <w:tcBorders>
              <w:top w:val="nil"/>
              <w:bottom w:val="single" w:sz="12" w:space="0" w:color="002060"/>
            </w:tcBorders>
            <w:shd w:val="clear" w:color="auto" w:fill="00B050"/>
            <w:noWrap/>
            <w:tcMar>
              <w:top w:w="0" w:type="dxa"/>
              <w:left w:w="108" w:type="dxa"/>
              <w:bottom w:w="0" w:type="dxa"/>
              <w:right w:w="108" w:type="dxa"/>
            </w:tcMar>
            <w:vAlign w:val="bottom"/>
            <w:hideMark/>
          </w:tcPr>
          <w:p w14:paraId="7FE9592E" w14:textId="7356FD93" w:rsidR="00EF6321" w:rsidRPr="00427F9C" w:rsidRDefault="00EF6321" w:rsidP="00E2544E">
            <w:pPr>
              <w:keepNext/>
              <w:keepLines/>
              <w:rPr>
                <w:rFonts w:cs="Arial"/>
                <w:color w:val="000000"/>
                <w:szCs w:val="20"/>
                <w:lang w:eastAsia="en-AU"/>
              </w:rPr>
            </w:pPr>
            <w:r w:rsidRPr="00427F9C">
              <w:rPr>
                <w:rFonts w:cs="Arial"/>
                <w:color w:val="000000"/>
                <w:szCs w:val="20"/>
                <w:lang w:eastAsia="en-AU"/>
              </w:rPr>
              <w:t>36 Months</w:t>
            </w:r>
          </w:p>
        </w:tc>
        <w:tc>
          <w:tcPr>
            <w:tcW w:w="1956" w:type="dxa"/>
            <w:gridSpan w:val="2"/>
            <w:tcBorders>
              <w:top w:val="nil"/>
              <w:bottom w:val="single" w:sz="12" w:space="0" w:color="002060"/>
            </w:tcBorders>
            <w:shd w:val="clear" w:color="auto" w:fill="92D050"/>
            <w:noWrap/>
            <w:tcMar>
              <w:top w:w="0" w:type="dxa"/>
              <w:left w:w="108" w:type="dxa"/>
              <w:bottom w:w="0" w:type="dxa"/>
              <w:right w:w="108" w:type="dxa"/>
            </w:tcMar>
            <w:vAlign w:val="bottom"/>
            <w:hideMark/>
          </w:tcPr>
          <w:p w14:paraId="360F3232" w14:textId="397560A1" w:rsidR="00EF6321" w:rsidRPr="00427F9C" w:rsidRDefault="00EF6321" w:rsidP="00E2544E">
            <w:pPr>
              <w:keepNext/>
              <w:keepLines/>
              <w:rPr>
                <w:rFonts w:cs="Arial"/>
                <w:color w:val="000000"/>
                <w:szCs w:val="20"/>
                <w:lang w:eastAsia="en-AU"/>
              </w:rPr>
            </w:pPr>
            <w:r w:rsidRPr="00427F9C">
              <w:rPr>
                <w:rFonts w:cs="Arial"/>
                <w:color w:val="000000"/>
                <w:szCs w:val="20"/>
                <w:lang w:eastAsia="en-AU"/>
              </w:rPr>
              <w:t>30 Months</w:t>
            </w:r>
          </w:p>
        </w:tc>
        <w:tc>
          <w:tcPr>
            <w:tcW w:w="1956" w:type="dxa"/>
            <w:tcBorders>
              <w:top w:val="nil"/>
              <w:bottom w:val="single" w:sz="12" w:space="0" w:color="002060"/>
            </w:tcBorders>
            <w:shd w:val="clear" w:color="auto" w:fill="FFD966" w:themeFill="accent4" w:themeFillTint="99"/>
            <w:noWrap/>
            <w:tcMar>
              <w:top w:w="0" w:type="dxa"/>
              <w:left w:w="108" w:type="dxa"/>
              <w:bottom w:w="0" w:type="dxa"/>
              <w:right w:w="108" w:type="dxa"/>
            </w:tcMar>
            <w:vAlign w:val="bottom"/>
            <w:hideMark/>
          </w:tcPr>
          <w:p w14:paraId="00058501" w14:textId="443565A9" w:rsidR="00EF6321" w:rsidRPr="00427F9C" w:rsidRDefault="00EF6321" w:rsidP="00E2544E">
            <w:pPr>
              <w:keepNext/>
              <w:keepLines/>
              <w:rPr>
                <w:rFonts w:cs="Arial"/>
                <w:color w:val="000000"/>
                <w:szCs w:val="20"/>
                <w:lang w:eastAsia="en-AU"/>
              </w:rPr>
            </w:pPr>
            <w:r w:rsidRPr="00427F9C">
              <w:rPr>
                <w:rFonts w:cs="Arial"/>
                <w:color w:val="000000"/>
                <w:szCs w:val="20"/>
                <w:lang w:eastAsia="en-AU"/>
              </w:rPr>
              <w:t>18 Months</w:t>
            </w:r>
          </w:p>
        </w:tc>
        <w:tc>
          <w:tcPr>
            <w:tcW w:w="1957" w:type="dxa"/>
            <w:tcBorders>
              <w:top w:val="nil"/>
              <w:bottom w:val="single" w:sz="12" w:space="0" w:color="002060"/>
            </w:tcBorders>
            <w:shd w:val="clear" w:color="auto" w:fill="C45911" w:themeFill="accent2" w:themeFillShade="BF"/>
            <w:noWrap/>
            <w:tcMar>
              <w:top w:w="0" w:type="dxa"/>
              <w:left w:w="108" w:type="dxa"/>
              <w:bottom w:w="0" w:type="dxa"/>
              <w:right w:w="108" w:type="dxa"/>
            </w:tcMar>
            <w:vAlign w:val="bottom"/>
            <w:hideMark/>
          </w:tcPr>
          <w:p w14:paraId="6ECC2CDC" w14:textId="614439E0" w:rsidR="00EF6321" w:rsidRPr="00427F9C" w:rsidRDefault="00EF6321" w:rsidP="00E2544E">
            <w:pPr>
              <w:keepNext/>
              <w:keepLines/>
              <w:rPr>
                <w:rFonts w:cs="Arial"/>
                <w:color w:val="000000"/>
                <w:szCs w:val="20"/>
                <w:lang w:eastAsia="en-AU"/>
              </w:rPr>
            </w:pPr>
            <w:r w:rsidRPr="00427F9C">
              <w:rPr>
                <w:rFonts w:cs="Arial"/>
                <w:color w:val="000000"/>
                <w:szCs w:val="20"/>
                <w:lang w:eastAsia="en-AU"/>
              </w:rPr>
              <w:t>≤12 Months</w:t>
            </w:r>
          </w:p>
        </w:tc>
      </w:tr>
    </w:tbl>
    <w:p w14:paraId="44E3F5AB" w14:textId="77777777" w:rsidR="003A495F" w:rsidRPr="003A495F" w:rsidRDefault="003A495F" w:rsidP="003A495F">
      <w:pPr>
        <w:pStyle w:val="NormalText"/>
      </w:pPr>
    </w:p>
    <w:p w14:paraId="03B4A965" w14:textId="5788D208" w:rsidR="00761309" w:rsidRPr="00427F9C" w:rsidRDefault="00761309" w:rsidP="00761309">
      <w:pPr>
        <w:pStyle w:val="Heading1"/>
        <w:jc w:val="both"/>
      </w:pPr>
      <w:bookmarkStart w:id="96" w:name="_Toc145432942"/>
      <w:bookmarkStart w:id="97" w:name="_Toc145606332"/>
      <w:bookmarkStart w:id="98" w:name="_Ref145606581"/>
      <w:bookmarkStart w:id="99" w:name="_Ref158645591"/>
      <w:bookmarkStart w:id="100" w:name="_Toc160083873"/>
      <w:r w:rsidRPr="00427F9C">
        <w:lastRenderedPageBreak/>
        <w:t>APVMA audits of overseas sites</w:t>
      </w:r>
      <w:bookmarkEnd w:id="96"/>
      <w:bookmarkEnd w:id="97"/>
      <w:bookmarkEnd w:id="98"/>
      <w:bookmarkEnd w:id="99"/>
      <w:bookmarkEnd w:id="100"/>
    </w:p>
    <w:p w14:paraId="44D34475" w14:textId="2F0AEEBF" w:rsidR="00761309" w:rsidRPr="00427F9C" w:rsidRDefault="00761309" w:rsidP="00DA080A">
      <w:pPr>
        <w:pStyle w:val="NormalText"/>
      </w:pPr>
      <w:r w:rsidRPr="00427F9C">
        <w:t>Registrants of intermediate or finished products manufactured overseas are required to provide acceptable evidence of overseas GMP compliance to the APVMA. Conditions of registration require the registrant to ensure all sites involved in any step of manufacture—whether in Australia or overseas—maintain compliance with GMP. Registrants also need to ensure appropriate evidence of compliance is kept and submitted to the APVMA on request</w:t>
      </w:r>
      <w:r w:rsidR="009214C9">
        <w:t>.</w:t>
      </w:r>
    </w:p>
    <w:p w14:paraId="77F62241" w14:textId="77777777" w:rsidR="00761309" w:rsidRPr="00427F9C" w:rsidRDefault="00761309" w:rsidP="00DA080A">
      <w:pPr>
        <w:pStyle w:val="NormalText"/>
      </w:pPr>
      <w:r w:rsidRPr="00427F9C">
        <w:t>If a product applicant or registrant is unable to provide existing acceptable evidence of GMP compliance for an overseas manufacturing site used, then an audit by an APVMA-authorised auditor may be required.</w:t>
      </w:r>
    </w:p>
    <w:p w14:paraId="388D0B14" w14:textId="77777777" w:rsidR="00761309" w:rsidRPr="00427F9C" w:rsidRDefault="00761309" w:rsidP="00DA080A">
      <w:pPr>
        <w:pStyle w:val="NormalText"/>
      </w:pPr>
      <w:r w:rsidRPr="00427F9C">
        <w:t>For overseas audits, the majority of the audit processes and procedures described above apply, with the following differences:</w:t>
      </w:r>
    </w:p>
    <w:p w14:paraId="15EED4A9" w14:textId="3E2EC34E" w:rsidR="00761309" w:rsidRPr="00427F9C" w:rsidRDefault="00756F92" w:rsidP="00756F92">
      <w:pPr>
        <w:pStyle w:val="Bullet1"/>
        <w:ind w:left="714" w:hanging="357"/>
      </w:pPr>
      <w:r w:rsidRPr="00427F9C">
        <w:t>The audit may be arranged and/or paid for by the product applicant</w:t>
      </w:r>
      <w:r w:rsidR="007F250C">
        <w:t xml:space="preserve"> / </w:t>
      </w:r>
      <w:r w:rsidRPr="00427F9C">
        <w:t>registrant rather than the manufacturer</w:t>
      </w:r>
    </w:p>
    <w:p w14:paraId="06611B6F" w14:textId="5C28E631" w:rsidR="00761309" w:rsidRPr="00427F9C" w:rsidRDefault="00756F92" w:rsidP="00756F92">
      <w:pPr>
        <w:pStyle w:val="Bullet1"/>
        <w:ind w:left="714" w:hanging="357"/>
      </w:pPr>
      <w:r w:rsidRPr="00427F9C">
        <w:t>The auditor may requir</w:t>
      </w:r>
      <w:r w:rsidR="00761309" w:rsidRPr="00427F9C">
        <w:t>e additional notice for overseas audits, to allow for travel arrangements to be made</w:t>
      </w:r>
    </w:p>
    <w:p w14:paraId="5666221A" w14:textId="193C8AEA" w:rsidR="00761309" w:rsidRPr="00427F9C" w:rsidRDefault="00756F92" w:rsidP="00756F92">
      <w:pPr>
        <w:pStyle w:val="Bullet1"/>
        <w:ind w:left="714" w:hanging="357"/>
      </w:pPr>
      <w:r w:rsidRPr="00427F9C">
        <w:t>The pre-audit notification and information form for overseas sites should be used (</w:t>
      </w:r>
      <w:hyperlink r:id="rId62" w:history="1">
        <w:r w:rsidRPr="00756F92">
          <w:t>fm_mql45</w:t>
        </w:r>
      </w:hyperlink>
      <w:r w:rsidR="00761309" w:rsidRPr="00427F9C">
        <w:t>)</w:t>
      </w:r>
    </w:p>
    <w:p w14:paraId="273722CD" w14:textId="467BC260" w:rsidR="00761309" w:rsidRPr="00427F9C" w:rsidRDefault="00756F92" w:rsidP="00756F92">
      <w:pPr>
        <w:pStyle w:val="Bullet1"/>
        <w:ind w:left="714" w:hanging="357"/>
      </w:pPr>
      <w:r w:rsidRPr="00427F9C">
        <w:t xml:space="preserve">The audit will usually focus on the products to be imported to </w:t>
      </w:r>
      <w:r w:rsidR="000D29E4">
        <w:t>A</w:t>
      </w:r>
      <w:r w:rsidRPr="00427F9C">
        <w:t>ustralia, rather than the full range of products manufactured at the site</w:t>
      </w:r>
    </w:p>
    <w:p w14:paraId="093EE6C5" w14:textId="1F15F318" w:rsidR="00761309" w:rsidRPr="00427F9C" w:rsidRDefault="00756F92" w:rsidP="00756F92">
      <w:pPr>
        <w:pStyle w:val="Bullet1"/>
        <w:ind w:left="714" w:hanging="357"/>
      </w:pPr>
      <w:r w:rsidRPr="00427F9C">
        <w:t>Additional time may be required for the audit if interpreters or translation of documents are required</w:t>
      </w:r>
    </w:p>
    <w:p w14:paraId="4D27D44E" w14:textId="698AFD33" w:rsidR="00761309" w:rsidRPr="00427F9C" w:rsidRDefault="00756F92" w:rsidP="00756F92">
      <w:pPr>
        <w:pStyle w:val="Bullet1"/>
        <w:ind w:left="714" w:hanging="357"/>
      </w:pPr>
      <w:r w:rsidRPr="00427F9C">
        <w:t xml:space="preserve">The </w:t>
      </w:r>
      <w:r w:rsidR="001D4E7F">
        <w:t>APVMA</w:t>
      </w:r>
      <w:r w:rsidRPr="00427F9C">
        <w:t xml:space="preserve"> cannot issue a licence for overseas sites; instead, </w:t>
      </w:r>
      <w:r w:rsidR="00E02ECB">
        <w:t xml:space="preserve">the APVMA provides </w:t>
      </w:r>
      <w:r w:rsidRPr="00427F9C">
        <w:t xml:space="preserve">a letter of confirmation of </w:t>
      </w:r>
      <w:r w:rsidR="000D29E4">
        <w:t>GMP</w:t>
      </w:r>
      <w:r w:rsidRPr="00427F9C">
        <w:t xml:space="preserve"> compliance for the site, to whoever commissioned</w:t>
      </w:r>
      <w:r w:rsidR="00761309" w:rsidRPr="00427F9C">
        <w:t xml:space="preserve"> the audit.</w:t>
      </w:r>
    </w:p>
    <w:p w14:paraId="2A67F2D8" w14:textId="0A6F1B0F" w:rsidR="000425FB" w:rsidRDefault="00761309" w:rsidP="00A963D2">
      <w:pPr>
        <w:pStyle w:val="NormalText"/>
      </w:pPr>
      <w:r w:rsidRPr="00427F9C">
        <w:t xml:space="preserve">Information on </w:t>
      </w:r>
      <w:hyperlink r:id="rId63" w:history="1">
        <w:r w:rsidRPr="00DA080A">
          <w:t>APVMA audits of overseas sites</w:t>
        </w:r>
      </w:hyperlink>
      <w:r w:rsidRPr="00427F9C">
        <w:t xml:space="preserve"> can be found on the website.</w:t>
      </w:r>
    </w:p>
    <w:p w14:paraId="419D7931" w14:textId="3463BB02" w:rsidR="00761309" w:rsidRPr="00427F9C" w:rsidRDefault="008C4A3F" w:rsidP="00761309">
      <w:pPr>
        <w:pStyle w:val="Heading1"/>
        <w:jc w:val="both"/>
      </w:pPr>
      <w:bookmarkStart w:id="101" w:name="_Toc145432944"/>
      <w:bookmarkStart w:id="102" w:name="_Toc145606334"/>
      <w:bookmarkStart w:id="103" w:name="_Ref145608371"/>
      <w:bookmarkStart w:id="104" w:name="_Toc160083874"/>
      <w:r>
        <w:lastRenderedPageBreak/>
        <w:t>Summary: key r</w:t>
      </w:r>
      <w:r w:rsidR="00761309" w:rsidRPr="00427F9C">
        <w:t>esponsibilities</w:t>
      </w:r>
      <w:bookmarkEnd w:id="101"/>
      <w:bookmarkEnd w:id="102"/>
      <w:bookmarkEnd w:id="103"/>
      <w:bookmarkEnd w:id="104"/>
    </w:p>
    <w:p w14:paraId="513F27B0" w14:textId="315F3481" w:rsidR="00761309" w:rsidRPr="00427F9C" w:rsidRDefault="00761309" w:rsidP="00756F92">
      <w:pPr>
        <w:pStyle w:val="NormalText"/>
      </w:pPr>
      <w:r w:rsidRPr="00427F9C">
        <w:t xml:space="preserve">The </w:t>
      </w:r>
      <w:r w:rsidR="00136BC1" w:rsidRPr="00136BC1">
        <w:rPr>
          <w:b/>
          <w:bCs/>
        </w:rPr>
        <w:t xml:space="preserve">Licence Holder / </w:t>
      </w:r>
      <w:r w:rsidRPr="00DA080A">
        <w:rPr>
          <w:b/>
          <w:bCs/>
        </w:rPr>
        <w:t>manufacturer</w:t>
      </w:r>
      <w:r w:rsidRPr="00427F9C">
        <w:t xml:space="preserve"> is responsible for:</w:t>
      </w:r>
    </w:p>
    <w:p w14:paraId="69508BAC" w14:textId="6B9B9E4D" w:rsidR="00DA5E85" w:rsidRDefault="00DA5E85" w:rsidP="00756F92">
      <w:pPr>
        <w:pStyle w:val="Bullet1"/>
        <w:ind w:left="714" w:hanging="357"/>
      </w:pPr>
      <w:r w:rsidRPr="00DA5E85">
        <w:t>Arranging the audit well in advance of the due date advised by the APVMA</w:t>
      </w:r>
      <w:r>
        <w:t>.</w:t>
      </w:r>
    </w:p>
    <w:p w14:paraId="5026C21C" w14:textId="756C21F6" w:rsidR="00761309" w:rsidRPr="00427F9C" w:rsidRDefault="00756F92" w:rsidP="00756F92">
      <w:pPr>
        <w:pStyle w:val="Bullet1"/>
        <w:ind w:left="714" w:hanging="357"/>
      </w:pPr>
      <w:r w:rsidRPr="00427F9C">
        <w:t xml:space="preserve">Sending </w:t>
      </w:r>
      <w:r w:rsidR="00761309" w:rsidRPr="00427F9C">
        <w:t xml:space="preserve">a signed and completed Pre-audit </w:t>
      </w:r>
      <w:r w:rsidR="006635DC">
        <w:t>N</w:t>
      </w:r>
      <w:r w:rsidR="00761309" w:rsidRPr="00427F9C">
        <w:t xml:space="preserve">otification and </w:t>
      </w:r>
      <w:r w:rsidR="006635DC">
        <w:t>I</w:t>
      </w:r>
      <w:r w:rsidR="00761309" w:rsidRPr="00427F9C">
        <w:t>nformation form to the APVMA promptly</w:t>
      </w:r>
      <w:r w:rsidR="009B4EFA" w:rsidRPr="00427F9C">
        <w:t xml:space="preserve">, </w:t>
      </w:r>
      <w:r w:rsidR="009B4EFA" w:rsidRPr="00756F92">
        <w:t>at least</w:t>
      </w:r>
      <w:r w:rsidR="009B4EFA" w:rsidRPr="00427F9C">
        <w:t xml:space="preserve"> six (6) weeks ahead of the audit</w:t>
      </w:r>
      <w:r w:rsidR="006635DC">
        <w:t xml:space="preserve"> </w:t>
      </w:r>
      <w:r w:rsidR="009B4EFA" w:rsidRPr="00427F9C">
        <w:t>date</w:t>
      </w:r>
      <w:r w:rsidR="006635DC">
        <w:t>.</w:t>
      </w:r>
    </w:p>
    <w:p w14:paraId="36EAEDCC" w14:textId="0E1C79E7" w:rsidR="00A6015D" w:rsidRDefault="00A6015D" w:rsidP="00756F92">
      <w:pPr>
        <w:pStyle w:val="Bullet1"/>
        <w:ind w:left="714" w:hanging="357"/>
      </w:pPr>
      <w:r w:rsidRPr="00A6015D">
        <w:t>Reviewing the final ‘GMP Audit Report’ and signing the last page within 25 working days of the audit date. By signing the report, the Licence Holder is agreeing to the list and level of non-conformances observed during the audit.</w:t>
      </w:r>
    </w:p>
    <w:p w14:paraId="40BD7DA0" w14:textId="2D11903A" w:rsidR="00761309" w:rsidRPr="00427F9C" w:rsidRDefault="00756F92" w:rsidP="00756F92">
      <w:pPr>
        <w:pStyle w:val="Bullet1"/>
        <w:ind w:left="714" w:hanging="357"/>
      </w:pPr>
      <w:r w:rsidRPr="00427F9C">
        <w:t xml:space="preserve">Advising </w:t>
      </w:r>
      <w:r w:rsidR="00761309" w:rsidRPr="00427F9C">
        <w:t>the APVMA as soon as possible in the case of disagreement or dispute with the auditor’s findings, or assessment of corrective actions</w:t>
      </w:r>
      <w:r w:rsidR="008019D2">
        <w:t>.</w:t>
      </w:r>
    </w:p>
    <w:p w14:paraId="40893D90" w14:textId="3AFAA049" w:rsidR="00761309" w:rsidRPr="00427F9C" w:rsidRDefault="00756F92" w:rsidP="00756F92">
      <w:pPr>
        <w:pStyle w:val="Bullet1"/>
        <w:ind w:left="714" w:hanging="357"/>
      </w:pPr>
      <w:r w:rsidRPr="00427F9C">
        <w:t xml:space="preserve">Advising </w:t>
      </w:r>
      <w:r w:rsidR="00761309" w:rsidRPr="00427F9C">
        <w:t>the APVMA in writing</w:t>
      </w:r>
      <w:r w:rsidR="006635DC">
        <w:t>,</w:t>
      </w:r>
      <w:r w:rsidR="00761309" w:rsidRPr="00427F9C">
        <w:t xml:space="preserve"> </w:t>
      </w:r>
      <w:r w:rsidR="006635DC">
        <w:t xml:space="preserve">and </w:t>
      </w:r>
      <w:r w:rsidR="00761309" w:rsidRPr="00756F92">
        <w:t xml:space="preserve">within </w:t>
      </w:r>
      <w:r w:rsidR="009F2979">
        <w:t xml:space="preserve">24 hours </w:t>
      </w:r>
      <w:r w:rsidR="00761309" w:rsidRPr="00756F92">
        <w:t xml:space="preserve">of the audit </w:t>
      </w:r>
      <w:r w:rsidR="006635DC">
        <w:t xml:space="preserve">completion </w:t>
      </w:r>
      <w:r w:rsidR="00761309" w:rsidRPr="00756F92">
        <w:t>date</w:t>
      </w:r>
      <w:r w:rsidR="006635DC">
        <w:t>,</w:t>
      </w:r>
      <w:r w:rsidR="00761309" w:rsidRPr="00756F92">
        <w:t xml:space="preserve"> of any </w:t>
      </w:r>
      <w:r w:rsidR="004C005D">
        <w:t>Critical</w:t>
      </w:r>
      <w:r w:rsidR="00761309" w:rsidRPr="00756F92">
        <w:t xml:space="preserve"> non-conformances identified and detailing </w:t>
      </w:r>
      <w:r w:rsidR="009B4EFA" w:rsidRPr="00756F92">
        <w:t xml:space="preserve">root cause and </w:t>
      </w:r>
      <w:r w:rsidR="00761309" w:rsidRPr="00756F92">
        <w:t>proposed corrective actions</w:t>
      </w:r>
      <w:r w:rsidR="006635DC">
        <w:t>.</w:t>
      </w:r>
    </w:p>
    <w:p w14:paraId="6C0BA05E" w14:textId="505FD8D8" w:rsidR="00761309" w:rsidRPr="00427F9C" w:rsidRDefault="00756F92" w:rsidP="00756F92">
      <w:pPr>
        <w:pStyle w:val="Bullet1"/>
        <w:ind w:left="714" w:hanging="357"/>
      </w:pPr>
      <w:r w:rsidRPr="00427F9C">
        <w:t xml:space="preserve">Completing </w:t>
      </w:r>
      <w:r w:rsidR="00761309" w:rsidRPr="00427F9C">
        <w:t xml:space="preserve">Part 1 of the Response to </w:t>
      </w:r>
      <w:r w:rsidR="00FE59A9">
        <w:t>GMP Audit Report</w:t>
      </w:r>
      <w:r w:rsidR="00761309" w:rsidRPr="00427F9C">
        <w:t xml:space="preserve"> form</w:t>
      </w:r>
      <w:r w:rsidR="009B4EFA" w:rsidRPr="00427F9C">
        <w:t xml:space="preserve"> </w:t>
      </w:r>
      <w:r w:rsidR="006635DC">
        <w:t xml:space="preserve">(compulsory) </w:t>
      </w:r>
      <w:r w:rsidR="00761309" w:rsidRPr="00427F9C">
        <w:t>and Part 2</w:t>
      </w:r>
      <w:r w:rsidR="006635DC">
        <w:t xml:space="preserve"> </w:t>
      </w:r>
      <w:r w:rsidR="00761309" w:rsidRPr="00427F9C">
        <w:t>(encouraged but not mandatory)</w:t>
      </w:r>
      <w:r w:rsidR="006635DC" w:rsidRPr="006635DC">
        <w:t xml:space="preserve"> </w:t>
      </w:r>
      <w:r w:rsidR="006635DC" w:rsidRPr="00427F9C">
        <w:t>within 25 working days of the audit date</w:t>
      </w:r>
      <w:r w:rsidR="006635DC">
        <w:t xml:space="preserve"> and submitting both to the APVMA</w:t>
      </w:r>
      <w:r w:rsidR="008019D2">
        <w:t>.</w:t>
      </w:r>
    </w:p>
    <w:p w14:paraId="60DC5779" w14:textId="7A1E53EF" w:rsidR="006635DC" w:rsidRPr="00427F9C" w:rsidRDefault="006635DC" w:rsidP="006635DC">
      <w:pPr>
        <w:pStyle w:val="Bullet1"/>
        <w:ind w:left="714" w:hanging="357"/>
      </w:pPr>
      <w:r w:rsidRPr="00427F9C">
        <w:t xml:space="preserve">Sending a copy of the completed Part 1 of the Response to </w:t>
      </w:r>
      <w:r>
        <w:t>GMP Audit Report</w:t>
      </w:r>
      <w:r w:rsidRPr="00427F9C">
        <w:t xml:space="preserve"> form to the auditor within 25 working days of audit</w:t>
      </w:r>
      <w:r>
        <w:t xml:space="preserve"> completion.</w:t>
      </w:r>
    </w:p>
    <w:p w14:paraId="151414F0" w14:textId="1B5DF2B3" w:rsidR="00761309" w:rsidRPr="00427F9C" w:rsidRDefault="00756F92" w:rsidP="00756F92">
      <w:pPr>
        <w:pStyle w:val="Bullet1"/>
        <w:ind w:left="714" w:hanging="357"/>
      </w:pPr>
      <w:r w:rsidRPr="00427F9C">
        <w:t xml:space="preserve">Signing </w:t>
      </w:r>
      <w:r w:rsidR="00761309" w:rsidRPr="00427F9C">
        <w:t xml:space="preserve">and sending the original version of the completed </w:t>
      </w:r>
      <w:r w:rsidR="00FE59A9">
        <w:t>GMP Audit Report</w:t>
      </w:r>
      <w:r w:rsidR="00761309" w:rsidRPr="00427F9C">
        <w:t xml:space="preserve"> and all associated documents (eg report supplements for annexes, if used) to the APVMA within 25 working days of audit</w:t>
      </w:r>
      <w:r w:rsidR="008019D2">
        <w:t xml:space="preserve"> completion.</w:t>
      </w:r>
    </w:p>
    <w:p w14:paraId="5707FDE1" w14:textId="24163D6B" w:rsidR="00761309" w:rsidRPr="00427F9C" w:rsidRDefault="00756F92" w:rsidP="00756F92">
      <w:pPr>
        <w:pStyle w:val="Bullet1"/>
        <w:ind w:left="714" w:hanging="357"/>
      </w:pPr>
      <w:r w:rsidRPr="00427F9C">
        <w:t xml:space="preserve">Paying </w:t>
      </w:r>
      <w:r w:rsidR="00761309" w:rsidRPr="00427F9C">
        <w:t>the auditor for the primary audit and all desk and/or verification audits required to close</w:t>
      </w:r>
      <w:r>
        <w:t>.</w:t>
      </w:r>
    </w:p>
    <w:p w14:paraId="68A3854A" w14:textId="77777777" w:rsidR="00761309" w:rsidRPr="00427F9C" w:rsidRDefault="00761309" w:rsidP="00756F92">
      <w:pPr>
        <w:pStyle w:val="NormalText"/>
      </w:pPr>
      <w:r w:rsidRPr="00427F9C">
        <w:t xml:space="preserve">The </w:t>
      </w:r>
      <w:r w:rsidRPr="00DA080A">
        <w:rPr>
          <w:b/>
          <w:bCs/>
        </w:rPr>
        <w:t>APVMA-authorised GMP auditor</w:t>
      </w:r>
      <w:r w:rsidRPr="00DA080A">
        <w:t xml:space="preserve"> </w:t>
      </w:r>
      <w:r w:rsidRPr="00427F9C">
        <w:t>is responsible for:</w:t>
      </w:r>
    </w:p>
    <w:p w14:paraId="643D5EF1" w14:textId="0946E7D4" w:rsidR="00761309" w:rsidRPr="00427F9C" w:rsidRDefault="00756F92" w:rsidP="00756F92">
      <w:pPr>
        <w:pStyle w:val="Bullet1"/>
        <w:ind w:left="714" w:hanging="357"/>
      </w:pPr>
      <w:r w:rsidRPr="00427F9C">
        <w:t xml:space="preserve">Completing </w:t>
      </w:r>
      <w:r w:rsidR="00761309" w:rsidRPr="00427F9C">
        <w:t>correct, current versions of all audit documents, using only standard authorised formats, as supplied by the APVMA</w:t>
      </w:r>
      <w:r w:rsidR="006635DC">
        <w:t>.</w:t>
      </w:r>
    </w:p>
    <w:p w14:paraId="21703572" w14:textId="0CD607B8" w:rsidR="00761309" w:rsidRPr="00427F9C" w:rsidRDefault="00756F92" w:rsidP="00756F92">
      <w:pPr>
        <w:pStyle w:val="Bullet1"/>
        <w:ind w:left="714" w:hanging="357"/>
      </w:pPr>
      <w:r w:rsidRPr="00427F9C">
        <w:t xml:space="preserve">Sending </w:t>
      </w:r>
      <w:r w:rsidR="00761309" w:rsidRPr="00427F9C">
        <w:t xml:space="preserve">a signed Confirmation of </w:t>
      </w:r>
      <w:r w:rsidR="006635DC">
        <w:t>A</w:t>
      </w:r>
      <w:r w:rsidR="00761309" w:rsidRPr="00427F9C">
        <w:t xml:space="preserve">udit </w:t>
      </w:r>
      <w:r w:rsidR="006635DC">
        <w:t>B</w:t>
      </w:r>
      <w:r w:rsidR="00761309" w:rsidRPr="00427F9C">
        <w:t xml:space="preserve">ooking </w:t>
      </w:r>
      <w:r w:rsidR="006635DC">
        <w:t>f</w:t>
      </w:r>
      <w:r w:rsidR="00761309" w:rsidRPr="00427F9C">
        <w:t>orm to the APVMA when audits are booked</w:t>
      </w:r>
      <w:r w:rsidR="006635DC">
        <w:t>.</w:t>
      </w:r>
    </w:p>
    <w:p w14:paraId="68BF0D7C" w14:textId="11614703" w:rsidR="00761309" w:rsidRPr="00427F9C" w:rsidRDefault="00756F92" w:rsidP="00756F92">
      <w:pPr>
        <w:pStyle w:val="Bullet1"/>
        <w:ind w:left="714" w:hanging="357"/>
      </w:pPr>
      <w:r w:rsidRPr="00427F9C">
        <w:t xml:space="preserve">Conducting </w:t>
      </w:r>
      <w:r w:rsidR="00761309" w:rsidRPr="00427F9C">
        <w:t>the audit in a thorough, professional manner in accordance with this procedure</w:t>
      </w:r>
      <w:r w:rsidR="006635DC">
        <w:t>.</w:t>
      </w:r>
    </w:p>
    <w:p w14:paraId="04753B4C" w14:textId="6FB3A887" w:rsidR="00761309" w:rsidRPr="00427F9C" w:rsidRDefault="00756F92" w:rsidP="00756F92">
      <w:pPr>
        <w:pStyle w:val="Bullet1"/>
        <w:ind w:left="714" w:hanging="357"/>
      </w:pPr>
      <w:r w:rsidRPr="00427F9C">
        <w:t xml:space="preserve">Sending </w:t>
      </w:r>
      <w:r w:rsidR="00761309" w:rsidRPr="00427F9C">
        <w:t xml:space="preserve">a Notification of </w:t>
      </w:r>
      <w:r w:rsidR="006635DC">
        <w:t>C</w:t>
      </w:r>
      <w:r w:rsidR="00761309" w:rsidRPr="00427F9C">
        <w:t xml:space="preserve">ompleted </w:t>
      </w:r>
      <w:r w:rsidR="006635DC">
        <w:t>A</w:t>
      </w:r>
      <w:r w:rsidR="00761309" w:rsidRPr="00427F9C">
        <w:t xml:space="preserve">udit form to the APVMA within three </w:t>
      </w:r>
      <w:r w:rsidR="009B4EFA" w:rsidRPr="00427F9C">
        <w:t xml:space="preserve">(3) </w:t>
      </w:r>
      <w:r w:rsidR="00761309" w:rsidRPr="00427F9C">
        <w:t>working days (</w:t>
      </w:r>
      <w:r w:rsidR="00761309" w:rsidRPr="00756F92">
        <w:t xml:space="preserve">24 hours where </w:t>
      </w:r>
      <w:r w:rsidR="004C005D">
        <w:t>Critical</w:t>
      </w:r>
      <w:r w:rsidR="00761309" w:rsidRPr="00756F92">
        <w:t xml:space="preserve"> non-conformances are observed</w:t>
      </w:r>
      <w:r w:rsidR="00761309" w:rsidRPr="00427F9C">
        <w:t>) of completion of the audit</w:t>
      </w:r>
      <w:r w:rsidR="009044B4">
        <w:t>.</w:t>
      </w:r>
    </w:p>
    <w:p w14:paraId="20707FA5" w14:textId="5A553947" w:rsidR="00761309" w:rsidRPr="00427F9C" w:rsidRDefault="00756F92" w:rsidP="00756F92">
      <w:pPr>
        <w:pStyle w:val="Bullet1"/>
        <w:ind w:left="714" w:hanging="357"/>
      </w:pPr>
      <w:r w:rsidRPr="00427F9C">
        <w:t xml:space="preserve">Providing </w:t>
      </w:r>
      <w:r w:rsidR="00761309" w:rsidRPr="00427F9C">
        <w:t xml:space="preserve">the </w:t>
      </w:r>
      <w:r w:rsidR="008B1746">
        <w:t>Licence Holder</w:t>
      </w:r>
      <w:r w:rsidR="00761309" w:rsidRPr="00427F9C">
        <w:t xml:space="preserve"> with the original version of the completed </w:t>
      </w:r>
      <w:r w:rsidR="00FE59A9">
        <w:t>GMP Audit Report</w:t>
      </w:r>
      <w:r w:rsidR="00761309" w:rsidRPr="00427F9C">
        <w:t xml:space="preserve"> plus all associated documents (eg report supplements for annexes, if used) within 10 working days of the audit, and providing copies to the APVMA at the same time</w:t>
      </w:r>
      <w:r w:rsidR="009044B4">
        <w:t>.</w:t>
      </w:r>
    </w:p>
    <w:p w14:paraId="16DD96CA" w14:textId="12834AE9" w:rsidR="00761309" w:rsidRPr="00427F9C" w:rsidRDefault="00756F92" w:rsidP="00756F92">
      <w:pPr>
        <w:pStyle w:val="Bullet1"/>
        <w:ind w:left="714" w:hanging="357"/>
      </w:pPr>
      <w:r w:rsidRPr="00427F9C">
        <w:t xml:space="preserve">Reviewing </w:t>
      </w:r>
      <w:r w:rsidR="00761309" w:rsidRPr="00427F9C">
        <w:t xml:space="preserve">corrective actions by either desk-review </w:t>
      </w:r>
      <w:r w:rsidR="009B4EFA" w:rsidRPr="00427F9C">
        <w:t xml:space="preserve">(objective evidence or plan) </w:t>
      </w:r>
      <w:r w:rsidR="00761309" w:rsidRPr="00427F9C">
        <w:t xml:space="preserve">or verification audit and completing and submitting a Corrective </w:t>
      </w:r>
      <w:r w:rsidR="00F527BF">
        <w:t>A</w:t>
      </w:r>
      <w:r w:rsidR="00761309" w:rsidRPr="00427F9C">
        <w:t xml:space="preserve">ction </w:t>
      </w:r>
      <w:r w:rsidR="00F527BF">
        <w:t>R</w:t>
      </w:r>
      <w:r w:rsidR="00761309" w:rsidRPr="00427F9C">
        <w:t>eview form</w:t>
      </w:r>
      <w:r w:rsidR="00761309" w:rsidRPr="00756F92">
        <w:t>,</w:t>
      </w:r>
      <w:r w:rsidR="00761309" w:rsidRPr="00427F9C">
        <w:t xml:space="preserve"> to the </w:t>
      </w:r>
      <w:r w:rsidR="008B1746">
        <w:t xml:space="preserve">Licence Holder </w:t>
      </w:r>
      <w:r w:rsidR="00761309" w:rsidRPr="00427F9C">
        <w:t>and the APVMA, within 10 days of receipt of the evidence</w:t>
      </w:r>
      <w:r w:rsidR="007F250C">
        <w:t xml:space="preserve"> / </w:t>
      </w:r>
      <w:r w:rsidR="00761309" w:rsidRPr="00427F9C">
        <w:t>plan</w:t>
      </w:r>
      <w:r w:rsidR="009044B4">
        <w:t>.</w:t>
      </w:r>
    </w:p>
    <w:p w14:paraId="4DEE7F8D" w14:textId="74AB733E" w:rsidR="00761309" w:rsidRPr="00427F9C" w:rsidRDefault="00756F92" w:rsidP="00756F92">
      <w:pPr>
        <w:pStyle w:val="Bullet1"/>
        <w:ind w:left="714" w:hanging="357"/>
      </w:pPr>
      <w:r w:rsidRPr="00427F9C">
        <w:t xml:space="preserve">Notifying </w:t>
      </w:r>
      <w:r w:rsidR="00761309" w:rsidRPr="00427F9C">
        <w:t xml:space="preserve">the APVMA when they are satisfied that all </w:t>
      </w:r>
      <w:r w:rsidR="009B4EFA" w:rsidRPr="00427F9C">
        <w:t>non-conformances</w:t>
      </w:r>
      <w:r w:rsidR="00761309" w:rsidRPr="00427F9C">
        <w:t xml:space="preserve"> have been satisfactorily addressed, by review of objective evidence or satisfactory plan. </w:t>
      </w:r>
    </w:p>
    <w:p w14:paraId="51A01897" w14:textId="4469890D" w:rsidR="00761309" w:rsidRPr="00427F9C" w:rsidRDefault="00756F92" w:rsidP="00756F92">
      <w:pPr>
        <w:pStyle w:val="Bullet1"/>
        <w:ind w:left="714" w:hanging="357"/>
      </w:pPr>
      <w:r w:rsidRPr="00427F9C">
        <w:lastRenderedPageBreak/>
        <w:t xml:space="preserve">Advising </w:t>
      </w:r>
      <w:r w:rsidR="00761309" w:rsidRPr="00427F9C">
        <w:t>the APVMA if a verification audit is postponed</w:t>
      </w:r>
      <w:r w:rsidR="00E35C58">
        <w:t>,</w:t>
      </w:r>
      <w:r w:rsidR="00761309" w:rsidRPr="00427F9C">
        <w:t xml:space="preserve"> or corrective action submissions are not received within the agreed timeframes</w:t>
      </w:r>
      <w:r w:rsidR="009044B4">
        <w:t>.</w:t>
      </w:r>
    </w:p>
    <w:p w14:paraId="05DC46EE" w14:textId="4DFEABEE" w:rsidR="00761309" w:rsidRPr="00427F9C" w:rsidRDefault="00756F92" w:rsidP="00756F92">
      <w:pPr>
        <w:pStyle w:val="Bullet1"/>
        <w:ind w:left="714" w:hanging="357"/>
      </w:pPr>
      <w:r w:rsidRPr="00427F9C">
        <w:t xml:space="preserve">Returning </w:t>
      </w:r>
      <w:r w:rsidR="00761309" w:rsidRPr="00427F9C">
        <w:t xml:space="preserve">confidential </w:t>
      </w:r>
      <w:r w:rsidR="008B1746">
        <w:t xml:space="preserve">Licence Holder </w:t>
      </w:r>
      <w:r w:rsidR="00761309" w:rsidRPr="00427F9C">
        <w:t>and product information to the APVMA, or providing written confirmation to the APVMA that all information has been securely stored, once the audit is closed out.</w:t>
      </w:r>
    </w:p>
    <w:p w14:paraId="6E99C56A" w14:textId="438EA5F4" w:rsidR="00761309" w:rsidRPr="00427F9C" w:rsidRDefault="00761309" w:rsidP="00756F92">
      <w:pPr>
        <w:pStyle w:val="NormalText"/>
      </w:pPr>
      <w:r w:rsidRPr="00427F9C">
        <w:t xml:space="preserve">The </w:t>
      </w:r>
      <w:r w:rsidRPr="00756F92">
        <w:rPr>
          <w:b/>
          <w:bCs/>
        </w:rPr>
        <w:t>APVMA GMP officer</w:t>
      </w:r>
      <w:r w:rsidR="007F250C">
        <w:rPr>
          <w:b/>
          <w:bCs/>
        </w:rPr>
        <w:t xml:space="preserve"> / </w:t>
      </w:r>
      <w:r w:rsidRPr="00756F92">
        <w:rPr>
          <w:b/>
          <w:bCs/>
        </w:rPr>
        <w:t>reviewer</w:t>
      </w:r>
      <w:r w:rsidRPr="00427F9C">
        <w:t xml:space="preserve"> is responsible for:</w:t>
      </w:r>
    </w:p>
    <w:p w14:paraId="1C37731D" w14:textId="0F57003A" w:rsidR="00761309" w:rsidRPr="00427F9C" w:rsidRDefault="00761309" w:rsidP="00756F92">
      <w:pPr>
        <w:pStyle w:val="Bullet1"/>
        <w:ind w:left="714" w:hanging="357"/>
      </w:pPr>
      <w:r w:rsidRPr="00427F9C">
        <w:t>Monitoring audit timeframes and initiating regulatory action as appropriate</w:t>
      </w:r>
      <w:r w:rsidR="000E1BCC">
        <w:t>.</w:t>
      </w:r>
    </w:p>
    <w:p w14:paraId="1647DFE7" w14:textId="17B07974" w:rsidR="00761309" w:rsidRPr="00427F9C" w:rsidRDefault="00761309" w:rsidP="00756F92">
      <w:pPr>
        <w:pStyle w:val="Bullet1"/>
        <w:ind w:left="714" w:hanging="357"/>
      </w:pPr>
      <w:r w:rsidRPr="00427F9C">
        <w:t xml:space="preserve">Reminding </w:t>
      </w:r>
      <w:r w:rsidR="008B1746">
        <w:t xml:space="preserve">Licence Holders </w:t>
      </w:r>
      <w:r w:rsidRPr="00427F9C">
        <w:t>when audits are due or overdue</w:t>
      </w:r>
      <w:r w:rsidR="000E1BCC">
        <w:t>.</w:t>
      </w:r>
    </w:p>
    <w:p w14:paraId="5E655584" w14:textId="68301C72" w:rsidR="00761309" w:rsidRPr="00427F9C" w:rsidRDefault="00761309" w:rsidP="00756F92">
      <w:pPr>
        <w:pStyle w:val="Bullet1"/>
        <w:ind w:left="714" w:hanging="357"/>
      </w:pPr>
      <w:r w:rsidRPr="00427F9C">
        <w:t>Vetting the suitability of the auditor</w:t>
      </w:r>
      <w:r w:rsidR="000E1BCC">
        <w:t>.</w:t>
      </w:r>
    </w:p>
    <w:p w14:paraId="708E966C" w14:textId="18C0424B" w:rsidR="00761309" w:rsidRPr="00427F9C" w:rsidRDefault="00761309" w:rsidP="00756F92">
      <w:pPr>
        <w:pStyle w:val="Bullet1"/>
        <w:ind w:left="714" w:hanging="357"/>
      </w:pPr>
      <w:r w:rsidRPr="00427F9C">
        <w:t>Collating audit information in consultation with any other relevant APVMA sections, where necessary</w:t>
      </w:r>
      <w:r w:rsidR="000E1BCC">
        <w:t>.</w:t>
      </w:r>
    </w:p>
    <w:p w14:paraId="292D9589" w14:textId="22BBFAE9" w:rsidR="00761309" w:rsidRPr="00427F9C" w:rsidRDefault="00761309" w:rsidP="00756F92">
      <w:pPr>
        <w:pStyle w:val="Bullet1"/>
        <w:ind w:left="714" w:hanging="357"/>
      </w:pPr>
      <w:r w:rsidRPr="00427F9C">
        <w:t xml:space="preserve">Forwarding information on the </w:t>
      </w:r>
      <w:r w:rsidR="008B1746">
        <w:t xml:space="preserve">Licence Holder </w:t>
      </w:r>
      <w:r w:rsidRPr="00427F9C">
        <w:t>to the auditor prior to the audit</w:t>
      </w:r>
      <w:r w:rsidR="000E1BCC">
        <w:t>.</w:t>
      </w:r>
    </w:p>
    <w:p w14:paraId="54CE7C9D" w14:textId="209570F2" w:rsidR="00761309" w:rsidRPr="00427F9C" w:rsidRDefault="00761309" w:rsidP="00756F92">
      <w:pPr>
        <w:pStyle w:val="Bullet1"/>
        <w:ind w:left="714" w:hanging="357"/>
      </w:pPr>
      <w:r w:rsidRPr="00427F9C">
        <w:t>Monitoring the progress of the audit and close-out processes and intervening where necessary</w:t>
      </w:r>
      <w:r w:rsidR="000E1BCC">
        <w:t>.</w:t>
      </w:r>
    </w:p>
    <w:p w14:paraId="108F76B1" w14:textId="201AC583" w:rsidR="00761309" w:rsidRPr="00427F9C" w:rsidRDefault="00761309" w:rsidP="00756F92">
      <w:pPr>
        <w:pStyle w:val="Bullet1"/>
        <w:ind w:left="714" w:hanging="357"/>
      </w:pPr>
      <w:r w:rsidRPr="00427F9C">
        <w:t>Providing confirmation of whether an audit can be closed based on an agreed plan</w:t>
      </w:r>
      <w:r w:rsidR="000E1BCC">
        <w:t>.</w:t>
      </w:r>
    </w:p>
    <w:p w14:paraId="6AC92E1A" w14:textId="3E180503" w:rsidR="00761309" w:rsidRPr="00427F9C" w:rsidRDefault="00761309" w:rsidP="00756F92">
      <w:pPr>
        <w:pStyle w:val="Bullet1"/>
        <w:ind w:left="714" w:hanging="357"/>
      </w:pPr>
      <w:r w:rsidRPr="00427F9C">
        <w:t>Recommending whether licences should be issued, continued, suspended or cancelled, conditions imposed</w:t>
      </w:r>
      <w:r w:rsidR="007F250C">
        <w:t xml:space="preserve"> / </w:t>
      </w:r>
      <w:r w:rsidRPr="00427F9C">
        <w:t>removed</w:t>
      </w:r>
      <w:r w:rsidR="000E1BCC">
        <w:t>.</w:t>
      </w:r>
    </w:p>
    <w:p w14:paraId="42FA986D" w14:textId="1F3DB22F" w:rsidR="00761309" w:rsidRPr="00427F9C" w:rsidRDefault="000E1BCC" w:rsidP="00756F92">
      <w:pPr>
        <w:pStyle w:val="Bullet1"/>
        <w:ind w:left="714" w:hanging="357"/>
      </w:pPr>
      <w:r>
        <w:t xml:space="preserve">Facilitating early resolution of </w:t>
      </w:r>
      <w:r w:rsidR="00761309" w:rsidRPr="00427F9C">
        <w:t xml:space="preserve">disputes between the </w:t>
      </w:r>
      <w:r w:rsidR="008B1746">
        <w:t xml:space="preserve">Licence Holder </w:t>
      </w:r>
      <w:r w:rsidR="00761309" w:rsidRPr="00427F9C">
        <w:t>and auditor regarding non-conformances and/or corrective actions</w:t>
      </w:r>
      <w:r>
        <w:t>.</w:t>
      </w:r>
    </w:p>
    <w:p w14:paraId="6606D512" w14:textId="282632D2" w:rsidR="000E1BCC" w:rsidRDefault="000E1BCC" w:rsidP="000E1BCC">
      <w:pPr>
        <w:pStyle w:val="Bullet1"/>
        <w:ind w:left="714" w:hanging="357"/>
      </w:pPr>
      <w:r>
        <w:t xml:space="preserve">Attending the APVMA Review Panel in the event that dispute resolution is required. </w:t>
      </w:r>
    </w:p>
    <w:p w14:paraId="22B6668A" w14:textId="1EBA9211" w:rsidR="00761309" w:rsidRPr="00427F9C" w:rsidRDefault="00761309" w:rsidP="00756F92">
      <w:pPr>
        <w:pStyle w:val="Bullet1"/>
        <w:ind w:left="714" w:hanging="357"/>
      </w:pPr>
      <w:r w:rsidRPr="00427F9C">
        <w:t xml:space="preserve">Recommending when the next audit is due and advising the </w:t>
      </w:r>
      <w:r w:rsidR="008B1746">
        <w:t xml:space="preserve">Licence Holder </w:t>
      </w:r>
      <w:r w:rsidRPr="00427F9C">
        <w:t>of that next due date upon close-out of the current audit</w:t>
      </w:r>
      <w:r w:rsidR="000E1BCC">
        <w:t>.</w:t>
      </w:r>
    </w:p>
    <w:p w14:paraId="4A8886E9" w14:textId="01788FD6" w:rsidR="00761309" w:rsidRPr="00427F9C" w:rsidRDefault="00761309" w:rsidP="00756F92">
      <w:pPr>
        <w:pStyle w:val="NormalText"/>
      </w:pPr>
      <w:r w:rsidRPr="00427F9C">
        <w:t xml:space="preserve">The </w:t>
      </w:r>
      <w:r w:rsidRPr="00756F92">
        <w:rPr>
          <w:b/>
          <w:bCs/>
        </w:rPr>
        <w:t xml:space="preserve">APVMA </w:t>
      </w:r>
      <w:r w:rsidR="009214C9" w:rsidRPr="00756F92">
        <w:rPr>
          <w:b/>
          <w:bCs/>
        </w:rPr>
        <w:t xml:space="preserve">Assistant </w:t>
      </w:r>
      <w:r w:rsidR="009B4EFA" w:rsidRPr="00756F92">
        <w:rPr>
          <w:b/>
          <w:bCs/>
        </w:rPr>
        <w:t xml:space="preserve">Director / </w:t>
      </w:r>
      <w:r w:rsidRPr="00756F92">
        <w:rPr>
          <w:b/>
          <w:bCs/>
        </w:rPr>
        <w:t>Director, MQL</w:t>
      </w:r>
      <w:r w:rsidRPr="00427F9C">
        <w:t xml:space="preserve"> is responsible for:</w:t>
      </w:r>
    </w:p>
    <w:p w14:paraId="72AC7D1F" w14:textId="768265AC" w:rsidR="00761309" w:rsidRPr="00427F9C" w:rsidRDefault="00761309" w:rsidP="00756F92">
      <w:pPr>
        <w:pStyle w:val="Bullet1"/>
        <w:ind w:left="714" w:hanging="357"/>
      </w:pPr>
      <w:r w:rsidRPr="00427F9C">
        <w:t>Reviewing recommendations on licensing</w:t>
      </w:r>
      <w:r w:rsidR="009214C9">
        <w:t>, audit duration</w:t>
      </w:r>
      <w:r w:rsidRPr="00427F9C">
        <w:t xml:space="preserve"> and re-audit timeframes, as necessary</w:t>
      </w:r>
      <w:r w:rsidR="000E1BCC">
        <w:t>.</w:t>
      </w:r>
      <w:r w:rsidRPr="00427F9C">
        <w:t xml:space="preserve"> </w:t>
      </w:r>
    </w:p>
    <w:p w14:paraId="5E48FE5A" w14:textId="14E4B192" w:rsidR="00761309" w:rsidRDefault="000E1BCC" w:rsidP="00756F92">
      <w:pPr>
        <w:pStyle w:val="Bullet1"/>
        <w:ind w:left="714" w:hanging="357"/>
      </w:pPr>
      <w:r>
        <w:t xml:space="preserve">Chairing the APVMA Review Panel in the event that dispute resolution is required. </w:t>
      </w:r>
    </w:p>
    <w:p w14:paraId="4602E162" w14:textId="77777777" w:rsidR="00756F92" w:rsidRDefault="009214C9" w:rsidP="00761309">
      <w:pPr>
        <w:pStyle w:val="Bullet1"/>
        <w:ind w:left="714" w:hanging="357"/>
      </w:pPr>
      <w:r>
        <w:t>Approval of closure of non-conformance by plan</w:t>
      </w:r>
      <w:r w:rsidR="00756F92">
        <w:t>.</w:t>
      </w:r>
    </w:p>
    <w:p w14:paraId="3D2610E9" w14:textId="50CD82E3" w:rsidR="00761309" w:rsidRPr="00427F9C" w:rsidRDefault="00994682" w:rsidP="00756F92">
      <w:pPr>
        <w:pStyle w:val="Bullet1"/>
        <w:numPr>
          <w:ilvl w:val="0"/>
          <w:numId w:val="0"/>
        </w:numPr>
        <w:ind w:left="714"/>
        <w:sectPr w:rsidR="00761309" w:rsidRPr="00427F9C" w:rsidSect="00285FB3">
          <w:headerReference w:type="even" r:id="rId64"/>
          <w:headerReference w:type="default" r:id="rId65"/>
          <w:footerReference w:type="even" r:id="rId66"/>
          <w:footerReference w:type="default" r:id="rId67"/>
          <w:pgSz w:w="11906" w:h="16838" w:code="9"/>
          <w:pgMar w:top="2835" w:right="1133" w:bottom="567" w:left="1134" w:header="1134" w:footer="680" w:gutter="0"/>
          <w:cols w:space="708"/>
          <w:docGrid w:linePitch="360"/>
        </w:sectPr>
      </w:pPr>
      <w:r>
        <w:rPr>
          <w:noProof/>
        </w:rPr>
        <w:lastRenderedPageBreak/>
        <mc:AlternateContent>
          <mc:Choice Requires="wps">
            <w:drawing>
              <wp:anchor distT="0" distB="0" distL="114300" distR="114300" simplePos="0" relativeHeight="251710464" behindDoc="0" locked="0" layoutInCell="1" allowOverlap="1" wp14:anchorId="7723100F" wp14:editId="16AB93D9">
                <wp:simplePos x="0" y="0"/>
                <wp:positionH relativeFrom="column">
                  <wp:posOffset>4996705</wp:posOffset>
                </wp:positionH>
                <wp:positionV relativeFrom="paragraph">
                  <wp:posOffset>2628238</wp:posOffset>
                </wp:positionV>
                <wp:extent cx="1160891" cy="222637"/>
                <wp:effectExtent l="0" t="0" r="0" b="6350"/>
                <wp:wrapNone/>
                <wp:docPr id="1320101953" name="Text Box 1"/>
                <wp:cNvGraphicFramePr/>
                <a:graphic xmlns:a="http://schemas.openxmlformats.org/drawingml/2006/main">
                  <a:graphicData uri="http://schemas.microsoft.com/office/word/2010/wordprocessingShape">
                    <wps:wsp>
                      <wps:cNvSpPr txBox="1"/>
                      <wps:spPr>
                        <a:xfrm>
                          <a:off x="0" y="0"/>
                          <a:ext cx="1160891" cy="222637"/>
                        </a:xfrm>
                        <a:prstGeom prst="rect">
                          <a:avLst/>
                        </a:prstGeom>
                        <a:noFill/>
                        <a:ln w="6350">
                          <a:noFill/>
                        </a:ln>
                      </wps:spPr>
                      <wps:txbx>
                        <w:txbxContent>
                          <w:p w14:paraId="5A592ED1" w14:textId="59B698A8" w:rsidR="00994682" w:rsidRPr="00994682" w:rsidRDefault="00994682">
                            <w:pPr>
                              <w:rPr>
                                <w:b/>
                                <w:bCs/>
                                <w:color w:val="FFFFFF" w:themeColor="background1"/>
                              </w:rPr>
                            </w:pPr>
                            <w:r w:rsidRPr="00994682">
                              <w:rPr>
                                <w:b/>
                                <w:bCs/>
                                <w:color w:val="FFFFFF" w:themeColor="background1"/>
                              </w:rPr>
                              <w:t>APPENDIXES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3100F" id="_x0000_s1028" type="#_x0000_t202" style="position:absolute;left:0;text-align:left;margin-left:393.45pt;margin-top:206.95pt;width:91.4pt;height:1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" filled="f" stroked="f" strokeweight=".5pt">
                <v:textbox>
                  <w:txbxContent>
                    <w:p w14:paraId="5A592ED1" w14:textId="59B698A8" w:rsidR="00994682" w:rsidRPr="00994682" w:rsidRDefault="00994682">
                      <w:pPr>
                        <w:rPr>
                          <w:b/>
                          <w:bCs/>
                          <w:color w:val="FFFFFF" w:themeColor="background1"/>
                        </w:rPr>
                      </w:pPr>
                      <w:r w:rsidRPr="00994682">
                        <w:rPr>
                          <w:b/>
                          <w:bCs/>
                          <w:color w:val="FFFFFF" w:themeColor="background1"/>
                        </w:rPr>
                        <w:t>APPENDIXES</w:t>
                      </w:r>
                    </w:p>
                  </w:txbxContent>
                </v:textbox>
              </v:shape>
            </w:pict>
          </mc:Fallback>
        </mc:AlternateContent>
      </w:r>
      <w:r w:rsidR="00635E70" w:rsidRPr="00427F9C">
        <w:rPr>
          <w:noProof/>
        </w:rPr>
        <mc:AlternateContent>
          <mc:Choice Requires="wps">
            <w:drawing>
              <wp:anchor distT="0" distB="0" distL="114300" distR="114300" simplePos="0" relativeHeight="251704320" behindDoc="0" locked="0" layoutInCell="1" allowOverlap="1" wp14:anchorId="53D56081" wp14:editId="2A65FDCA">
                <wp:simplePos x="0" y="0"/>
                <wp:positionH relativeFrom="column">
                  <wp:posOffset>5054793</wp:posOffset>
                </wp:positionH>
                <wp:positionV relativeFrom="paragraph">
                  <wp:posOffset>2282908</wp:posOffset>
                </wp:positionV>
                <wp:extent cx="1160891" cy="238539"/>
                <wp:effectExtent l="0" t="0" r="20320" b="28575"/>
                <wp:wrapNone/>
                <wp:docPr id="23" name="Text Box 23"/>
                <wp:cNvGraphicFramePr/>
                <a:graphic xmlns:a="http://schemas.openxmlformats.org/drawingml/2006/main">
                  <a:graphicData uri="http://schemas.microsoft.com/office/word/2010/wordprocessingShape">
                    <wps:wsp>
                      <wps:cNvSpPr txBox="1"/>
                      <wps:spPr>
                        <a:xfrm>
                          <a:off x="0" y="0"/>
                          <a:ext cx="1160891" cy="238539"/>
                        </a:xfrm>
                        <a:prstGeom prst="rect">
                          <a:avLst/>
                        </a:prstGeom>
                        <a:noFill/>
                        <a:ln w="6350">
                          <a:solidFill>
                            <a:schemeClr val="bg1"/>
                          </a:solidFill>
                        </a:ln>
                      </wps:spPr>
                      <wps:txbx>
                        <w:txbxContent>
                          <w:p w14:paraId="507F3FAC" w14:textId="3746449F" w:rsidR="00635E70" w:rsidRPr="00635E70" w:rsidRDefault="00635E70">
                            <w:pPr>
                              <w:rPr>
                                <w:b/>
                                <w:bCs/>
                                <w:color w:val="FFFFFF" w:themeColor="background1"/>
                              </w:rPr>
                            </w:pPr>
                            <w:r w:rsidRPr="00635E70">
                              <w:rPr>
                                <w:b/>
                                <w:bCs/>
                                <w:color w:val="FFFFFF" w:themeColor="background1"/>
                              </w:rPr>
                              <w:t>APPENDIXES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D56081" id="Text Box 23" o:spid="_x0000_s1029" type="#_x0000_t202" style="position:absolute;left:0;text-align:left;margin-left:398pt;margin-top:179.75pt;width:91.4pt;height:18.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" filled="f" strokecolor="white [3212]" strokeweight=".5pt">
                <v:textbox>
                  <w:txbxContent>
                    <w:p w14:paraId="507F3FAC" w14:textId="3746449F" w:rsidR="00635E70" w:rsidRPr="00635E70" w:rsidRDefault="00635E70">
                      <w:pPr>
                        <w:rPr>
                          <w:b/>
                          <w:bCs/>
                          <w:color w:val="FFFFFF" w:themeColor="background1"/>
                        </w:rPr>
                      </w:pPr>
                      <w:r w:rsidRPr="00635E70">
                        <w:rPr>
                          <w:b/>
                          <w:bCs/>
                          <w:color w:val="FFFFFF" w:themeColor="background1"/>
                        </w:rPr>
                        <w:t>APPENDIXES</w:t>
                      </w:r>
                    </w:p>
                  </w:txbxContent>
                </v:textbox>
              </v:shape>
            </w:pict>
          </mc:Fallback>
        </mc:AlternateContent>
      </w:r>
      <w:r w:rsidR="00761309" w:rsidRPr="00427F9C">
        <w:rPr>
          <w:noProof/>
        </w:rPr>
        <w:drawing>
          <wp:anchor distT="0" distB="0" distL="114300" distR="114300" simplePos="0" relativeHeight="251703296" behindDoc="0" locked="1" layoutInCell="1" allowOverlap="0" wp14:anchorId="10DC51DC" wp14:editId="44E2A9EF">
            <wp:simplePos x="0" y="0"/>
            <wp:positionH relativeFrom="column">
              <wp:posOffset>150164</wp:posOffset>
            </wp:positionH>
            <wp:positionV relativeFrom="page">
              <wp:posOffset>3197750</wp:posOffset>
            </wp:positionV>
            <wp:extent cx="6840220" cy="2804160"/>
            <wp:effectExtent l="0" t="0" r="0" b="0"/>
            <wp:wrapTopAndBottom/>
            <wp:docPr id="342" name="Picture 3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Picture 342" descr="A close up of a logo&#10;&#10;Description automatically generated"/>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840220" cy="2804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1309" w:rsidRPr="00427F9C">
        <w:rPr>
          <w:noProof/>
        </w:rPr>
        <mc:AlternateContent>
          <mc:Choice Requires="wps">
            <w:drawing>
              <wp:anchor distT="45720" distB="45720" distL="114300" distR="114300" simplePos="0" relativeHeight="251699200" behindDoc="0" locked="1" layoutInCell="1" allowOverlap="0" wp14:anchorId="44B6FE2E" wp14:editId="3744D005">
                <wp:simplePos x="0" y="0"/>
                <wp:positionH relativeFrom="column">
                  <wp:posOffset>5101590</wp:posOffset>
                </wp:positionH>
                <wp:positionV relativeFrom="page">
                  <wp:posOffset>5165090</wp:posOffset>
                </wp:positionV>
                <wp:extent cx="2084705" cy="273685"/>
                <wp:effectExtent l="0" t="0" r="0" b="0"/>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273685"/>
                        </a:xfrm>
                        <a:prstGeom prst="rect">
                          <a:avLst/>
                        </a:prstGeom>
                        <a:noFill/>
                        <a:ln w="9525">
                          <a:noFill/>
                          <a:miter lim="800000"/>
                          <a:headEnd/>
                          <a:tailEnd/>
                        </a:ln>
                      </wps:spPr>
                      <wps:txbx>
                        <w:txbxContent>
                          <w:p w14:paraId="4FD4C349" w14:textId="77777777" w:rsidR="00761309" w:rsidRPr="00832D38" w:rsidRDefault="00761309" w:rsidP="00761309">
                            <w:pPr>
                              <w:pStyle w:val="APVMACoverDate"/>
                            </w:pPr>
                            <w:r>
                              <w:t>appendixes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6FE2E" id="_x0000_s1030" type="#_x0000_t202" style="position:absolute;left:0;text-align:left;margin-left:401.7pt;margin-top:406.7pt;width:164.15pt;height:21.5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" o:allowoverlap="f" filled="f" stroked="f">
                <v:textbox>
                  <w:txbxContent>
                    <w:p w14:paraId="4FD4C349" w14:textId="77777777" w:rsidR="00761309" w:rsidRPr="00832D38" w:rsidRDefault="00761309" w:rsidP="00761309">
                      <w:pPr>
                        <w:pStyle w:val="APVMACoverDate"/>
                      </w:pPr>
                      <w:r>
                        <w:t>appendixes</w:t>
                      </w:r>
                    </w:p>
                  </w:txbxContent>
                </v:textbox>
                <w10:wrap anchory="page"/>
                <w10:anchorlock/>
              </v:shape>
            </w:pict>
          </mc:Fallback>
        </mc:AlternateContent>
      </w:r>
    </w:p>
    <w:p w14:paraId="78637EFA" w14:textId="77777777" w:rsidR="00761309" w:rsidRPr="00427F9C" w:rsidRDefault="00761309" w:rsidP="00761309">
      <w:pPr>
        <w:pStyle w:val="APVMAAppendixH1"/>
      </w:pPr>
      <w:bookmarkStart w:id="105" w:name="_Toc145432945"/>
      <w:bookmarkStart w:id="106" w:name="_Toc145606335"/>
      <w:bookmarkStart w:id="107" w:name="AppendixA"/>
      <w:bookmarkStart w:id="108" w:name="_Toc160083875"/>
      <w:r w:rsidRPr="00427F9C">
        <w:lastRenderedPageBreak/>
        <w:t>Appendix A – Forms and templates</w:t>
      </w:r>
      <w:bookmarkEnd w:id="105"/>
      <w:bookmarkEnd w:id="106"/>
      <w:bookmarkEnd w:id="107"/>
      <w:bookmarkEnd w:id="108"/>
    </w:p>
    <w:tbl>
      <w:tblPr>
        <w:tblW w:w="0" w:type="auto"/>
        <w:tblInd w:w="108" w:type="dxa"/>
        <w:tblBorders>
          <w:bottom w:val="dotted" w:sz="2" w:space="0" w:color="auto"/>
          <w:insideH w:val="dotted" w:sz="2" w:space="0" w:color="auto"/>
        </w:tblBorders>
        <w:tblLook w:val="01E0" w:firstRow="1" w:lastRow="1" w:firstColumn="1" w:lastColumn="1" w:noHBand="0" w:noVBand="0"/>
      </w:tblPr>
      <w:tblGrid>
        <w:gridCol w:w="9308"/>
        <w:gridCol w:w="222"/>
      </w:tblGrid>
      <w:tr w:rsidR="00761309" w:rsidRPr="00427F9C" w14:paraId="7BC8F7B2" w14:textId="77777777" w:rsidTr="000A1F65">
        <w:trPr>
          <w:cantSplit/>
          <w:tblHeader/>
        </w:trPr>
        <w:tc>
          <w:tcPr>
            <w:tcW w:w="9308" w:type="dxa"/>
            <w:tcBorders>
              <w:bottom w:val="single" w:sz="4" w:space="0" w:color="auto"/>
            </w:tcBorders>
            <w:shd w:val="clear" w:color="auto" w:fill="E6E6E6"/>
          </w:tcPr>
          <w:p w14:paraId="1C0B2FD6" w14:textId="4DA7D3B1" w:rsidR="00761309" w:rsidRPr="00427F9C" w:rsidRDefault="00761309" w:rsidP="000A1F65">
            <w:pPr>
              <w:pStyle w:val="Caption"/>
            </w:pPr>
            <w:bookmarkStart w:id="109" w:name="_Ref158366104"/>
            <w:r w:rsidRPr="00427F9C">
              <w:t xml:space="preserve">Table </w:t>
            </w:r>
            <w:r w:rsidR="003A0149">
              <w:fldChar w:fldCharType="begin"/>
            </w:r>
            <w:r w:rsidR="003A0149">
              <w:instrText xml:space="preserve"> SEQ Table \* ARABIC </w:instrText>
            </w:r>
            <w:r w:rsidR="003A0149">
              <w:fldChar w:fldCharType="separate"/>
            </w:r>
            <w:r w:rsidR="003A0149">
              <w:rPr>
                <w:noProof/>
              </w:rPr>
              <w:t>1</w:t>
            </w:r>
            <w:r w:rsidR="003A0149">
              <w:rPr>
                <w:noProof/>
              </w:rPr>
              <w:fldChar w:fldCharType="end"/>
            </w:r>
            <w:bookmarkEnd w:id="109"/>
            <w:r w:rsidRPr="00427F9C">
              <w:t>:</w:t>
            </w:r>
          </w:p>
        </w:tc>
        <w:tc>
          <w:tcPr>
            <w:tcW w:w="222" w:type="dxa"/>
            <w:tcBorders>
              <w:bottom w:val="single" w:sz="4" w:space="0" w:color="auto"/>
            </w:tcBorders>
            <w:shd w:val="clear" w:color="auto" w:fill="E6E6E6"/>
          </w:tcPr>
          <w:p w14:paraId="7436F7AF" w14:textId="77777777" w:rsidR="00761309" w:rsidRPr="00427F9C" w:rsidRDefault="00761309" w:rsidP="000A1F65">
            <w:pPr>
              <w:pStyle w:val="Caption"/>
            </w:pPr>
          </w:p>
        </w:tc>
      </w:tr>
      <w:tr w:rsidR="00761309" w:rsidRPr="00427F9C" w14:paraId="411C1532" w14:textId="77777777" w:rsidTr="000A1F65">
        <w:trPr>
          <w:cantSplit/>
        </w:trPr>
        <w:tc>
          <w:tcPr>
            <w:tcW w:w="9308" w:type="dxa"/>
            <w:tcBorders>
              <w:top w:val="single" w:sz="4" w:space="0" w:color="auto"/>
              <w:bottom w:val="single" w:sz="4" w:space="0" w:color="auto"/>
            </w:tcBorders>
          </w:tcPr>
          <w:tbl>
            <w:tblPr>
              <w:tblW w:w="9414" w:type="dxa"/>
              <w:tblInd w:w="108" w:type="dxa"/>
              <w:tblBorders>
                <w:bottom w:val="dotted" w:sz="2" w:space="0" w:color="auto"/>
                <w:insideH w:val="dotted" w:sz="2" w:space="0" w:color="auto"/>
              </w:tblBorders>
              <w:tblLook w:val="01E0" w:firstRow="1" w:lastRow="1" w:firstColumn="1" w:lastColumn="1" w:noHBand="0" w:noVBand="0"/>
            </w:tblPr>
            <w:tblGrid>
              <w:gridCol w:w="3036"/>
              <w:gridCol w:w="6378"/>
            </w:tblGrid>
            <w:tr w:rsidR="00761309" w:rsidRPr="00427F9C" w14:paraId="318A670C" w14:textId="77777777" w:rsidTr="000A1F65">
              <w:trPr>
                <w:cantSplit/>
                <w:tblHeader/>
              </w:trPr>
              <w:tc>
                <w:tcPr>
                  <w:tcW w:w="3036" w:type="dxa"/>
                  <w:tcBorders>
                    <w:bottom w:val="single" w:sz="4" w:space="0" w:color="auto"/>
                  </w:tcBorders>
                  <w:shd w:val="clear" w:color="auto" w:fill="53284F"/>
                  <w:vAlign w:val="bottom"/>
                </w:tcPr>
                <w:p w14:paraId="67D36312" w14:textId="77777777" w:rsidR="00761309" w:rsidRPr="00427F9C" w:rsidRDefault="00761309" w:rsidP="000A1F65">
                  <w:pPr>
                    <w:pStyle w:val="APVMATableHead"/>
                  </w:pPr>
                  <w:r w:rsidRPr="00427F9C">
                    <w:t>Reference No</w:t>
                  </w:r>
                </w:p>
              </w:tc>
              <w:tc>
                <w:tcPr>
                  <w:tcW w:w="6378" w:type="dxa"/>
                  <w:tcBorders>
                    <w:bottom w:val="single" w:sz="4" w:space="0" w:color="auto"/>
                  </w:tcBorders>
                  <w:shd w:val="clear" w:color="auto" w:fill="53284F"/>
                  <w:vAlign w:val="bottom"/>
                </w:tcPr>
                <w:p w14:paraId="338C89AC" w14:textId="77777777" w:rsidR="00761309" w:rsidRPr="00427F9C" w:rsidRDefault="00761309" w:rsidP="000A1F65">
                  <w:pPr>
                    <w:pStyle w:val="APVMATableHead"/>
                  </w:pPr>
                  <w:r w:rsidRPr="00427F9C">
                    <w:t>Title</w:t>
                  </w:r>
                </w:p>
              </w:tc>
            </w:tr>
            <w:tr w:rsidR="00761309" w:rsidRPr="00427F9C" w14:paraId="204E42E3" w14:textId="77777777" w:rsidTr="000A1F65">
              <w:trPr>
                <w:cantSplit/>
              </w:trPr>
              <w:tc>
                <w:tcPr>
                  <w:tcW w:w="3036" w:type="dxa"/>
                  <w:tcBorders>
                    <w:top w:val="single" w:sz="4" w:space="0" w:color="auto"/>
                    <w:bottom w:val="single" w:sz="4" w:space="0" w:color="auto"/>
                  </w:tcBorders>
                </w:tcPr>
                <w:p w14:paraId="25A00FDA" w14:textId="06284217" w:rsidR="00761309" w:rsidRPr="00427F9C" w:rsidRDefault="00000000" w:rsidP="000A1F65">
                  <w:pPr>
                    <w:pStyle w:val="TableText"/>
                  </w:pPr>
                  <w:hyperlink r:id="rId69" w:history="1">
                    <w:r w:rsidR="00761309" w:rsidRPr="00427F9C">
                      <w:rPr>
                        <w:rStyle w:val="Hyperlink"/>
                      </w:rPr>
                      <w:t>FM_MQL04</w:t>
                    </w:r>
                  </w:hyperlink>
                </w:p>
              </w:tc>
              <w:tc>
                <w:tcPr>
                  <w:tcW w:w="6378" w:type="dxa"/>
                  <w:tcBorders>
                    <w:top w:val="single" w:sz="4" w:space="0" w:color="auto"/>
                    <w:bottom w:val="single" w:sz="4" w:space="0" w:color="auto"/>
                  </w:tcBorders>
                </w:tcPr>
                <w:p w14:paraId="088CE588" w14:textId="77777777" w:rsidR="00761309" w:rsidRPr="00427F9C" w:rsidRDefault="00761309" w:rsidP="000A1F65">
                  <w:pPr>
                    <w:pStyle w:val="TableText"/>
                  </w:pPr>
                  <w:r w:rsidRPr="00427F9C">
                    <w:t>Pre-audit notification and information form——Australian sites</w:t>
                  </w:r>
                </w:p>
              </w:tc>
            </w:tr>
            <w:tr w:rsidR="00761309" w:rsidRPr="00427F9C" w14:paraId="4BA6A0FA" w14:textId="77777777" w:rsidTr="000A1F65">
              <w:trPr>
                <w:cantSplit/>
              </w:trPr>
              <w:tc>
                <w:tcPr>
                  <w:tcW w:w="3036" w:type="dxa"/>
                  <w:tcBorders>
                    <w:top w:val="single" w:sz="4" w:space="0" w:color="auto"/>
                    <w:bottom w:val="single" w:sz="4" w:space="0" w:color="auto"/>
                  </w:tcBorders>
                </w:tcPr>
                <w:p w14:paraId="7568C5F2" w14:textId="229E9763" w:rsidR="00761309" w:rsidRPr="00427F9C" w:rsidDel="00053AFA" w:rsidRDefault="00000000" w:rsidP="000A1F65">
                  <w:pPr>
                    <w:pStyle w:val="TableText"/>
                  </w:pPr>
                  <w:hyperlink r:id="rId70" w:history="1">
                    <w:r w:rsidR="00761309" w:rsidRPr="00427F9C">
                      <w:rPr>
                        <w:rStyle w:val="Hyperlink"/>
                      </w:rPr>
                      <w:t>FM_MQL45</w:t>
                    </w:r>
                  </w:hyperlink>
                </w:p>
              </w:tc>
              <w:tc>
                <w:tcPr>
                  <w:tcW w:w="6378" w:type="dxa"/>
                  <w:tcBorders>
                    <w:top w:val="single" w:sz="4" w:space="0" w:color="auto"/>
                    <w:bottom w:val="single" w:sz="4" w:space="0" w:color="auto"/>
                  </w:tcBorders>
                </w:tcPr>
                <w:p w14:paraId="4F7EB9B1" w14:textId="77777777" w:rsidR="00761309" w:rsidRPr="00427F9C" w:rsidRDefault="00761309" w:rsidP="000A1F65">
                  <w:pPr>
                    <w:pStyle w:val="TableText"/>
                  </w:pPr>
                  <w:r w:rsidRPr="00427F9C">
                    <w:t>Pre-audit notification and information form——overseas sites</w:t>
                  </w:r>
                </w:p>
              </w:tc>
            </w:tr>
            <w:tr w:rsidR="00761309" w:rsidRPr="00427F9C" w14:paraId="1AB7C558" w14:textId="77777777" w:rsidTr="000A1F65">
              <w:trPr>
                <w:cantSplit/>
              </w:trPr>
              <w:tc>
                <w:tcPr>
                  <w:tcW w:w="3036" w:type="dxa"/>
                  <w:tcBorders>
                    <w:top w:val="single" w:sz="4" w:space="0" w:color="auto"/>
                    <w:bottom w:val="single" w:sz="4" w:space="0" w:color="auto"/>
                  </w:tcBorders>
                </w:tcPr>
                <w:p w14:paraId="527A8351" w14:textId="7C004058" w:rsidR="00761309" w:rsidRPr="00427F9C" w:rsidRDefault="00000000" w:rsidP="000A1F65">
                  <w:pPr>
                    <w:pStyle w:val="TableText"/>
                  </w:pPr>
                  <w:hyperlink r:id="rId71" w:history="1">
                    <w:r w:rsidR="00761309" w:rsidRPr="00427F9C">
                      <w:rPr>
                        <w:rStyle w:val="Hyperlink"/>
                      </w:rPr>
                      <w:t>FM_MQL05</w:t>
                    </w:r>
                  </w:hyperlink>
                </w:p>
              </w:tc>
              <w:tc>
                <w:tcPr>
                  <w:tcW w:w="6378" w:type="dxa"/>
                  <w:tcBorders>
                    <w:top w:val="single" w:sz="4" w:space="0" w:color="auto"/>
                    <w:bottom w:val="single" w:sz="4" w:space="0" w:color="auto"/>
                  </w:tcBorders>
                </w:tcPr>
                <w:p w14:paraId="410C94DD" w14:textId="7CAD1D44" w:rsidR="00761309" w:rsidRPr="00427F9C" w:rsidRDefault="00FE59A9" w:rsidP="000A1F65">
                  <w:pPr>
                    <w:pStyle w:val="TableText"/>
                  </w:pPr>
                  <w:r>
                    <w:t>GMP Audit Report</w:t>
                  </w:r>
                  <w:r w:rsidR="00761309" w:rsidRPr="00427F9C">
                    <w:t xml:space="preserve"> form</w:t>
                  </w:r>
                </w:p>
              </w:tc>
            </w:tr>
            <w:tr w:rsidR="00761309" w:rsidRPr="00427F9C" w14:paraId="0AC7712B" w14:textId="77777777" w:rsidTr="000A1F65">
              <w:trPr>
                <w:cantSplit/>
              </w:trPr>
              <w:tc>
                <w:tcPr>
                  <w:tcW w:w="3036" w:type="dxa"/>
                  <w:tcBorders>
                    <w:top w:val="single" w:sz="4" w:space="0" w:color="auto"/>
                    <w:bottom w:val="single" w:sz="4" w:space="0" w:color="auto"/>
                  </w:tcBorders>
                </w:tcPr>
                <w:p w14:paraId="171A7965" w14:textId="1F2F5C14" w:rsidR="00761309" w:rsidRPr="00427F9C" w:rsidRDefault="00000000" w:rsidP="000A1F65">
                  <w:pPr>
                    <w:pStyle w:val="TableText"/>
                  </w:pPr>
                  <w:hyperlink r:id="rId72" w:history="1">
                    <w:r w:rsidR="00761309" w:rsidRPr="00427F9C">
                      <w:rPr>
                        <w:rStyle w:val="Hyperlink"/>
                      </w:rPr>
                      <w:t>FM_MQL06</w:t>
                    </w:r>
                  </w:hyperlink>
                </w:p>
              </w:tc>
              <w:tc>
                <w:tcPr>
                  <w:tcW w:w="6378" w:type="dxa"/>
                  <w:tcBorders>
                    <w:top w:val="single" w:sz="4" w:space="0" w:color="auto"/>
                    <w:bottom w:val="single" w:sz="4" w:space="0" w:color="auto"/>
                  </w:tcBorders>
                </w:tcPr>
                <w:p w14:paraId="6DAFC28C" w14:textId="77777777" w:rsidR="00761309" w:rsidRPr="00427F9C" w:rsidRDefault="00761309" w:rsidP="000A1F65">
                  <w:pPr>
                    <w:pStyle w:val="TableText"/>
                  </w:pPr>
                  <w:r w:rsidRPr="00427F9C">
                    <w:t>Notification of completed audit form</w:t>
                  </w:r>
                </w:p>
              </w:tc>
            </w:tr>
            <w:tr w:rsidR="00761309" w:rsidRPr="00427F9C" w14:paraId="5E7D2442" w14:textId="77777777" w:rsidTr="000A1F65">
              <w:trPr>
                <w:cantSplit/>
              </w:trPr>
              <w:tc>
                <w:tcPr>
                  <w:tcW w:w="3036" w:type="dxa"/>
                  <w:tcBorders>
                    <w:top w:val="single" w:sz="4" w:space="0" w:color="auto"/>
                    <w:bottom w:val="single" w:sz="4" w:space="0" w:color="auto"/>
                  </w:tcBorders>
                </w:tcPr>
                <w:p w14:paraId="204D3F49" w14:textId="60189A82" w:rsidR="00761309" w:rsidRPr="00427F9C" w:rsidRDefault="00000000" w:rsidP="000A1F65">
                  <w:pPr>
                    <w:pStyle w:val="TableText"/>
                  </w:pPr>
                  <w:hyperlink r:id="rId73" w:history="1">
                    <w:r w:rsidR="00761309" w:rsidRPr="00427F9C">
                      <w:rPr>
                        <w:rStyle w:val="Hyperlink"/>
                      </w:rPr>
                      <w:t>FM_MQL23</w:t>
                    </w:r>
                  </w:hyperlink>
                </w:p>
              </w:tc>
              <w:tc>
                <w:tcPr>
                  <w:tcW w:w="6378" w:type="dxa"/>
                  <w:tcBorders>
                    <w:top w:val="single" w:sz="4" w:space="0" w:color="auto"/>
                    <w:bottom w:val="single" w:sz="4" w:space="0" w:color="auto"/>
                  </w:tcBorders>
                </w:tcPr>
                <w:p w14:paraId="4E81A3FE" w14:textId="77777777" w:rsidR="00761309" w:rsidRPr="00427F9C" w:rsidRDefault="00761309" w:rsidP="000A1F65">
                  <w:pPr>
                    <w:pStyle w:val="TableText"/>
                  </w:pPr>
                  <w:r w:rsidRPr="00427F9C">
                    <w:t>Confirmation of audit booking form</w:t>
                  </w:r>
                </w:p>
              </w:tc>
            </w:tr>
            <w:tr w:rsidR="00761309" w:rsidRPr="00427F9C" w14:paraId="21E9B1B0" w14:textId="77777777" w:rsidTr="000A1F65">
              <w:trPr>
                <w:cantSplit/>
              </w:trPr>
              <w:tc>
                <w:tcPr>
                  <w:tcW w:w="3036" w:type="dxa"/>
                  <w:tcBorders>
                    <w:top w:val="single" w:sz="4" w:space="0" w:color="auto"/>
                    <w:bottom w:val="single" w:sz="4" w:space="0" w:color="auto"/>
                  </w:tcBorders>
                </w:tcPr>
                <w:p w14:paraId="01E4E1C8" w14:textId="45526A24" w:rsidR="00761309" w:rsidRPr="00427F9C" w:rsidRDefault="00000000" w:rsidP="000A1F65">
                  <w:pPr>
                    <w:pStyle w:val="TableText"/>
                  </w:pPr>
                  <w:hyperlink r:id="rId74" w:history="1">
                    <w:r w:rsidR="00761309" w:rsidRPr="00427F9C">
                      <w:rPr>
                        <w:rStyle w:val="Hyperlink"/>
                      </w:rPr>
                      <w:t>FM_MQL24</w:t>
                    </w:r>
                  </w:hyperlink>
                </w:p>
              </w:tc>
              <w:tc>
                <w:tcPr>
                  <w:tcW w:w="6378" w:type="dxa"/>
                  <w:tcBorders>
                    <w:top w:val="single" w:sz="4" w:space="0" w:color="auto"/>
                    <w:bottom w:val="single" w:sz="4" w:space="0" w:color="auto"/>
                  </w:tcBorders>
                </w:tcPr>
                <w:p w14:paraId="44B6550D" w14:textId="77777777" w:rsidR="00761309" w:rsidRPr="00427F9C" w:rsidRDefault="00761309" w:rsidP="000A1F65">
                  <w:pPr>
                    <w:pStyle w:val="TableText"/>
                  </w:pPr>
                  <w:r w:rsidRPr="00427F9C">
                    <w:t>Corrective action review form</w:t>
                  </w:r>
                </w:p>
              </w:tc>
            </w:tr>
            <w:tr w:rsidR="00761309" w:rsidRPr="00427F9C" w14:paraId="50DC56FF" w14:textId="77777777" w:rsidTr="000A1F65">
              <w:trPr>
                <w:cantSplit/>
              </w:trPr>
              <w:tc>
                <w:tcPr>
                  <w:tcW w:w="3036" w:type="dxa"/>
                  <w:tcBorders>
                    <w:top w:val="single" w:sz="4" w:space="0" w:color="auto"/>
                    <w:bottom w:val="single" w:sz="4" w:space="0" w:color="auto"/>
                  </w:tcBorders>
                </w:tcPr>
                <w:p w14:paraId="1D526EE0" w14:textId="0257C4E9" w:rsidR="00761309" w:rsidRPr="00427F9C" w:rsidRDefault="00000000" w:rsidP="000A1F65">
                  <w:pPr>
                    <w:pStyle w:val="TableText"/>
                  </w:pPr>
                  <w:hyperlink r:id="rId75" w:history="1">
                    <w:r w:rsidR="00761309" w:rsidRPr="00427F9C">
                      <w:rPr>
                        <w:rStyle w:val="Hyperlink"/>
                      </w:rPr>
                      <w:t>FM_MQL26</w:t>
                    </w:r>
                  </w:hyperlink>
                </w:p>
              </w:tc>
              <w:tc>
                <w:tcPr>
                  <w:tcW w:w="6378" w:type="dxa"/>
                  <w:tcBorders>
                    <w:top w:val="single" w:sz="4" w:space="0" w:color="auto"/>
                    <w:bottom w:val="single" w:sz="4" w:space="0" w:color="auto"/>
                  </w:tcBorders>
                </w:tcPr>
                <w:p w14:paraId="7E745B37" w14:textId="3922212E" w:rsidR="00761309" w:rsidRPr="00427F9C" w:rsidRDefault="00761309" w:rsidP="000A1F65">
                  <w:pPr>
                    <w:pStyle w:val="TableText"/>
                  </w:pPr>
                  <w:r w:rsidRPr="00427F9C">
                    <w:t xml:space="preserve">Response to </w:t>
                  </w:r>
                  <w:r w:rsidR="00FE59A9">
                    <w:t>GMP Audit Report</w:t>
                  </w:r>
                  <w:r w:rsidRPr="00427F9C">
                    <w:t xml:space="preserve"> form</w:t>
                  </w:r>
                </w:p>
              </w:tc>
            </w:tr>
            <w:tr w:rsidR="00761309" w:rsidRPr="00427F9C" w14:paraId="651E53DC" w14:textId="77777777" w:rsidTr="000A1F65">
              <w:trPr>
                <w:cantSplit/>
              </w:trPr>
              <w:tc>
                <w:tcPr>
                  <w:tcW w:w="3036" w:type="dxa"/>
                  <w:tcBorders>
                    <w:top w:val="single" w:sz="4" w:space="0" w:color="auto"/>
                    <w:bottom w:val="single" w:sz="4" w:space="0" w:color="auto"/>
                  </w:tcBorders>
                </w:tcPr>
                <w:p w14:paraId="300264F5" w14:textId="68D99EAE" w:rsidR="00761309" w:rsidRPr="00427F9C" w:rsidRDefault="00000000" w:rsidP="000A1F65">
                  <w:pPr>
                    <w:pStyle w:val="TableText"/>
                  </w:pPr>
                  <w:hyperlink r:id="rId76" w:history="1">
                    <w:r w:rsidR="00761309" w:rsidRPr="00427F9C">
                      <w:rPr>
                        <w:rStyle w:val="Hyperlink"/>
                      </w:rPr>
                      <w:t>FM_MQL27</w:t>
                    </w:r>
                  </w:hyperlink>
                </w:p>
              </w:tc>
              <w:tc>
                <w:tcPr>
                  <w:tcW w:w="6378" w:type="dxa"/>
                  <w:tcBorders>
                    <w:top w:val="single" w:sz="4" w:space="0" w:color="auto"/>
                    <w:bottom w:val="single" w:sz="4" w:space="0" w:color="auto"/>
                  </w:tcBorders>
                </w:tcPr>
                <w:p w14:paraId="66E7C931" w14:textId="0D48FAC9" w:rsidR="00761309" w:rsidRPr="00427F9C" w:rsidRDefault="00FE59A9" w:rsidP="000A1F65">
                  <w:pPr>
                    <w:pStyle w:val="TableText"/>
                  </w:pPr>
                  <w:r>
                    <w:t>GMP Audit Report</w:t>
                  </w:r>
                  <w:r w:rsidR="00761309" w:rsidRPr="00427F9C">
                    <w:t xml:space="preserve"> supplement annex 1</w:t>
                  </w:r>
                </w:p>
              </w:tc>
            </w:tr>
            <w:tr w:rsidR="00761309" w:rsidRPr="00427F9C" w14:paraId="29E29BE2" w14:textId="77777777" w:rsidTr="000A1F65">
              <w:trPr>
                <w:cantSplit/>
              </w:trPr>
              <w:tc>
                <w:tcPr>
                  <w:tcW w:w="3036" w:type="dxa"/>
                  <w:tcBorders>
                    <w:top w:val="single" w:sz="4" w:space="0" w:color="auto"/>
                    <w:bottom w:val="single" w:sz="4" w:space="0" w:color="auto"/>
                  </w:tcBorders>
                </w:tcPr>
                <w:p w14:paraId="578410D0" w14:textId="1F98D7BD" w:rsidR="00761309" w:rsidRPr="00427F9C" w:rsidRDefault="00000000" w:rsidP="000A1F65">
                  <w:pPr>
                    <w:pStyle w:val="TableText"/>
                  </w:pPr>
                  <w:hyperlink r:id="rId77" w:history="1">
                    <w:r w:rsidR="00761309" w:rsidRPr="00427F9C">
                      <w:rPr>
                        <w:rStyle w:val="Hyperlink"/>
                      </w:rPr>
                      <w:t>FM_MQL28</w:t>
                    </w:r>
                  </w:hyperlink>
                </w:p>
              </w:tc>
              <w:tc>
                <w:tcPr>
                  <w:tcW w:w="6378" w:type="dxa"/>
                  <w:tcBorders>
                    <w:top w:val="single" w:sz="4" w:space="0" w:color="auto"/>
                    <w:bottom w:val="single" w:sz="4" w:space="0" w:color="auto"/>
                  </w:tcBorders>
                </w:tcPr>
                <w:p w14:paraId="0085D901" w14:textId="2A312861" w:rsidR="00761309" w:rsidRPr="00427F9C" w:rsidRDefault="00FE59A9" w:rsidP="000A1F65">
                  <w:pPr>
                    <w:pStyle w:val="TableText"/>
                  </w:pPr>
                  <w:r>
                    <w:t>GMP Audit Report</w:t>
                  </w:r>
                  <w:r w:rsidR="00761309" w:rsidRPr="00427F9C">
                    <w:t xml:space="preserve"> supplement annex 2</w:t>
                  </w:r>
                </w:p>
              </w:tc>
            </w:tr>
            <w:tr w:rsidR="00761309" w:rsidRPr="00427F9C" w14:paraId="2EB596B0" w14:textId="77777777" w:rsidTr="000A1F65">
              <w:trPr>
                <w:cantSplit/>
              </w:trPr>
              <w:tc>
                <w:tcPr>
                  <w:tcW w:w="3036" w:type="dxa"/>
                  <w:tcBorders>
                    <w:top w:val="single" w:sz="4" w:space="0" w:color="auto"/>
                    <w:bottom w:val="single" w:sz="4" w:space="0" w:color="auto"/>
                  </w:tcBorders>
                </w:tcPr>
                <w:p w14:paraId="7583007F" w14:textId="226A616B" w:rsidR="00761309" w:rsidRPr="00427F9C" w:rsidRDefault="00000000" w:rsidP="000A1F65">
                  <w:pPr>
                    <w:pStyle w:val="TableText"/>
                  </w:pPr>
                  <w:hyperlink r:id="rId78" w:history="1">
                    <w:r w:rsidR="00761309" w:rsidRPr="00427F9C">
                      <w:rPr>
                        <w:rStyle w:val="Hyperlink"/>
                      </w:rPr>
                      <w:t>FM_MQL29</w:t>
                    </w:r>
                  </w:hyperlink>
                </w:p>
              </w:tc>
              <w:tc>
                <w:tcPr>
                  <w:tcW w:w="6378" w:type="dxa"/>
                  <w:tcBorders>
                    <w:top w:val="single" w:sz="4" w:space="0" w:color="auto"/>
                    <w:bottom w:val="single" w:sz="4" w:space="0" w:color="auto"/>
                  </w:tcBorders>
                </w:tcPr>
                <w:p w14:paraId="3DB6F3D9" w14:textId="44D2D299" w:rsidR="00761309" w:rsidRPr="00427F9C" w:rsidRDefault="00FE59A9" w:rsidP="000A1F65">
                  <w:pPr>
                    <w:pStyle w:val="TableText"/>
                  </w:pPr>
                  <w:r>
                    <w:t>GMP Audit Report</w:t>
                  </w:r>
                  <w:r w:rsidR="00761309" w:rsidRPr="00427F9C">
                    <w:t xml:space="preserve"> supplement annex 3</w:t>
                  </w:r>
                </w:p>
              </w:tc>
            </w:tr>
            <w:tr w:rsidR="00761309" w:rsidRPr="00427F9C" w14:paraId="324D2F68" w14:textId="77777777" w:rsidTr="000A1F65">
              <w:trPr>
                <w:cantSplit/>
              </w:trPr>
              <w:tc>
                <w:tcPr>
                  <w:tcW w:w="3036" w:type="dxa"/>
                  <w:tcBorders>
                    <w:top w:val="single" w:sz="4" w:space="0" w:color="auto"/>
                    <w:bottom w:val="single" w:sz="4" w:space="0" w:color="auto"/>
                  </w:tcBorders>
                </w:tcPr>
                <w:p w14:paraId="0762A306" w14:textId="2941BE3A" w:rsidR="00761309" w:rsidRPr="00427F9C" w:rsidRDefault="00000000" w:rsidP="000A1F65">
                  <w:pPr>
                    <w:pStyle w:val="TableText"/>
                  </w:pPr>
                  <w:hyperlink r:id="rId79" w:history="1">
                    <w:r w:rsidR="00761309" w:rsidRPr="00427F9C">
                      <w:rPr>
                        <w:rStyle w:val="Hyperlink"/>
                      </w:rPr>
                      <w:t>FM_MQL30</w:t>
                    </w:r>
                  </w:hyperlink>
                </w:p>
              </w:tc>
              <w:tc>
                <w:tcPr>
                  <w:tcW w:w="6378" w:type="dxa"/>
                  <w:tcBorders>
                    <w:top w:val="single" w:sz="4" w:space="0" w:color="auto"/>
                    <w:bottom w:val="single" w:sz="4" w:space="0" w:color="auto"/>
                  </w:tcBorders>
                </w:tcPr>
                <w:p w14:paraId="6E14E2C9" w14:textId="21EF7CA7" w:rsidR="00761309" w:rsidRPr="00427F9C" w:rsidRDefault="00FE59A9" w:rsidP="000A1F65">
                  <w:pPr>
                    <w:pStyle w:val="TableText"/>
                  </w:pPr>
                  <w:r>
                    <w:t>GMP Audit Report</w:t>
                  </w:r>
                  <w:r w:rsidR="00761309" w:rsidRPr="00427F9C">
                    <w:t xml:space="preserve"> supplement annex 4</w:t>
                  </w:r>
                </w:p>
              </w:tc>
            </w:tr>
            <w:tr w:rsidR="00761309" w:rsidRPr="00427F9C" w14:paraId="4C51D727" w14:textId="77777777" w:rsidTr="000A1F65">
              <w:trPr>
                <w:cantSplit/>
              </w:trPr>
              <w:tc>
                <w:tcPr>
                  <w:tcW w:w="3036" w:type="dxa"/>
                  <w:tcBorders>
                    <w:top w:val="single" w:sz="4" w:space="0" w:color="auto"/>
                    <w:bottom w:val="single" w:sz="4" w:space="0" w:color="auto"/>
                  </w:tcBorders>
                </w:tcPr>
                <w:p w14:paraId="56208252" w14:textId="51103299" w:rsidR="00761309" w:rsidRPr="00427F9C" w:rsidRDefault="00000000" w:rsidP="000A1F65">
                  <w:pPr>
                    <w:pStyle w:val="TableText"/>
                  </w:pPr>
                  <w:hyperlink r:id="rId80" w:history="1">
                    <w:r w:rsidR="00761309" w:rsidRPr="00427F9C">
                      <w:rPr>
                        <w:rStyle w:val="Hyperlink"/>
                      </w:rPr>
                      <w:t>FM_MQL31</w:t>
                    </w:r>
                  </w:hyperlink>
                </w:p>
              </w:tc>
              <w:tc>
                <w:tcPr>
                  <w:tcW w:w="6378" w:type="dxa"/>
                  <w:tcBorders>
                    <w:top w:val="single" w:sz="4" w:space="0" w:color="auto"/>
                    <w:bottom w:val="single" w:sz="4" w:space="0" w:color="auto"/>
                  </w:tcBorders>
                </w:tcPr>
                <w:p w14:paraId="38345FF4" w14:textId="0A503B99" w:rsidR="00761309" w:rsidRPr="00427F9C" w:rsidRDefault="00FE59A9" w:rsidP="000A1F65">
                  <w:pPr>
                    <w:pStyle w:val="TableText"/>
                  </w:pPr>
                  <w:r>
                    <w:t>GMP Audit Report</w:t>
                  </w:r>
                  <w:r w:rsidR="00761309" w:rsidRPr="00427F9C">
                    <w:t xml:space="preserve"> supplement annex 5</w:t>
                  </w:r>
                </w:p>
              </w:tc>
            </w:tr>
            <w:tr w:rsidR="00761309" w:rsidRPr="00427F9C" w14:paraId="7EDA9AA6" w14:textId="77777777" w:rsidTr="000A1F65">
              <w:trPr>
                <w:cantSplit/>
              </w:trPr>
              <w:tc>
                <w:tcPr>
                  <w:tcW w:w="3036" w:type="dxa"/>
                  <w:tcBorders>
                    <w:top w:val="single" w:sz="4" w:space="0" w:color="auto"/>
                    <w:bottom w:val="single" w:sz="4" w:space="0" w:color="auto"/>
                  </w:tcBorders>
                </w:tcPr>
                <w:p w14:paraId="7AB7BFE4" w14:textId="2E0B5C22" w:rsidR="00761309" w:rsidRPr="00427F9C" w:rsidRDefault="00000000" w:rsidP="000A1F65">
                  <w:pPr>
                    <w:pStyle w:val="TableText"/>
                  </w:pPr>
                  <w:hyperlink r:id="rId81" w:history="1">
                    <w:r w:rsidR="00761309" w:rsidRPr="00427F9C">
                      <w:rPr>
                        <w:rStyle w:val="Hyperlink"/>
                      </w:rPr>
                      <w:t>FM_MQL32</w:t>
                    </w:r>
                  </w:hyperlink>
                </w:p>
              </w:tc>
              <w:tc>
                <w:tcPr>
                  <w:tcW w:w="6378" w:type="dxa"/>
                  <w:tcBorders>
                    <w:top w:val="single" w:sz="4" w:space="0" w:color="auto"/>
                    <w:bottom w:val="single" w:sz="4" w:space="0" w:color="auto"/>
                  </w:tcBorders>
                </w:tcPr>
                <w:p w14:paraId="76498E07" w14:textId="1B095A66" w:rsidR="00761309" w:rsidRPr="00427F9C" w:rsidRDefault="00FE59A9" w:rsidP="000A1F65">
                  <w:pPr>
                    <w:pStyle w:val="TableText"/>
                  </w:pPr>
                  <w:r>
                    <w:t>GMP Audit Report</w:t>
                  </w:r>
                  <w:r w:rsidR="00761309" w:rsidRPr="00427F9C">
                    <w:t xml:space="preserve"> supplement annex 6</w:t>
                  </w:r>
                </w:p>
              </w:tc>
            </w:tr>
          </w:tbl>
          <w:p w14:paraId="236BD91A" w14:textId="77777777" w:rsidR="00761309" w:rsidRPr="00427F9C" w:rsidRDefault="00761309" w:rsidP="000A1F65"/>
        </w:tc>
        <w:tc>
          <w:tcPr>
            <w:tcW w:w="222" w:type="dxa"/>
            <w:tcBorders>
              <w:top w:val="single" w:sz="4" w:space="0" w:color="auto"/>
              <w:bottom w:val="single" w:sz="4" w:space="0" w:color="auto"/>
            </w:tcBorders>
          </w:tcPr>
          <w:p w14:paraId="7B748B97" w14:textId="77777777" w:rsidR="00761309" w:rsidRPr="00427F9C" w:rsidRDefault="00761309" w:rsidP="000A1F65"/>
        </w:tc>
      </w:tr>
    </w:tbl>
    <w:p w14:paraId="44C82C80" w14:textId="77777777" w:rsidR="000425FB" w:rsidRDefault="000425FB" w:rsidP="00761309">
      <w:pPr>
        <w:pStyle w:val="NormalText"/>
      </w:pPr>
    </w:p>
    <w:p w14:paraId="3375FA6D" w14:textId="77777777" w:rsidR="00761309" w:rsidRPr="00427F9C" w:rsidRDefault="00761309" w:rsidP="00761309">
      <w:pPr>
        <w:pStyle w:val="NormalText"/>
        <w:sectPr w:rsidR="00761309" w:rsidRPr="00427F9C" w:rsidSect="00285FB3">
          <w:pgSz w:w="11906" w:h="16838" w:code="9"/>
          <w:pgMar w:top="2835" w:right="1134" w:bottom="1134" w:left="1134" w:header="1134" w:footer="680" w:gutter="0"/>
          <w:cols w:space="708"/>
          <w:docGrid w:linePitch="360"/>
        </w:sectPr>
      </w:pPr>
    </w:p>
    <w:p w14:paraId="5014E7A9" w14:textId="2682E215" w:rsidR="00761309" w:rsidRPr="00427F9C" w:rsidRDefault="00761309" w:rsidP="00761309">
      <w:pPr>
        <w:pStyle w:val="APVMAAppendixH1"/>
      </w:pPr>
      <w:bookmarkStart w:id="110" w:name="_Toc145432946"/>
      <w:bookmarkStart w:id="111" w:name="_Toc145606336"/>
      <w:bookmarkStart w:id="112" w:name="_Toc160083876"/>
      <w:r w:rsidRPr="00427F9C">
        <w:lastRenderedPageBreak/>
        <w:t>Appendix B – Guidance on writing non-conformances</w:t>
      </w:r>
      <w:r w:rsidR="000C3F4D">
        <w:t xml:space="preserve"> </w:t>
      </w:r>
      <w:r w:rsidRPr="00427F9C">
        <w:t>(for auditors)</w:t>
      </w:r>
      <w:bookmarkEnd w:id="110"/>
      <w:bookmarkEnd w:id="111"/>
      <w:bookmarkEnd w:id="112"/>
    </w:p>
    <w:p w14:paraId="4D0823D9" w14:textId="77777777" w:rsidR="00761309" w:rsidRPr="00427F9C" w:rsidRDefault="00761309" w:rsidP="00756F92">
      <w:pPr>
        <w:pStyle w:val="NormalText"/>
        <w:spacing w:before="120" w:after="0"/>
      </w:pPr>
      <w:r w:rsidRPr="00427F9C">
        <w:t>The following guidance outlines the APVMA’s expectations of auditors when reporting non-conformances from GMP audits.</w:t>
      </w:r>
    </w:p>
    <w:p w14:paraId="4C54136C" w14:textId="1313044D" w:rsidR="00761309" w:rsidRPr="00427F9C" w:rsidRDefault="00761309" w:rsidP="00756F92">
      <w:pPr>
        <w:pStyle w:val="NormalText"/>
        <w:spacing w:before="120" w:after="0"/>
      </w:pPr>
      <w:r w:rsidRPr="00427F9C">
        <w:t xml:space="preserve">Non-conformances are considered to be signs of weakness in a quality system and may be identified during APVMA audits where </w:t>
      </w:r>
      <w:r w:rsidR="00DB5220">
        <w:t>Licence Holders</w:t>
      </w:r>
      <w:r w:rsidRPr="00427F9C">
        <w:t xml:space="preserve"> are not able to demonstrate compliance with the Manufacturing Principles and </w:t>
      </w:r>
      <w:r w:rsidR="0002442B">
        <w:t>GMP Code</w:t>
      </w:r>
      <w:r w:rsidRPr="00427F9C">
        <w:t>.</w:t>
      </w:r>
    </w:p>
    <w:tbl>
      <w:tblPr>
        <w:tblW w:w="0" w:type="auto"/>
        <w:tblInd w:w="125" w:type="dxa"/>
        <w:tblLayout w:type="fixed"/>
        <w:tblCellMar>
          <w:left w:w="0" w:type="dxa"/>
          <w:right w:w="0" w:type="dxa"/>
        </w:tblCellMar>
        <w:tblLook w:val="01E0" w:firstRow="1" w:lastRow="1" w:firstColumn="1" w:lastColumn="1" w:noHBand="0" w:noVBand="0"/>
      </w:tblPr>
      <w:tblGrid>
        <w:gridCol w:w="1295"/>
        <w:gridCol w:w="7765"/>
      </w:tblGrid>
      <w:tr w:rsidR="00C4560B" w:rsidRPr="00427F9C" w14:paraId="36121B50" w14:textId="77777777" w:rsidTr="00C4560B">
        <w:trPr>
          <w:trHeight w:val="1701"/>
        </w:trPr>
        <w:tc>
          <w:tcPr>
            <w:tcW w:w="1295" w:type="dxa"/>
            <w:vAlign w:val="center"/>
          </w:tcPr>
          <w:p w14:paraId="77900F13" w14:textId="77777777" w:rsidR="00C4560B" w:rsidRPr="00427F9C" w:rsidRDefault="00C4560B" w:rsidP="00C4560B">
            <w:pPr>
              <w:pStyle w:val="TableParagraph"/>
              <w:ind w:left="50"/>
              <w:rPr>
                <w:rFonts w:ascii="Arial" w:hAnsi="Arial" w:cs="Arial"/>
                <w:sz w:val="19"/>
                <w:szCs w:val="19"/>
                <w:lang w:val="en-AU"/>
              </w:rPr>
            </w:pPr>
            <w:r w:rsidRPr="00427F9C">
              <w:rPr>
                <w:rFonts w:ascii="Arial" w:hAnsi="Arial" w:cs="Arial"/>
                <w:noProof/>
                <w:sz w:val="19"/>
                <w:szCs w:val="19"/>
                <w:lang w:val="en-AU"/>
              </w:rPr>
              <w:drawing>
                <wp:inline distT="0" distB="0" distL="0" distR="0" wp14:anchorId="6FAE9C4F" wp14:editId="18AF7125">
                  <wp:extent cx="580445" cy="540688"/>
                  <wp:effectExtent l="0" t="0" r="0" b="0"/>
                  <wp:docPr id="27" name="Picture 27" descr="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descr="Information"/>
                          <pic:cNvPicPr/>
                        </pic:nvPicPr>
                        <pic:blipFill>
                          <a:blip r:embed="rId82" cstate="print"/>
                          <a:stretch>
                            <a:fillRect/>
                          </a:stretch>
                        </pic:blipFill>
                        <pic:spPr>
                          <a:xfrm>
                            <a:off x="0" y="0"/>
                            <a:ext cx="595019" cy="554264"/>
                          </a:xfrm>
                          <a:prstGeom prst="rect">
                            <a:avLst/>
                          </a:prstGeom>
                        </pic:spPr>
                      </pic:pic>
                    </a:graphicData>
                  </a:graphic>
                </wp:inline>
              </w:drawing>
            </w:r>
          </w:p>
        </w:tc>
        <w:tc>
          <w:tcPr>
            <w:tcW w:w="7765" w:type="dxa"/>
            <w:shd w:val="clear" w:color="auto" w:fill="EAEAEA"/>
            <w:vAlign w:val="center"/>
          </w:tcPr>
          <w:p w14:paraId="5806E7F9" w14:textId="52E38D07" w:rsidR="00C4560B" w:rsidRPr="00427F9C" w:rsidRDefault="00C4560B" w:rsidP="00C4560B">
            <w:pPr>
              <w:pStyle w:val="TableParagraph"/>
              <w:spacing w:line="280" w:lineRule="exact"/>
              <w:ind w:left="170"/>
              <w:rPr>
                <w:rFonts w:ascii="Arial" w:hAnsi="Arial" w:cs="Arial"/>
                <w:sz w:val="19"/>
                <w:szCs w:val="19"/>
                <w:lang w:val="en-AU"/>
              </w:rPr>
            </w:pPr>
            <w:r w:rsidRPr="00427F9C">
              <w:rPr>
                <w:rFonts w:ascii="Arial" w:hAnsi="Arial" w:cs="Arial"/>
                <w:sz w:val="19"/>
                <w:szCs w:val="19"/>
                <w:lang w:val="en-AU"/>
              </w:rPr>
              <w:t xml:space="preserve">The role of the auditor is to systematically and objectively collect and analyse sufficient relevant evidence to allow </w:t>
            </w:r>
            <w:r w:rsidR="009214C9">
              <w:rPr>
                <w:rFonts w:ascii="Arial" w:hAnsi="Arial" w:cs="Arial"/>
                <w:sz w:val="19"/>
                <w:szCs w:val="19"/>
                <w:lang w:val="en-AU"/>
              </w:rPr>
              <w:t>them</w:t>
            </w:r>
            <w:r w:rsidRPr="00427F9C">
              <w:rPr>
                <w:rFonts w:ascii="Arial" w:hAnsi="Arial" w:cs="Arial"/>
                <w:sz w:val="19"/>
                <w:szCs w:val="19"/>
                <w:lang w:val="en-AU"/>
              </w:rPr>
              <w:t xml:space="preserve"> to make an assessment of the </w:t>
            </w:r>
            <w:r w:rsidR="00DB5220" w:rsidRPr="00DB5220">
              <w:rPr>
                <w:rFonts w:ascii="Arial" w:hAnsi="Arial" w:cs="Arial"/>
                <w:sz w:val="19"/>
                <w:szCs w:val="19"/>
                <w:lang w:val="en-AU"/>
              </w:rPr>
              <w:t>Licence Holder</w:t>
            </w:r>
            <w:r w:rsidRPr="00427F9C">
              <w:rPr>
                <w:rFonts w:ascii="Arial" w:hAnsi="Arial" w:cs="Arial"/>
                <w:sz w:val="19"/>
                <w:szCs w:val="19"/>
                <w:lang w:val="en-AU"/>
              </w:rPr>
              <w:t>’s compliance with the APVMA’s GMP requirements.</w:t>
            </w:r>
          </w:p>
          <w:p w14:paraId="6C9F4B21" w14:textId="3BE22E7A" w:rsidR="00C4560B" w:rsidRPr="00427F9C" w:rsidRDefault="00C4560B" w:rsidP="00C4560B">
            <w:pPr>
              <w:pStyle w:val="TableParagraph"/>
              <w:spacing w:before="120" w:line="280" w:lineRule="exact"/>
              <w:ind w:left="170"/>
              <w:rPr>
                <w:rFonts w:ascii="Arial" w:hAnsi="Arial" w:cs="Arial"/>
                <w:sz w:val="19"/>
                <w:szCs w:val="19"/>
                <w:lang w:val="en-AU"/>
              </w:rPr>
            </w:pPr>
            <w:r w:rsidRPr="00427F9C">
              <w:rPr>
                <w:rFonts w:ascii="Arial" w:hAnsi="Arial" w:cs="Arial"/>
                <w:sz w:val="19"/>
                <w:szCs w:val="19"/>
                <w:lang w:val="en-AU"/>
              </w:rPr>
              <w:t xml:space="preserve">The auditor must clearly differentiate between identifying </w:t>
            </w:r>
            <w:r w:rsidR="00A6015D">
              <w:rPr>
                <w:rFonts w:ascii="Arial" w:hAnsi="Arial" w:cs="Arial"/>
                <w:sz w:val="19"/>
                <w:szCs w:val="19"/>
                <w:lang w:val="en-AU"/>
              </w:rPr>
              <w:t xml:space="preserve">a </w:t>
            </w:r>
            <w:r w:rsidRPr="00427F9C">
              <w:rPr>
                <w:rFonts w:ascii="Arial" w:hAnsi="Arial" w:cs="Arial"/>
                <w:sz w:val="19"/>
                <w:szCs w:val="19"/>
                <w:lang w:val="en-AU"/>
              </w:rPr>
              <w:t xml:space="preserve">non-conformance with the requirements of the </w:t>
            </w:r>
            <w:r w:rsidR="005B414F">
              <w:rPr>
                <w:rFonts w:ascii="Arial" w:hAnsi="Arial" w:cs="Arial"/>
                <w:sz w:val="19"/>
                <w:szCs w:val="19"/>
                <w:lang w:val="en-AU"/>
              </w:rPr>
              <w:t>Manufacturing Principles</w:t>
            </w:r>
            <w:r w:rsidRPr="00427F9C">
              <w:rPr>
                <w:rFonts w:ascii="Arial" w:hAnsi="Arial" w:cs="Arial"/>
                <w:sz w:val="19"/>
                <w:szCs w:val="19"/>
                <w:lang w:val="en-AU"/>
              </w:rPr>
              <w:t xml:space="preserve"> and/or </w:t>
            </w:r>
            <w:r w:rsidR="0002442B">
              <w:rPr>
                <w:rFonts w:ascii="Arial" w:hAnsi="Arial" w:cs="Arial"/>
                <w:sz w:val="19"/>
                <w:szCs w:val="19"/>
                <w:lang w:val="en-AU"/>
              </w:rPr>
              <w:t>GMP Code</w:t>
            </w:r>
            <w:r w:rsidRPr="00427F9C">
              <w:rPr>
                <w:rFonts w:ascii="Arial" w:hAnsi="Arial" w:cs="Arial"/>
                <w:sz w:val="19"/>
                <w:szCs w:val="19"/>
                <w:lang w:val="en-AU"/>
              </w:rPr>
              <w:t>, and making suggestions for improvement.</w:t>
            </w:r>
          </w:p>
        </w:tc>
      </w:tr>
    </w:tbl>
    <w:p w14:paraId="2A58F734" w14:textId="439158A2" w:rsidR="00761309" w:rsidRPr="00427F9C" w:rsidRDefault="00761309" w:rsidP="00756F92">
      <w:pPr>
        <w:pStyle w:val="NormalText"/>
        <w:spacing w:before="120" w:after="0"/>
      </w:pPr>
      <w:r w:rsidRPr="00427F9C">
        <w:t xml:space="preserve">Non-conformances are identified and reported during the auditing process. They are important for communicating what the problem is so that it can be corrected and should be written in a clear and concise manner, ensuring that they are not misinterpreted or ambiguous. In some cases additional details to support the non-conformance may be recorded in the body of the </w:t>
      </w:r>
      <w:r w:rsidR="00837541">
        <w:t>GMP Audit Report</w:t>
      </w:r>
      <w:r w:rsidRPr="00427F9C">
        <w:t>, eg a description of evidence viewed.</w:t>
      </w:r>
    </w:p>
    <w:p w14:paraId="32103DCA" w14:textId="1693DD95" w:rsidR="00761309" w:rsidRPr="00427F9C" w:rsidRDefault="00761309" w:rsidP="00756F92">
      <w:pPr>
        <w:pStyle w:val="NormalText"/>
        <w:spacing w:before="120" w:after="0"/>
      </w:pPr>
      <w:r w:rsidRPr="00427F9C">
        <w:t xml:space="preserve">Careful attention should be given to identifying the manufacturing principle or clause of the </w:t>
      </w:r>
      <w:r w:rsidR="0002442B">
        <w:t>GMP Code</w:t>
      </w:r>
      <w:r w:rsidRPr="00427F9C">
        <w:t xml:space="preserve"> to which the non-conformance relates. While there may be a number of references that could be related to one non-conformance, the </w:t>
      </w:r>
      <w:r w:rsidRPr="00756F92">
        <w:t>most relevant</w:t>
      </w:r>
      <w:r w:rsidRPr="00427F9C">
        <w:t xml:space="preserve"> one should be referenced (maximum 3).</w:t>
      </w:r>
    </w:p>
    <w:p w14:paraId="341F3531" w14:textId="77777777" w:rsidR="00761309" w:rsidRPr="00427F9C" w:rsidRDefault="00761309" w:rsidP="00761309">
      <w:pPr>
        <w:pStyle w:val="NormalText"/>
        <w:jc w:val="both"/>
        <w:rPr>
          <w:b/>
        </w:rPr>
      </w:pPr>
      <w:r w:rsidRPr="00427F9C">
        <w:rPr>
          <w:b/>
        </w:rPr>
        <w:t>Writing up non-conformances</w:t>
      </w:r>
    </w:p>
    <w:p w14:paraId="2C48653B" w14:textId="4C9C7CF1" w:rsidR="00761309" w:rsidRPr="00427F9C" w:rsidRDefault="00761309" w:rsidP="00761309">
      <w:pPr>
        <w:pStyle w:val="Bullet1"/>
        <w:jc w:val="both"/>
        <w:rPr>
          <w:b/>
        </w:rPr>
      </w:pPr>
      <w:r w:rsidRPr="00427F9C">
        <w:rPr>
          <w:b/>
        </w:rPr>
        <w:t xml:space="preserve">Ensure the </w:t>
      </w:r>
      <w:r w:rsidR="00DB5220" w:rsidRPr="00DB5220">
        <w:rPr>
          <w:b/>
        </w:rPr>
        <w:t>Licence Holder</w:t>
      </w:r>
      <w:r w:rsidRPr="00427F9C">
        <w:rPr>
          <w:b/>
        </w:rPr>
        <w:t xml:space="preserve"> understands </w:t>
      </w:r>
      <w:r w:rsidRPr="00427F9C">
        <w:rPr>
          <w:b/>
          <w:i/>
          <w:iCs/>
        </w:rPr>
        <w:t>why</w:t>
      </w:r>
      <w:r w:rsidRPr="00427F9C">
        <w:rPr>
          <w:b/>
        </w:rPr>
        <w:t xml:space="preserve"> the issue is non-compliant</w:t>
      </w:r>
    </w:p>
    <w:p w14:paraId="70604666" w14:textId="7CF511AE" w:rsidR="00761309" w:rsidRPr="00427F9C" w:rsidRDefault="00761309" w:rsidP="00761309">
      <w:pPr>
        <w:pStyle w:val="NormalText"/>
        <w:ind w:left="360"/>
      </w:pPr>
      <w:r w:rsidRPr="00427F9C">
        <w:t>What is the problem</w:t>
      </w:r>
      <w:r w:rsidR="007F250C">
        <w:t xml:space="preserve"> / </w:t>
      </w:r>
      <w:r w:rsidRPr="00427F9C">
        <w:t>issue?</w:t>
      </w:r>
    </w:p>
    <w:p w14:paraId="38799936" w14:textId="7FA4A267" w:rsidR="00761309" w:rsidRPr="00427F9C" w:rsidRDefault="00761309" w:rsidP="00761309">
      <w:pPr>
        <w:pStyle w:val="NormalText"/>
        <w:ind w:left="360"/>
      </w:pPr>
      <w:r w:rsidRPr="00427F9C">
        <w:t>What was observed</w:t>
      </w:r>
      <w:r w:rsidR="007F250C">
        <w:t xml:space="preserve"> / </w:t>
      </w:r>
      <w:r w:rsidRPr="00427F9C">
        <w:t xml:space="preserve">how was this identified? What is the objective evidence to substantiate the </w:t>
      </w:r>
      <w:r w:rsidR="00C4560B" w:rsidRPr="00427F9C">
        <w:t>non-conformance</w:t>
      </w:r>
      <w:r w:rsidRPr="00427F9C">
        <w:t>?</w:t>
      </w:r>
    </w:p>
    <w:p w14:paraId="2BF784A9" w14:textId="50CCF38B" w:rsidR="00761309" w:rsidRPr="00427F9C" w:rsidRDefault="00761309" w:rsidP="00761309">
      <w:pPr>
        <w:pStyle w:val="NormalText"/>
        <w:ind w:left="360"/>
      </w:pPr>
      <w:r w:rsidRPr="00427F9C">
        <w:t xml:space="preserve">Consider: will the </w:t>
      </w:r>
      <w:r w:rsidR="00DB5220" w:rsidRPr="00DB5220">
        <w:t>Licence Holder</w:t>
      </w:r>
      <w:r w:rsidRPr="00427F9C">
        <w:t xml:space="preserve"> understand what the problem</w:t>
      </w:r>
      <w:r w:rsidR="007F250C">
        <w:t xml:space="preserve"> / </w:t>
      </w:r>
      <w:r w:rsidRPr="00427F9C">
        <w:t>issue is that needs to be corrected?</w:t>
      </w:r>
    </w:p>
    <w:p w14:paraId="51A90B47" w14:textId="6278FE60" w:rsidR="00761309" w:rsidRPr="00427F9C" w:rsidRDefault="00761309" w:rsidP="00761309">
      <w:pPr>
        <w:pStyle w:val="Bullet1"/>
        <w:jc w:val="both"/>
        <w:rPr>
          <w:b/>
        </w:rPr>
      </w:pPr>
      <w:r w:rsidRPr="00427F9C">
        <w:rPr>
          <w:b/>
        </w:rPr>
        <w:t xml:space="preserve">Check the non-conformance—will the next auditor understand the </w:t>
      </w:r>
      <w:r w:rsidR="00C4560B" w:rsidRPr="00427F9C">
        <w:rPr>
          <w:b/>
        </w:rPr>
        <w:t>non-conformance</w:t>
      </w:r>
      <w:r w:rsidRPr="00427F9C">
        <w:rPr>
          <w:b/>
        </w:rPr>
        <w:t>?</w:t>
      </w:r>
    </w:p>
    <w:p w14:paraId="5D22925C" w14:textId="7E296815" w:rsidR="00761309" w:rsidRPr="00427F9C" w:rsidRDefault="00761309" w:rsidP="00761309">
      <w:pPr>
        <w:pStyle w:val="NormalText"/>
        <w:ind w:left="360"/>
      </w:pPr>
      <w:r w:rsidRPr="00427F9C">
        <w:t xml:space="preserve">Other auditors will be receiving a copy of the </w:t>
      </w:r>
      <w:r w:rsidR="00837541">
        <w:t>GMP Audit Report</w:t>
      </w:r>
      <w:r w:rsidRPr="00427F9C">
        <w:t xml:space="preserve"> in the audit information packs provided by the APVMA.</w:t>
      </w:r>
    </w:p>
    <w:p w14:paraId="1255BF06" w14:textId="77777777" w:rsidR="00761309" w:rsidRPr="00427F9C" w:rsidRDefault="00761309" w:rsidP="00761309">
      <w:pPr>
        <w:pStyle w:val="NormalText"/>
        <w:ind w:left="360"/>
      </w:pPr>
      <w:r w:rsidRPr="00427F9C">
        <w:t>Consider:</w:t>
      </w:r>
    </w:p>
    <w:p w14:paraId="7E8DF65C" w14:textId="03565799" w:rsidR="00761309" w:rsidRPr="007B77B3" w:rsidRDefault="00761309" w:rsidP="00761309">
      <w:pPr>
        <w:pStyle w:val="NormalText"/>
        <w:ind w:left="360"/>
        <w:rPr>
          <w:i/>
          <w:iCs/>
        </w:rPr>
      </w:pPr>
      <w:r w:rsidRPr="007B77B3">
        <w:rPr>
          <w:i/>
          <w:iCs/>
        </w:rPr>
        <w:t xml:space="preserve">Does the </w:t>
      </w:r>
      <w:r w:rsidR="00C4560B" w:rsidRPr="007B77B3">
        <w:rPr>
          <w:i/>
          <w:iCs/>
        </w:rPr>
        <w:t>non-conformance</w:t>
      </w:r>
      <w:r w:rsidRPr="007B77B3">
        <w:rPr>
          <w:i/>
          <w:iCs/>
        </w:rPr>
        <w:t xml:space="preserve"> make sense, would you understand what was reviewed and what was non-</w:t>
      </w:r>
      <w:r w:rsidR="009214C9" w:rsidRPr="007B77B3">
        <w:rPr>
          <w:i/>
          <w:iCs/>
        </w:rPr>
        <w:t xml:space="preserve">compliant </w:t>
      </w:r>
      <w:r w:rsidRPr="007B77B3">
        <w:rPr>
          <w:i/>
          <w:iCs/>
        </w:rPr>
        <w:t xml:space="preserve">with the </w:t>
      </w:r>
      <w:r w:rsidR="005B414F" w:rsidRPr="007B77B3">
        <w:rPr>
          <w:i/>
          <w:iCs/>
        </w:rPr>
        <w:t>Manufacturing Principles</w:t>
      </w:r>
      <w:r w:rsidR="007F250C" w:rsidRPr="007B77B3">
        <w:rPr>
          <w:i/>
          <w:iCs/>
        </w:rPr>
        <w:t xml:space="preserve"> / </w:t>
      </w:r>
      <w:r w:rsidRPr="007B77B3">
        <w:rPr>
          <w:i/>
          <w:iCs/>
        </w:rPr>
        <w:t>Code?</w:t>
      </w:r>
    </w:p>
    <w:p w14:paraId="27311591" w14:textId="77777777" w:rsidR="00761309" w:rsidRPr="007B77B3" w:rsidRDefault="00761309" w:rsidP="00761309">
      <w:pPr>
        <w:pStyle w:val="NormalText"/>
        <w:ind w:left="360"/>
        <w:rPr>
          <w:i/>
          <w:iCs/>
        </w:rPr>
      </w:pPr>
      <w:r w:rsidRPr="007B77B3">
        <w:rPr>
          <w:i/>
          <w:iCs/>
        </w:rPr>
        <w:t>Would you understand what needs to be implemented as the corrective action?</w:t>
      </w:r>
    </w:p>
    <w:p w14:paraId="2115361E" w14:textId="17021FE4" w:rsidR="00761309" w:rsidRPr="007B77B3" w:rsidRDefault="00761309" w:rsidP="00761309">
      <w:pPr>
        <w:pStyle w:val="NormalText"/>
        <w:ind w:left="360"/>
        <w:rPr>
          <w:i/>
          <w:iCs/>
        </w:rPr>
      </w:pPr>
      <w:r w:rsidRPr="007B77B3">
        <w:rPr>
          <w:i/>
          <w:iCs/>
        </w:rPr>
        <w:lastRenderedPageBreak/>
        <w:t xml:space="preserve">Would you be able to check that the corrective actions have been implemented and are appropriate to address the </w:t>
      </w:r>
      <w:r w:rsidR="00C4560B" w:rsidRPr="007B77B3">
        <w:rPr>
          <w:i/>
          <w:iCs/>
        </w:rPr>
        <w:t>non-conformance</w:t>
      </w:r>
      <w:r w:rsidRPr="007B77B3">
        <w:rPr>
          <w:i/>
          <w:iCs/>
        </w:rPr>
        <w:t>?</w:t>
      </w:r>
    </w:p>
    <w:p w14:paraId="45C9D997" w14:textId="092223A6" w:rsidR="00761309" w:rsidRPr="00427F9C" w:rsidRDefault="00761309" w:rsidP="00761309">
      <w:pPr>
        <w:pStyle w:val="NormalText"/>
        <w:ind w:left="360"/>
      </w:pPr>
      <w:r w:rsidRPr="00427F9C">
        <w:t xml:space="preserve">Remember, is the </w:t>
      </w:r>
      <w:r w:rsidR="00C4560B" w:rsidRPr="00427F9C">
        <w:t>non-conformance</w:t>
      </w:r>
      <w:r w:rsidRPr="00427F9C">
        <w:t xml:space="preserve"> clear enough to be understood by someone who was not at the audit when it was raised</w:t>
      </w:r>
      <w:r w:rsidR="007F250C">
        <w:t xml:space="preserve"> / </w:t>
      </w:r>
      <w:r w:rsidRPr="00427F9C">
        <w:t>identified?</w:t>
      </w:r>
    </w:p>
    <w:p w14:paraId="6BAD54A3" w14:textId="0747D7D8" w:rsidR="00761309" w:rsidRPr="00427F9C" w:rsidRDefault="00761309" w:rsidP="00761309">
      <w:pPr>
        <w:pStyle w:val="Bullet1"/>
        <w:jc w:val="both"/>
        <w:rPr>
          <w:b/>
        </w:rPr>
      </w:pPr>
      <w:r w:rsidRPr="00427F9C">
        <w:rPr>
          <w:b/>
        </w:rPr>
        <w:t>Identify the appropriate manufacturing principle</w:t>
      </w:r>
      <w:r w:rsidR="007F250C">
        <w:rPr>
          <w:b/>
        </w:rPr>
        <w:t xml:space="preserve"> / </w:t>
      </w:r>
      <w:r w:rsidRPr="00427F9C">
        <w:rPr>
          <w:b/>
        </w:rPr>
        <w:t>GMP code clause(s) (maximum of 3).</w:t>
      </w:r>
    </w:p>
    <w:p w14:paraId="7394E8CC" w14:textId="52A3EF54" w:rsidR="00761309" w:rsidRPr="00427F9C" w:rsidRDefault="00761309" w:rsidP="00761309">
      <w:pPr>
        <w:pStyle w:val="NormalText"/>
      </w:pPr>
      <w:r w:rsidRPr="00427F9C">
        <w:t>There may be a number of clauses</w:t>
      </w:r>
      <w:r w:rsidR="007F250C">
        <w:t xml:space="preserve"> / </w:t>
      </w:r>
      <w:r w:rsidR="005B414F">
        <w:t>Manufacturing Principles</w:t>
      </w:r>
      <w:r w:rsidRPr="00427F9C">
        <w:t xml:space="preserve"> that may be applicable to the </w:t>
      </w:r>
      <w:r w:rsidR="00C4560B" w:rsidRPr="00427F9C">
        <w:t>non-conformance</w:t>
      </w:r>
      <w:r w:rsidRPr="00427F9C">
        <w:t xml:space="preserve">s identified, however it is not necessary to list each reference, but to identify the </w:t>
      </w:r>
      <w:r w:rsidRPr="00A936AB">
        <w:rPr>
          <w:b/>
          <w:bCs/>
        </w:rPr>
        <w:t>most relevant</w:t>
      </w:r>
      <w:r w:rsidRPr="00427F9C">
        <w:t xml:space="preserve"> one (max 3).</w:t>
      </w:r>
    </w:p>
    <w:p w14:paraId="32B3D66B" w14:textId="2DA7A718" w:rsidR="00761309" w:rsidRPr="00427F9C" w:rsidRDefault="00761309" w:rsidP="00761309">
      <w:pPr>
        <w:pStyle w:val="Bullet2"/>
        <w:numPr>
          <w:ilvl w:val="0"/>
          <w:numId w:val="7"/>
        </w:numPr>
        <w:jc w:val="both"/>
      </w:pPr>
      <w:r w:rsidRPr="00427F9C">
        <w:t xml:space="preserve">if the cause of the </w:t>
      </w:r>
      <w:r w:rsidR="00C4560B" w:rsidRPr="00427F9C">
        <w:t>non-conformance</w:t>
      </w:r>
      <w:r w:rsidRPr="00427F9C">
        <w:t>s are related and will be closed through the provision of a single SOP i.e. if they link back to a problem with the SOP then they should be grouped as one.</w:t>
      </w:r>
    </w:p>
    <w:p w14:paraId="38358789" w14:textId="428654C0" w:rsidR="00761309" w:rsidRPr="00427F9C" w:rsidRDefault="00761309" w:rsidP="00761309">
      <w:pPr>
        <w:pStyle w:val="Bullet2"/>
        <w:numPr>
          <w:ilvl w:val="0"/>
          <w:numId w:val="7"/>
        </w:numPr>
        <w:jc w:val="both"/>
      </w:pPr>
      <w:r w:rsidRPr="00427F9C">
        <w:t xml:space="preserve">if the cause of the </w:t>
      </w:r>
      <w:r w:rsidR="00C4560B" w:rsidRPr="00427F9C">
        <w:t>non-conformance</w:t>
      </w:r>
      <w:r w:rsidRPr="00427F9C">
        <w:t>s are diverse and will result in different corrective actions being undertaken then they should be reported separately.</w:t>
      </w:r>
    </w:p>
    <w:p w14:paraId="789D633D" w14:textId="0E7B21C7" w:rsidR="00761309" w:rsidRPr="00427F9C" w:rsidRDefault="00761309" w:rsidP="00761309">
      <w:pPr>
        <w:pStyle w:val="Bullet1"/>
        <w:jc w:val="both"/>
        <w:rPr>
          <w:b/>
        </w:rPr>
      </w:pPr>
      <w:r w:rsidRPr="00427F9C">
        <w:rPr>
          <w:b/>
        </w:rPr>
        <w:t>Identify the classification (</w:t>
      </w:r>
      <w:r w:rsidR="004C005D">
        <w:rPr>
          <w:b/>
        </w:rPr>
        <w:t>Minor</w:t>
      </w:r>
      <w:r w:rsidR="007F250C">
        <w:rPr>
          <w:b/>
        </w:rPr>
        <w:t xml:space="preserve">, </w:t>
      </w:r>
      <w:r w:rsidR="004C005D">
        <w:rPr>
          <w:b/>
        </w:rPr>
        <w:t>Major</w:t>
      </w:r>
      <w:r w:rsidR="007F250C">
        <w:rPr>
          <w:b/>
        </w:rPr>
        <w:t xml:space="preserve"> or </w:t>
      </w:r>
      <w:r w:rsidR="004C005D">
        <w:rPr>
          <w:b/>
        </w:rPr>
        <w:t>Critical</w:t>
      </w:r>
      <w:r w:rsidR="009214C9">
        <w:rPr>
          <w:b/>
        </w:rPr>
        <w:t xml:space="preserve"> and</w:t>
      </w:r>
      <w:r w:rsidR="007F250C">
        <w:rPr>
          <w:b/>
        </w:rPr>
        <w:t>/</w:t>
      </w:r>
      <w:r w:rsidR="009214C9">
        <w:rPr>
          <w:b/>
        </w:rPr>
        <w:t>or repeat</w:t>
      </w:r>
      <w:r w:rsidRPr="00427F9C">
        <w:rPr>
          <w:b/>
        </w:rPr>
        <w:t>).</w:t>
      </w:r>
    </w:p>
    <w:p w14:paraId="48F51E82" w14:textId="0FD2B8C2" w:rsidR="00761309" w:rsidRPr="00427F9C" w:rsidRDefault="00761309" w:rsidP="00761309">
      <w:pPr>
        <w:pStyle w:val="NormalText"/>
        <w:jc w:val="both"/>
        <w:rPr>
          <w:b/>
        </w:rPr>
      </w:pPr>
      <w:r w:rsidRPr="00427F9C">
        <w:rPr>
          <w:b/>
        </w:rPr>
        <w:t xml:space="preserve">Classifications of </w:t>
      </w:r>
      <w:r w:rsidR="00C4560B" w:rsidRPr="00427F9C">
        <w:rPr>
          <w:b/>
        </w:rPr>
        <w:t>non-conformance</w:t>
      </w:r>
      <w:r w:rsidRPr="00427F9C">
        <w:rPr>
          <w:b/>
        </w:rPr>
        <w:t>s:</w:t>
      </w:r>
    </w:p>
    <w:p w14:paraId="7EA04B19" w14:textId="30501B20" w:rsidR="00761309" w:rsidRPr="00427F9C" w:rsidRDefault="00761309" w:rsidP="00761309">
      <w:pPr>
        <w:pStyle w:val="Bullet1"/>
        <w:jc w:val="both"/>
      </w:pPr>
      <w:r w:rsidRPr="00427F9C">
        <w:rPr>
          <w:b/>
          <w:bCs/>
          <w:i/>
          <w:iCs/>
        </w:rPr>
        <w:t>MINOR non-conformance</w:t>
      </w:r>
      <w:r w:rsidRPr="00427F9C">
        <w:t>—</w:t>
      </w:r>
      <w:r w:rsidR="004C005D">
        <w:t>Minor</w:t>
      </w:r>
      <w:r w:rsidRPr="00427F9C">
        <w:t xml:space="preserve"> or less serious non-conformance which is </w:t>
      </w:r>
      <w:r w:rsidRPr="00427F9C">
        <w:rPr>
          <w:i/>
          <w:iCs/>
        </w:rPr>
        <w:t>unlikely</w:t>
      </w:r>
      <w:r w:rsidRPr="00427F9C">
        <w:t xml:space="preserve"> to pose a risk to product quality</w:t>
      </w:r>
      <w:r w:rsidR="009214C9">
        <w:t>.</w:t>
      </w:r>
    </w:p>
    <w:p w14:paraId="666DF12B" w14:textId="44224867" w:rsidR="00761309" w:rsidRPr="00427F9C" w:rsidRDefault="00761309" w:rsidP="00761309">
      <w:pPr>
        <w:pStyle w:val="NormalText"/>
        <w:ind w:left="360"/>
      </w:pPr>
      <w:r w:rsidRPr="00427F9C">
        <w:t>May be less serious but not trivial</w:t>
      </w:r>
      <w:r w:rsidR="009214C9">
        <w:t>.</w:t>
      </w:r>
    </w:p>
    <w:p w14:paraId="22C9FED3" w14:textId="0B8C5EF9" w:rsidR="00761309" w:rsidRPr="00427F9C" w:rsidRDefault="00761309" w:rsidP="00761309">
      <w:pPr>
        <w:pStyle w:val="NormalText"/>
        <w:ind w:left="360"/>
      </w:pPr>
      <w:r w:rsidRPr="00427F9C">
        <w:t>Depends on the type of product, and context in which the issue is identified</w:t>
      </w:r>
      <w:r w:rsidR="009214C9">
        <w:t>.</w:t>
      </w:r>
    </w:p>
    <w:p w14:paraId="3A41B653" w14:textId="44A9441F" w:rsidR="00761309" w:rsidRPr="00427F9C" w:rsidRDefault="00761309" w:rsidP="00761309">
      <w:pPr>
        <w:pStyle w:val="NormalText"/>
        <w:ind w:left="360"/>
      </w:pPr>
      <w:r w:rsidRPr="00427F9C">
        <w:t xml:space="preserve">If significant numbers of </w:t>
      </w:r>
      <w:r w:rsidR="004C005D">
        <w:t>Minor</w:t>
      </w:r>
      <w:r w:rsidRPr="00427F9C">
        <w:t xml:space="preserve"> </w:t>
      </w:r>
      <w:r w:rsidR="00C4560B" w:rsidRPr="00427F9C">
        <w:t>non-conformance</w:t>
      </w:r>
      <w:r w:rsidRPr="00427F9C">
        <w:t xml:space="preserve">s are identified in one system area, it could be indicative of a system breakdown and may be more appropriately classified as </w:t>
      </w:r>
      <w:r w:rsidR="004C005D">
        <w:t>Major</w:t>
      </w:r>
      <w:r w:rsidRPr="00427F9C">
        <w:t>.</w:t>
      </w:r>
    </w:p>
    <w:p w14:paraId="05FC678C" w14:textId="1D3D9B05" w:rsidR="00761309" w:rsidRPr="00427F9C" w:rsidRDefault="00761309" w:rsidP="00761309">
      <w:pPr>
        <w:pStyle w:val="Bullet1"/>
        <w:jc w:val="both"/>
      </w:pPr>
      <w:r w:rsidRPr="00427F9C">
        <w:rPr>
          <w:b/>
          <w:bCs/>
          <w:i/>
          <w:iCs/>
        </w:rPr>
        <w:t>MAJOR non-conformance</w:t>
      </w:r>
      <w:r w:rsidRPr="00427F9C">
        <w:t xml:space="preserve">—failure to satisfy a key or mandatory requirement and/or one which </w:t>
      </w:r>
      <w:r w:rsidRPr="00A936AB">
        <w:rPr>
          <w:b/>
          <w:bCs/>
          <w:i/>
          <w:iCs/>
        </w:rPr>
        <w:t>may</w:t>
      </w:r>
      <w:r w:rsidRPr="00A936AB">
        <w:rPr>
          <w:b/>
          <w:bCs/>
        </w:rPr>
        <w:t xml:space="preserve"> </w:t>
      </w:r>
      <w:r w:rsidRPr="00A936AB">
        <w:rPr>
          <w:b/>
          <w:bCs/>
          <w:i/>
          <w:iCs/>
        </w:rPr>
        <w:t>pose</w:t>
      </w:r>
      <w:r w:rsidRPr="00427F9C">
        <w:t xml:space="preserve"> a risk to product quality</w:t>
      </w:r>
      <w:r w:rsidR="009214C9">
        <w:t>.</w:t>
      </w:r>
    </w:p>
    <w:p w14:paraId="3F1D0DB9" w14:textId="7422D9B5" w:rsidR="00761309" w:rsidRPr="00427F9C" w:rsidRDefault="00761309" w:rsidP="00761309">
      <w:pPr>
        <w:pStyle w:val="NormalText"/>
        <w:ind w:left="360"/>
      </w:pPr>
      <w:r w:rsidRPr="00427F9C">
        <w:t xml:space="preserve">Major deviation from the manufacturing principles and/or </w:t>
      </w:r>
      <w:r w:rsidR="0002442B">
        <w:t>GMP Code</w:t>
      </w:r>
      <w:r w:rsidRPr="00427F9C">
        <w:t xml:space="preserve"> </w:t>
      </w:r>
    </w:p>
    <w:p w14:paraId="60F46E10" w14:textId="25016263" w:rsidR="000425FB" w:rsidRDefault="00761309" w:rsidP="00761309">
      <w:pPr>
        <w:pStyle w:val="NormalText"/>
        <w:ind w:left="360"/>
      </w:pPr>
      <w:r w:rsidRPr="00427F9C">
        <w:t xml:space="preserve">May consist of several </w:t>
      </w:r>
      <w:r w:rsidR="004C005D">
        <w:t>Minor</w:t>
      </w:r>
      <w:r w:rsidRPr="00427F9C">
        <w:t xml:space="preserve"> </w:t>
      </w:r>
      <w:r w:rsidR="00C4560B" w:rsidRPr="00427F9C">
        <w:t>non-conformance</w:t>
      </w:r>
      <w:r w:rsidRPr="00427F9C">
        <w:t xml:space="preserve">s, which on their own may not be </w:t>
      </w:r>
      <w:r w:rsidR="004C005D">
        <w:t>Major</w:t>
      </w:r>
      <w:r w:rsidRPr="00427F9C">
        <w:t xml:space="preserve">, but together may represent a </w:t>
      </w:r>
      <w:r w:rsidR="004C005D">
        <w:t>Major</w:t>
      </w:r>
      <w:r w:rsidRPr="00427F9C">
        <w:t xml:space="preserve"> </w:t>
      </w:r>
      <w:r w:rsidR="00C4560B" w:rsidRPr="00427F9C">
        <w:t>non-</w:t>
      </w:r>
      <w:r w:rsidR="009214C9" w:rsidRPr="00427F9C">
        <w:t>conformance</w:t>
      </w:r>
      <w:r w:rsidRPr="00427F9C">
        <w:t>—should be explained and reported as such.</w:t>
      </w:r>
    </w:p>
    <w:p w14:paraId="00A71862" w14:textId="5D48C553" w:rsidR="00761309" w:rsidRPr="00427F9C" w:rsidRDefault="00761309" w:rsidP="00761309">
      <w:pPr>
        <w:pStyle w:val="Bullet1"/>
        <w:jc w:val="both"/>
      </w:pPr>
      <w:r w:rsidRPr="00427F9C">
        <w:rPr>
          <w:b/>
          <w:bCs/>
          <w:i/>
          <w:iCs/>
        </w:rPr>
        <w:t>CRITICAL non-conformance</w:t>
      </w:r>
      <w:r w:rsidRPr="00427F9C">
        <w:t xml:space="preserve">—a </w:t>
      </w:r>
      <w:r w:rsidR="004C005D">
        <w:t>Major</w:t>
      </w:r>
      <w:r w:rsidRPr="00427F9C">
        <w:t xml:space="preserve"> non-conformance which </w:t>
      </w:r>
      <w:r w:rsidRPr="00A936AB">
        <w:rPr>
          <w:b/>
          <w:bCs/>
          <w:i/>
          <w:iCs/>
        </w:rPr>
        <w:t>poses</w:t>
      </w:r>
      <w:r w:rsidRPr="00427F9C">
        <w:t xml:space="preserve"> a risk to treated animals or users and must be corrected immediately</w:t>
      </w:r>
      <w:r w:rsidR="009214C9">
        <w:t>.</w:t>
      </w:r>
    </w:p>
    <w:p w14:paraId="255F20D9" w14:textId="39E4E0F3" w:rsidR="00761309" w:rsidRPr="00427F9C" w:rsidRDefault="00761309" w:rsidP="00761309">
      <w:pPr>
        <w:pStyle w:val="NormalText"/>
        <w:ind w:left="360"/>
      </w:pPr>
      <w:r w:rsidRPr="00427F9C">
        <w:t>Need to identify a clear link to use this classification</w:t>
      </w:r>
      <w:r w:rsidR="009214C9">
        <w:t>.</w:t>
      </w:r>
    </w:p>
    <w:p w14:paraId="4D7BF5FB" w14:textId="77777777" w:rsidR="00761309" w:rsidRPr="00427F9C" w:rsidRDefault="00761309" w:rsidP="00761309">
      <w:pPr>
        <w:pStyle w:val="NormalText"/>
        <w:ind w:left="360"/>
      </w:pPr>
      <w:r w:rsidRPr="00427F9C">
        <w:t xml:space="preserve">Notify APVMA </w:t>
      </w:r>
      <w:r w:rsidRPr="00427F9C">
        <w:rPr>
          <w:b/>
          <w:bCs/>
        </w:rPr>
        <w:t>immediately</w:t>
      </w:r>
      <w:r w:rsidRPr="00427F9C">
        <w:t xml:space="preserve"> (within 24 hrs) </w:t>
      </w:r>
    </w:p>
    <w:p w14:paraId="279878A9" w14:textId="4F720F02" w:rsidR="00761309" w:rsidRPr="00427F9C" w:rsidRDefault="00761309" w:rsidP="00761309">
      <w:pPr>
        <w:pStyle w:val="NormalText"/>
        <w:ind w:left="360"/>
      </w:pPr>
      <w:r w:rsidRPr="00427F9C">
        <w:t>May result in regulatory action being considered by the APVMA</w:t>
      </w:r>
      <w:r w:rsidR="009214C9">
        <w:t>.</w:t>
      </w:r>
    </w:p>
    <w:tbl>
      <w:tblPr>
        <w:tblW w:w="0" w:type="auto"/>
        <w:tblInd w:w="125" w:type="dxa"/>
        <w:tblLayout w:type="fixed"/>
        <w:tblCellMar>
          <w:left w:w="0" w:type="dxa"/>
          <w:right w:w="0" w:type="dxa"/>
        </w:tblCellMar>
        <w:tblLook w:val="01E0" w:firstRow="1" w:lastRow="1" w:firstColumn="1" w:lastColumn="1" w:noHBand="0" w:noVBand="0"/>
      </w:tblPr>
      <w:tblGrid>
        <w:gridCol w:w="1295"/>
        <w:gridCol w:w="7765"/>
      </w:tblGrid>
      <w:tr w:rsidR="00C4560B" w:rsidRPr="00427F9C" w14:paraId="6BAF533C" w14:textId="77777777" w:rsidTr="00C4560B">
        <w:trPr>
          <w:trHeight w:val="1234"/>
        </w:trPr>
        <w:tc>
          <w:tcPr>
            <w:tcW w:w="1295" w:type="dxa"/>
            <w:vAlign w:val="center"/>
          </w:tcPr>
          <w:p w14:paraId="48F0AFF6" w14:textId="77777777" w:rsidR="00C4560B" w:rsidRPr="00427F9C" w:rsidRDefault="00C4560B" w:rsidP="00E2544E">
            <w:pPr>
              <w:pStyle w:val="TableParagraph"/>
              <w:ind w:left="50"/>
              <w:rPr>
                <w:rFonts w:ascii="Arial" w:hAnsi="Arial" w:cs="Arial"/>
                <w:sz w:val="19"/>
                <w:szCs w:val="19"/>
                <w:lang w:val="en-AU"/>
              </w:rPr>
            </w:pPr>
            <w:r w:rsidRPr="00427F9C">
              <w:rPr>
                <w:rFonts w:ascii="Arial" w:hAnsi="Arial" w:cs="Arial"/>
                <w:noProof/>
                <w:sz w:val="19"/>
                <w:szCs w:val="19"/>
                <w:lang w:val="en-AU"/>
              </w:rPr>
              <w:lastRenderedPageBreak/>
              <w:drawing>
                <wp:inline distT="0" distB="0" distL="0" distR="0" wp14:anchorId="40191364" wp14:editId="1D09C111">
                  <wp:extent cx="580445" cy="540688"/>
                  <wp:effectExtent l="0" t="0" r="0" b="0"/>
                  <wp:docPr id="28" name="Picture 28" descr="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descr="Information"/>
                          <pic:cNvPicPr/>
                        </pic:nvPicPr>
                        <pic:blipFill>
                          <a:blip r:embed="rId82" cstate="print"/>
                          <a:stretch>
                            <a:fillRect/>
                          </a:stretch>
                        </pic:blipFill>
                        <pic:spPr>
                          <a:xfrm>
                            <a:off x="0" y="0"/>
                            <a:ext cx="595019" cy="554264"/>
                          </a:xfrm>
                          <a:prstGeom prst="rect">
                            <a:avLst/>
                          </a:prstGeom>
                        </pic:spPr>
                      </pic:pic>
                    </a:graphicData>
                  </a:graphic>
                </wp:inline>
              </w:drawing>
            </w:r>
          </w:p>
        </w:tc>
        <w:tc>
          <w:tcPr>
            <w:tcW w:w="7765" w:type="dxa"/>
            <w:shd w:val="clear" w:color="auto" w:fill="EAEAEA"/>
            <w:vAlign w:val="center"/>
          </w:tcPr>
          <w:p w14:paraId="644CA6FE" w14:textId="1B483A74" w:rsidR="00C4560B" w:rsidRPr="00427F9C" w:rsidRDefault="00C4560B" w:rsidP="00C4560B">
            <w:pPr>
              <w:pStyle w:val="TableParagraph"/>
              <w:spacing w:line="280" w:lineRule="exact"/>
              <w:ind w:left="170"/>
              <w:rPr>
                <w:rFonts w:ascii="Arial" w:hAnsi="Arial" w:cs="Arial"/>
                <w:sz w:val="19"/>
                <w:szCs w:val="19"/>
                <w:lang w:val="en-AU"/>
              </w:rPr>
            </w:pPr>
            <w:r w:rsidRPr="00427F9C">
              <w:rPr>
                <w:rFonts w:ascii="Arial" w:hAnsi="Arial" w:cs="Arial"/>
                <w:sz w:val="19"/>
                <w:szCs w:val="19"/>
                <w:lang w:val="en-AU"/>
              </w:rPr>
              <w:t xml:space="preserve">Although the </w:t>
            </w:r>
            <w:r w:rsidRPr="00DB5220">
              <w:rPr>
                <w:rFonts w:ascii="Arial" w:hAnsi="Arial" w:cs="Arial"/>
                <w:sz w:val="19"/>
                <w:szCs w:val="19"/>
                <w:lang w:val="en-AU"/>
              </w:rPr>
              <w:t xml:space="preserve">auditor may discuss various options for corrective action, it is the responsibility of the </w:t>
            </w:r>
            <w:r w:rsidR="00DB5220" w:rsidRPr="00DB5220">
              <w:rPr>
                <w:rFonts w:ascii="Arial" w:hAnsi="Arial" w:cs="Arial"/>
                <w:sz w:val="19"/>
                <w:szCs w:val="19"/>
              </w:rPr>
              <w:t xml:space="preserve">Licence Holder </w:t>
            </w:r>
            <w:r w:rsidRPr="00DB5220">
              <w:rPr>
                <w:rFonts w:ascii="Arial" w:hAnsi="Arial" w:cs="Arial"/>
                <w:sz w:val="19"/>
                <w:szCs w:val="19"/>
                <w:lang w:val="en-AU"/>
              </w:rPr>
              <w:t>to determine the most appropriate course of action to address identified non-conformances</w:t>
            </w:r>
            <w:r w:rsidRPr="00427F9C">
              <w:rPr>
                <w:rFonts w:ascii="Arial" w:hAnsi="Arial" w:cs="Arial"/>
                <w:sz w:val="19"/>
                <w:szCs w:val="19"/>
                <w:lang w:val="en-AU"/>
              </w:rPr>
              <w:t>.</w:t>
            </w:r>
          </w:p>
        </w:tc>
      </w:tr>
    </w:tbl>
    <w:p w14:paraId="13C3B880" w14:textId="52DE0070" w:rsidR="00761309" w:rsidRPr="00427F9C" w:rsidRDefault="00761309" w:rsidP="00761309">
      <w:pPr>
        <w:pStyle w:val="APVMAAppendixH1"/>
      </w:pPr>
      <w:bookmarkStart w:id="113" w:name="_Toc145432947"/>
      <w:bookmarkStart w:id="114" w:name="_Toc145606337"/>
      <w:bookmarkStart w:id="115" w:name="_Toc160083877"/>
      <w:r w:rsidRPr="00427F9C">
        <w:lastRenderedPageBreak/>
        <w:t xml:space="preserve">Appendix C – Guidance on preparing a </w:t>
      </w:r>
      <w:r w:rsidR="000C3F4D">
        <w:t xml:space="preserve">CAPA </w:t>
      </w:r>
      <w:r w:rsidRPr="00427F9C">
        <w:t xml:space="preserve">plan (for </w:t>
      </w:r>
      <w:r w:rsidR="00DB5220" w:rsidRPr="00DB5220">
        <w:t>Licence Holder</w:t>
      </w:r>
      <w:r w:rsidR="00355391">
        <w:t>S</w:t>
      </w:r>
      <w:r w:rsidRPr="00427F9C">
        <w:t>)</w:t>
      </w:r>
      <w:bookmarkEnd w:id="113"/>
      <w:bookmarkEnd w:id="114"/>
      <w:bookmarkEnd w:id="115"/>
    </w:p>
    <w:p w14:paraId="5689B421" w14:textId="40026549" w:rsidR="00761309" w:rsidRPr="00427F9C" w:rsidRDefault="00C4560B" w:rsidP="00761309">
      <w:pPr>
        <w:pStyle w:val="NormalText"/>
      </w:pPr>
      <w:r w:rsidRPr="00427F9C">
        <w:t>T</w:t>
      </w:r>
      <w:r w:rsidR="00761309" w:rsidRPr="00427F9C">
        <w:t xml:space="preserve">he following guidance should be considered when preparing a plan for assessment. </w:t>
      </w:r>
    </w:p>
    <w:p w14:paraId="7BD04794" w14:textId="0706FEB0" w:rsidR="00761309" w:rsidRPr="00427F9C" w:rsidRDefault="00DB5220" w:rsidP="00761309">
      <w:pPr>
        <w:pStyle w:val="NormalText"/>
      </w:pPr>
      <w:r w:rsidRPr="00DB5220">
        <w:t>Licence Holder</w:t>
      </w:r>
      <w:r w:rsidR="00761309" w:rsidRPr="00427F9C">
        <w:t>s will have a maximum of three opportunities to submit a satisfactory plan to the auditor for assessment</w:t>
      </w:r>
      <w:r w:rsidR="00C4560B" w:rsidRPr="00427F9C">
        <w:t xml:space="preserve">. If no </w:t>
      </w:r>
      <w:r w:rsidR="009214C9" w:rsidRPr="00427F9C">
        <w:t>agree</w:t>
      </w:r>
      <w:r w:rsidR="009214C9">
        <w:t>ment</w:t>
      </w:r>
      <w:r w:rsidR="009214C9" w:rsidRPr="00427F9C">
        <w:t xml:space="preserve"> </w:t>
      </w:r>
      <w:r w:rsidR="00C4560B" w:rsidRPr="00427F9C">
        <w:t>is reached</w:t>
      </w:r>
      <w:r w:rsidR="00761309" w:rsidRPr="00427F9C">
        <w:t xml:space="preserve">, the APVMA will </w:t>
      </w:r>
      <w:r w:rsidR="00C4560B" w:rsidRPr="00427F9C">
        <w:t xml:space="preserve">take over the process to implement </w:t>
      </w:r>
      <w:r w:rsidR="00761309" w:rsidRPr="00427F9C">
        <w:t xml:space="preserve">the plan </w:t>
      </w:r>
      <w:r w:rsidR="00C4560B" w:rsidRPr="00427F9C">
        <w:t xml:space="preserve">or </w:t>
      </w:r>
      <w:r w:rsidR="00761309" w:rsidRPr="00427F9C">
        <w:t>require submission of objective evidence, to close the audit.</w:t>
      </w:r>
      <w:r w:rsidR="00C4560B" w:rsidRPr="00427F9C">
        <w:t xml:space="preserve"> This may also result in the </w:t>
      </w:r>
      <w:r w:rsidRPr="00DB5220">
        <w:t>Licence Holder</w:t>
      </w:r>
      <w:r w:rsidR="00C4560B" w:rsidRPr="00427F9C">
        <w:t>’s audit interval schedule to be reduced.</w:t>
      </w:r>
      <w:r>
        <w:t xml:space="preserve"> </w:t>
      </w:r>
    </w:p>
    <w:p w14:paraId="0056E0B2" w14:textId="10D236DD" w:rsidR="00761309" w:rsidRPr="00427F9C" w:rsidRDefault="00761309" w:rsidP="00761309">
      <w:pPr>
        <w:pStyle w:val="NormalText"/>
      </w:pPr>
      <w:r w:rsidRPr="00427F9C">
        <w:t xml:space="preserve">It is therefore in the </w:t>
      </w:r>
      <w:r w:rsidR="00DB5220" w:rsidRPr="00DB5220">
        <w:t>Licence Holder</w:t>
      </w:r>
      <w:r w:rsidRPr="00427F9C">
        <w:t>’s best interests to provide as much detail and relevant information as possible in their plan to allow the auditor to make an effective assessment.</w:t>
      </w:r>
      <w:r w:rsidR="00DB5220">
        <w:t xml:space="preserve"> </w:t>
      </w:r>
    </w:p>
    <w:p w14:paraId="1FF6BDBF" w14:textId="5613D759" w:rsidR="00761309" w:rsidRPr="00427F9C" w:rsidRDefault="00761309" w:rsidP="00761309">
      <w:pPr>
        <w:pStyle w:val="Bullet1"/>
      </w:pPr>
      <w:r w:rsidRPr="00427F9C">
        <w:t xml:space="preserve">The plan should include a detailed and clearly cross-referenced description of the specific corrective actions in response to each of the non-conformances identified. </w:t>
      </w:r>
      <w:r w:rsidR="00C4560B" w:rsidRPr="00427F9C">
        <w:t>The plan must include</w:t>
      </w:r>
      <w:r w:rsidRPr="00427F9C">
        <w:t>.</w:t>
      </w:r>
    </w:p>
    <w:p w14:paraId="56A942A8" w14:textId="3D9DD3B5" w:rsidR="00C4560B" w:rsidRPr="00427F9C" w:rsidRDefault="00C4560B" w:rsidP="00C4560B">
      <w:pPr>
        <w:pStyle w:val="Bullet1"/>
        <w:numPr>
          <w:ilvl w:val="0"/>
          <w:numId w:val="0"/>
        </w:numPr>
        <w:ind w:left="720"/>
      </w:pPr>
      <w:r w:rsidRPr="00427F9C">
        <w:t>–</w:t>
      </w:r>
      <w:r w:rsidRPr="00427F9C">
        <w:tab/>
        <w:t xml:space="preserve">an investigation of the root cause of all </w:t>
      </w:r>
      <w:r w:rsidR="004C005D">
        <w:t>Critical</w:t>
      </w:r>
      <w:r w:rsidRPr="00427F9C">
        <w:t xml:space="preserve"> and </w:t>
      </w:r>
      <w:r w:rsidR="004C005D">
        <w:t>Major</w:t>
      </w:r>
      <w:r w:rsidRPr="00427F9C">
        <w:t xml:space="preserve"> </w:t>
      </w:r>
      <w:r w:rsidR="004C005D">
        <w:t>non-conformances</w:t>
      </w:r>
    </w:p>
    <w:p w14:paraId="366F0D29" w14:textId="1411EFCE" w:rsidR="00C4560B" w:rsidRPr="00427F9C" w:rsidRDefault="00C4560B" w:rsidP="00C4560B">
      <w:pPr>
        <w:pStyle w:val="Bullet1"/>
        <w:numPr>
          <w:ilvl w:val="0"/>
          <w:numId w:val="0"/>
        </w:numPr>
        <w:ind w:left="720"/>
      </w:pPr>
      <w:r w:rsidRPr="00427F9C">
        <w:t>–</w:t>
      </w:r>
      <w:r w:rsidRPr="00427F9C">
        <w:tab/>
      </w:r>
      <w:r w:rsidR="009214C9">
        <w:t xml:space="preserve">the </w:t>
      </w:r>
      <w:r w:rsidRPr="00427F9C">
        <w:t>details of the corrective action(s) to address the root cause</w:t>
      </w:r>
    </w:p>
    <w:p w14:paraId="5D58A779" w14:textId="49653113" w:rsidR="00C4560B" w:rsidRPr="00427F9C" w:rsidRDefault="00C4560B" w:rsidP="00C4560B">
      <w:pPr>
        <w:pStyle w:val="Bullet1"/>
        <w:numPr>
          <w:ilvl w:val="0"/>
          <w:numId w:val="0"/>
        </w:numPr>
        <w:ind w:left="720"/>
      </w:pPr>
      <w:r w:rsidRPr="00427F9C">
        <w:t>–</w:t>
      </w:r>
      <w:r w:rsidRPr="00427F9C">
        <w:tab/>
      </w:r>
      <w:r w:rsidR="009214C9">
        <w:t xml:space="preserve">the </w:t>
      </w:r>
      <w:r w:rsidRPr="00427F9C">
        <w:t>details of the preventative action(s) to address the root cause</w:t>
      </w:r>
    </w:p>
    <w:p w14:paraId="2D1DB509" w14:textId="2BB81FEC" w:rsidR="00C4560B" w:rsidRPr="00427F9C" w:rsidRDefault="00C4560B" w:rsidP="00C4560B">
      <w:pPr>
        <w:pStyle w:val="Bullet1"/>
        <w:numPr>
          <w:ilvl w:val="0"/>
          <w:numId w:val="0"/>
        </w:numPr>
        <w:ind w:left="720"/>
      </w:pPr>
      <w:r w:rsidRPr="00427F9C">
        <w:t>–</w:t>
      </w:r>
      <w:r w:rsidRPr="00427F9C">
        <w:tab/>
      </w:r>
      <w:r w:rsidR="009214C9">
        <w:t xml:space="preserve">the </w:t>
      </w:r>
      <w:r w:rsidRPr="00427F9C">
        <w:t xml:space="preserve">corrections to address the </w:t>
      </w:r>
      <w:r w:rsidR="004C005D">
        <w:t>non-conformances</w:t>
      </w:r>
    </w:p>
    <w:p w14:paraId="67B6D935" w14:textId="77777777" w:rsidR="00C4560B" w:rsidRPr="00427F9C" w:rsidRDefault="00C4560B" w:rsidP="00C4560B">
      <w:pPr>
        <w:pStyle w:val="Bullet1"/>
        <w:numPr>
          <w:ilvl w:val="0"/>
          <w:numId w:val="0"/>
        </w:numPr>
        <w:ind w:left="720"/>
      </w:pPr>
      <w:r w:rsidRPr="00427F9C">
        <w:t>–</w:t>
      </w:r>
      <w:r w:rsidRPr="00427F9C">
        <w:tab/>
        <w:t>the date all actions will be complete</w:t>
      </w:r>
    </w:p>
    <w:p w14:paraId="57D9FAE4" w14:textId="6981F76F" w:rsidR="00761309" w:rsidRPr="00427F9C" w:rsidRDefault="00761309" w:rsidP="00761309">
      <w:pPr>
        <w:pStyle w:val="Bullet1"/>
      </w:pPr>
      <w:r w:rsidRPr="00427F9C">
        <w:t xml:space="preserve">The APVMA expects that where documents are to be amended, a detailed description of the change to be made, the names of the documents affected and their document reference and revision numbers should be recorded </w:t>
      </w:r>
      <w:r w:rsidR="00A6015D" w:rsidRPr="00A6015D">
        <w:t>(preferably using a change control process).</w:t>
      </w:r>
      <w:r w:rsidR="00A6015D">
        <w:t xml:space="preserve"> </w:t>
      </w:r>
      <w:r w:rsidRPr="00427F9C">
        <w:t>The description of the change should advise which point</w:t>
      </w:r>
      <w:r w:rsidR="007F250C">
        <w:t xml:space="preserve"> / </w:t>
      </w:r>
      <w:r w:rsidRPr="00427F9C">
        <w:t>clause</w:t>
      </w:r>
      <w:r w:rsidR="007F250C">
        <w:t xml:space="preserve"> / </w:t>
      </w:r>
      <w:r w:rsidRPr="00427F9C">
        <w:t>section is to be amended for example:</w:t>
      </w:r>
    </w:p>
    <w:p w14:paraId="607ACF06" w14:textId="77777777" w:rsidR="00761309" w:rsidRPr="00427F9C" w:rsidRDefault="00761309" w:rsidP="00761309">
      <w:pPr>
        <w:pStyle w:val="NormalText"/>
        <w:ind w:left="1080"/>
        <w:jc w:val="both"/>
        <w:rPr>
          <w:i/>
        </w:rPr>
      </w:pPr>
      <w:r w:rsidRPr="00427F9C">
        <w:rPr>
          <w:i/>
        </w:rPr>
        <w:t>“…point 1 will be amended to include a reference to the positions which may undertake this role, specifically the Quality Assurance Manager and their delegate, being the Quality Assurance team leader for powder products”.</w:t>
      </w:r>
    </w:p>
    <w:p w14:paraId="6264FCFB" w14:textId="77777777" w:rsidR="00761309" w:rsidRPr="00427F9C" w:rsidRDefault="00761309" w:rsidP="00761309">
      <w:pPr>
        <w:pStyle w:val="Bullet1"/>
      </w:pPr>
      <w:r w:rsidRPr="00427F9C">
        <w:t xml:space="preserve">An indication of </w:t>
      </w:r>
      <w:r w:rsidRPr="00427F9C">
        <w:rPr>
          <w:b/>
        </w:rPr>
        <w:t>proposed dates</w:t>
      </w:r>
      <w:r w:rsidRPr="00427F9C">
        <w:t xml:space="preserve"> associated with completion of drafts, review of documents and publishing of final documents should also be included.</w:t>
      </w:r>
    </w:p>
    <w:p w14:paraId="574A2749" w14:textId="77777777" w:rsidR="00761309" w:rsidRPr="00427F9C" w:rsidRDefault="00761309" w:rsidP="00761309">
      <w:pPr>
        <w:pStyle w:val="Bullet1"/>
      </w:pPr>
      <w:r w:rsidRPr="00427F9C">
        <w:t>Details of when training will be undertaken and what the training will include should be provided along with the people to be included within the training (position titles).</w:t>
      </w:r>
    </w:p>
    <w:p w14:paraId="52D21042" w14:textId="499C6BCF" w:rsidR="00761309" w:rsidRPr="00427F9C" w:rsidRDefault="00761309" w:rsidP="00761309">
      <w:pPr>
        <w:pStyle w:val="Bullet1"/>
      </w:pPr>
      <w:r w:rsidRPr="00427F9C">
        <w:t>If validation activities are to be undertaken then a detailed description of what the validation will cover (ie validation protocol) and the timeframes to be met should be provided.</w:t>
      </w:r>
    </w:p>
    <w:p w14:paraId="5FC68DAA" w14:textId="77777777" w:rsidR="00761309" w:rsidRPr="00427F9C" w:rsidRDefault="00761309" w:rsidP="00761309">
      <w:pPr>
        <w:pStyle w:val="Bullet1"/>
      </w:pPr>
      <w:r w:rsidRPr="00427F9C">
        <w:t>If building works are to be undertaken then a description of the key events and target completion dates should be included.</w:t>
      </w:r>
    </w:p>
    <w:p w14:paraId="0848FFDD" w14:textId="711C7F67" w:rsidR="000425FB" w:rsidRDefault="00761309" w:rsidP="00761309">
      <w:pPr>
        <w:pStyle w:val="Bullet1"/>
      </w:pPr>
      <w:r w:rsidRPr="00427F9C">
        <w:t>There may also be situations where a</w:t>
      </w:r>
      <w:r w:rsidR="003A0149">
        <w:t xml:space="preserve"> risk assessment should be undertaken </w:t>
      </w:r>
      <w:r w:rsidRPr="00427F9C">
        <w:t xml:space="preserve">in order to support the </w:t>
      </w:r>
      <w:r w:rsidR="003A0149">
        <w:t xml:space="preserve">proposed </w:t>
      </w:r>
      <w:r w:rsidRPr="00427F9C">
        <w:t xml:space="preserve">activities. </w:t>
      </w:r>
    </w:p>
    <w:p w14:paraId="7C83A846" w14:textId="4164A64E" w:rsidR="00761309" w:rsidRPr="00427F9C" w:rsidRDefault="00761309" w:rsidP="00761309">
      <w:pPr>
        <w:pStyle w:val="APVMAAppendixH1"/>
      </w:pPr>
      <w:bookmarkStart w:id="116" w:name="_Toc145432948"/>
      <w:bookmarkStart w:id="117" w:name="_Toc145606338"/>
      <w:bookmarkStart w:id="118" w:name="_Toc160083878"/>
      <w:r w:rsidRPr="00427F9C">
        <w:lastRenderedPageBreak/>
        <w:t xml:space="preserve">Appendix D – Guidance on assessing </w:t>
      </w:r>
      <w:r w:rsidR="000C3F4D">
        <w:t xml:space="preserve">CAPA </w:t>
      </w:r>
      <w:r w:rsidRPr="00427F9C">
        <w:t>plans (for auditors)</w:t>
      </w:r>
      <w:bookmarkEnd w:id="116"/>
      <w:bookmarkEnd w:id="117"/>
      <w:bookmarkEnd w:id="118"/>
    </w:p>
    <w:p w14:paraId="61DB7E96" w14:textId="62C8C459" w:rsidR="00761309" w:rsidRPr="00427F9C" w:rsidRDefault="00761309" w:rsidP="00761309">
      <w:pPr>
        <w:pStyle w:val="NormalText"/>
      </w:pPr>
      <w:r w:rsidRPr="00427F9C">
        <w:t xml:space="preserve">The following guidance outlines the APVMA’s expectations of auditors when undertaking an assessment of and approving a ‘plan’ for the closure of non-conformances for </w:t>
      </w:r>
      <w:r w:rsidR="00FB514C" w:rsidRPr="00FB514C">
        <w:t>Licence Holder</w:t>
      </w:r>
      <w:r w:rsidRPr="00427F9C">
        <w:t xml:space="preserve">s. </w:t>
      </w:r>
    </w:p>
    <w:p w14:paraId="1CDF1138" w14:textId="77777777" w:rsidR="00761309" w:rsidRPr="00427F9C" w:rsidRDefault="00761309" w:rsidP="00761309">
      <w:pPr>
        <w:pStyle w:val="NormalText"/>
        <w:jc w:val="both"/>
        <w:rPr>
          <w:b/>
        </w:rPr>
      </w:pPr>
      <w:r w:rsidRPr="00427F9C">
        <w:rPr>
          <w:b/>
        </w:rPr>
        <w:t>Expectations:</w:t>
      </w:r>
    </w:p>
    <w:p w14:paraId="34A45E99" w14:textId="28F62492" w:rsidR="00761309" w:rsidRPr="00427F9C" w:rsidRDefault="00761309" w:rsidP="00761309">
      <w:pPr>
        <w:pStyle w:val="Bullet1"/>
      </w:pPr>
      <w:r w:rsidRPr="00427F9C">
        <w:t xml:space="preserve">Auditors should use the </w:t>
      </w:r>
      <w:r w:rsidRPr="00427F9C">
        <w:rPr>
          <w:b/>
        </w:rPr>
        <w:t>Corrective Action Review (CAR) form</w:t>
      </w:r>
      <w:r w:rsidRPr="00427F9C">
        <w:t xml:space="preserve"> to record their assessment and a copy of final version of the plan provided by the </w:t>
      </w:r>
      <w:r w:rsidR="00FB514C">
        <w:t>Licence Holder</w:t>
      </w:r>
      <w:r w:rsidRPr="00427F9C">
        <w:t xml:space="preserve"> should be attached. </w:t>
      </w:r>
      <w:r w:rsidRPr="00427F9C">
        <w:br/>
        <w:t>The documents should be sent to the APVMA within eight weeks of the audit being completed.</w:t>
      </w:r>
      <w:r w:rsidR="00FB514C">
        <w:t xml:space="preserve"> </w:t>
      </w:r>
    </w:p>
    <w:p w14:paraId="20CDD17A" w14:textId="0A3A44C7" w:rsidR="00761309" w:rsidRPr="00427F9C" w:rsidRDefault="00761309" w:rsidP="00761309">
      <w:pPr>
        <w:pStyle w:val="Bullet1"/>
      </w:pPr>
      <w:r w:rsidRPr="00427F9C">
        <w:t xml:space="preserve">Auditors should assess and confirm that the </w:t>
      </w:r>
      <w:r w:rsidR="00FB514C" w:rsidRPr="00FB514C">
        <w:t>Licence Holder</w:t>
      </w:r>
      <w:r w:rsidRPr="00427F9C">
        <w:t xml:space="preserve"> has identified the ‘root cause’ where applicable.</w:t>
      </w:r>
    </w:p>
    <w:p w14:paraId="12E9EA26" w14:textId="77777777" w:rsidR="00761309" w:rsidRPr="00427F9C" w:rsidRDefault="00761309" w:rsidP="00761309">
      <w:pPr>
        <w:pStyle w:val="Bullet1"/>
      </w:pPr>
      <w:r w:rsidRPr="00427F9C">
        <w:t>Auditors should ensure that timeframes have been stipulated, are reasonable and practical.</w:t>
      </w:r>
    </w:p>
    <w:p w14:paraId="32C86974" w14:textId="77777777" w:rsidR="00761309" w:rsidRPr="00427F9C" w:rsidRDefault="00761309" w:rsidP="00761309">
      <w:pPr>
        <w:pStyle w:val="Bullet1"/>
      </w:pPr>
      <w:r w:rsidRPr="00427F9C">
        <w:t>Auditors should confirm that there is sufficient detail provided to allow the next auditor to understand what was agreed to for the closure. Think about how you would interpret the response and what you would expect to see if you were provided with only the CAR form for the plan three years after the last audit—would you be able to understand what has been assessed and accepted? Will it result in the NC being closed?</w:t>
      </w:r>
    </w:p>
    <w:p w14:paraId="4D826314" w14:textId="77777777" w:rsidR="00761309" w:rsidRPr="00427F9C" w:rsidRDefault="00761309" w:rsidP="00761309">
      <w:pPr>
        <w:pStyle w:val="Bullet1"/>
      </w:pPr>
      <w:r w:rsidRPr="00427F9C">
        <w:t xml:space="preserve">A clear description of </w:t>
      </w:r>
      <w:r w:rsidRPr="00427F9C">
        <w:rPr>
          <w:b/>
          <w:u w:val="single"/>
        </w:rPr>
        <w:t>what</w:t>
      </w:r>
      <w:r w:rsidRPr="00427F9C">
        <w:t xml:space="preserve"> has been agreed to should be included in the CAR form to allow the APVMA and the next auditor to clearly identify what you have considered and why the response is accepted.</w:t>
      </w:r>
    </w:p>
    <w:p w14:paraId="1E1FCB3D" w14:textId="2FA1B86B" w:rsidR="00761309" w:rsidRPr="00427F9C" w:rsidRDefault="00761309" w:rsidP="00761309">
      <w:pPr>
        <w:pStyle w:val="Bullet1"/>
      </w:pPr>
      <w:r w:rsidRPr="00427F9C">
        <w:t xml:space="preserve">If the auditor is not satisfied that an acceptable plan has been provided after three attempts by the </w:t>
      </w:r>
      <w:r w:rsidR="00FB514C" w:rsidRPr="00FB514C">
        <w:t>Licence Holder</w:t>
      </w:r>
      <w:r w:rsidRPr="00427F9C">
        <w:t xml:space="preserve"> (within the stated allowable timeframe), this should be noted accordingly on the CAR form.</w:t>
      </w:r>
    </w:p>
    <w:p w14:paraId="159A169F" w14:textId="64A2BB70" w:rsidR="000425FB" w:rsidRDefault="00761309" w:rsidP="00C4560B">
      <w:pPr>
        <w:pStyle w:val="Bullet1"/>
      </w:pPr>
      <w:r w:rsidRPr="00427F9C">
        <w:t xml:space="preserve">Please note ambiguous information or comments included within CAR reports </w:t>
      </w:r>
      <w:r w:rsidR="00A6015D">
        <w:t>must be avoided.</w:t>
      </w:r>
    </w:p>
    <w:p w14:paraId="1274FC7D" w14:textId="20C08AD0" w:rsidR="008D7ACE" w:rsidRPr="00427F9C" w:rsidRDefault="008D7ACE" w:rsidP="00C4560B">
      <w:pPr>
        <w:rPr>
          <w:rFonts w:cs="Arial"/>
          <w:kern w:val="20"/>
          <w:sz w:val="19"/>
          <w:u w:color="000000"/>
        </w:rPr>
      </w:pPr>
    </w:p>
    <w:sectPr w:rsidR="008D7ACE" w:rsidRPr="00427F9C" w:rsidSect="00285FB3">
      <w:headerReference w:type="default" r:id="rId83"/>
      <w:pgSz w:w="11906" w:h="16838" w:code="9"/>
      <w:pgMar w:top="2552" w:right="1134" w:bottom="1134"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AF948" w14:textId="77777777" w:rsidR="006967A2" w:rsidRDefault="006967A2">
      <w:r>
        <w:separator/>
      </w:r>
    </w:p>
    <w:p w14:paraId="5709FF12" w14:textId="77777777" w:rsidR="006967A2" w:rsidRDefault="006967A2"/>
    <w:p w14:paraId="358B2D0F" w14:textId="77777777" w:rsidR="006967A2" w:rsidRDefault="006967A2"/>
  </w:endnote>
  <w:endnote w:type="continuationSeparator" w:id="0">
    <w:p w14:paraId="096202B9" w14:textId="77777777" w:rsidR="006967A2" w:rsidRDefault="006967A2">
      <w:r>
        <w:continuationSeparator/>
      </w:r>
    </w:p>
    <w:p w14:paraId="100F36A5" w14:textId="77777777" w:rsidR="006967A2" w:rsidRDefault="006967A2"/>
    <w:p w14:paraId="32B01DB3" w14:textId="77777777" w:rsidR="006967A2" w:rsidRDefault="00696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98686" w14:textId="77777777" w:rsidR="00285FB3" w:rsidRDefault="00285FB3">
    <w:pPr>
      <w:pStyle w:val="Footer"/>
      <w:rPr>
        <w:rFonts w:ascii="Calibri" w:hAnsi="Calibri"/>
        <w:color w:val="969696"/>
        <w:sz w:val="16"/>
        <w:szCs w:val="16"/>
      </w:rPr>
    </w:pPr>
  </w:p>
  <w:p w14:paraId="04372CD7" w14:textId="01D44900" w:rsidR="00422BC8" w:rsidRPr="00490706" w:rsidRDefault="00422BC8">
    <w:pPr>
      <w:pStyle w:val="Footer"/>
      <w:rPr>
        <w:rFonts w:ascii="Calibri" w:hAnsi="Calibri"/>
        <w:color w:val="969696"/>
        <w:sz w:val="16"/>
        <w:szCs w:val="16"/>
      </w:rPr>
    </w:pPr>
    <w:r w:rsidRPr="00490706">
      <w:rPr>
        <w:rFonts w:ascii="Calibri" w:hAnsi="Calibri"/>
        <w:color w:val="969696"/>
        <w:sz w:val="16"/>
        <w:szCs w:val="16"/>
      </w:rPr>
      <w:tab/>
    </w:r>
    <w:r w:rsidRPr="00490706">
      <w:rPr>
        <w:rFonts w:ascii="Calibri" w:hAnsi="Calibri"/>
        <w:color w:val="969696"/>
        <w:sz w:val="16"/>
        <w:szCs w:val="16"/>
      </w:rPr>
      <w:tab/>
    </w:r>
    <w:r w:rsidR="00285FB3">
      <w:rPr>
        <w:rFonts w:ascii="Calibri" w:hAnsi="Calibri"/>
        <w:color w:val="969696"/>
        <w:sz w:val="16"/>
        <w:szCs w:val="16"/>
      </w:rPr>
      <w:t xml:space="preserve">Page </w:t>
    </w:r>
    <w:r w:rsidR="00285FB3" w:rsidRPr="00285FB3">
      <w:rPr>
        <w:rFonts w:ascii="Calibri" w:hAnsi="Calibri"/>
        <w:color w:val="969696"/>
        <w:sz w:val="16"/>
        <w:szCs w:val="16"/>
      </w:rPr>
      <w:fldChar w:fldCharType="begin"/>
    </w:r>
    <w:r w:rsidR="00285FB3" w:rsidRPr="00285FB3">
      <w:rPr>
        <w:rFonts w:ascii="Calibri" w:hAnsi="Calibri"/>
        <w:color w:val="969696"/>
        <w:sz w:val="16"/>
        <w:szCs w:val="16"/>
      </w:rPr>
      <w:instrText xml:space="preserve"> PAGE   \* MERGEFORMAT </w:instrText>
    </w:r>
    <w:r w:rsidR="00285FB3" w:rsidRPr="00285FB3">
      <w:rPr>
        <w:rFonts w:ascii="Calibri" w:hAnsi="Calibri"/>
        <w:color w:val="969696"/>
        <w:sz w:val="16"/>
        <w:szCs w:val="16"/>
      </w:rPr>
      <w:fldChar w:fldCharType="separate"/>
    </w:r>
    <w:r w:rsidR="00285FB3" w:rsidRPr="00285FB3">
      <w:rPr>
        <w:rFonts w:ascii="Calibri" w:hAnsi="Calibri"/>
        <w:noProof/>
        <w:color w:val="969696"/>
        <w:sz w:val="16"/>
        <w:szCs w:val="16"/>
      </w:rPr>
      <w:t>1</w:t>
    </w:r>
    <w:r w:rsidR="00285FB3" w:rsidRPr="00285FB3">
      <w:rPr>
        <w:rFonts w:ascii="Calibri" w:hAnsi="Calibri"/>
        <w:noProof/>
        <w:color w:val="969696"/>
        <w:sz w:val="16"/>
        <w:szCs w:val="16"/>
      </w:rPr>
      <w:fldChar w:fldCharType="end"/>
    </w:r>
    <w:r w:rsidRPr="00490706">
      <w:rPr>
        <w:rFonts w:ascii="Calibri" w:hAnsi="Calibri"/>
        <w:color w:val="969696"/>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9066E" w14:textId="77777777" w:rsidR="00285FB3" w:rsidRDefault="00285FB3" w:rsidP="00285FB3">
    <w:pPr>
      <w:pStyle w:val="Footer"/>
      <w:rPr>
        <w:rFonts w:ascii="Calibri" w:hAnsi="Calibri"/>
        <w:color w:val="969696"/>
        <w:sz w:val="16"/>
        <w:szCs w:val="16"/>
      </w:rPr>
    </w:pPr>
  </w:p>
  <w:p w14:paraId="6C2604EA" w14:textId="7B8649A9" w:rsidR="00285FB3" w:rsidRPr="00285FB3" w:rsidRDefault="00285FB3" w:rsidP="00285FB3">
    <w:pPr>
      <w:pStyle w:val="Footer"/>
    </w:pPr>
    <w:r w:rsidRPr="00490706">
      <w:rPr>
        <w:rFonts w:ascii="Calibri" w:hAnsi="Calibri"/>
        <w:color w:val="969696"/>
        <w:sz w:val="16"/>
        <w:szCs w:val="16"/>
      </w:rPr>
      <w:tab/>
    </w:r>
    <w:r w:rsidRPr="00490706">
      <w:rPr>
        <w:rFonts w:ascii="Calibri" w:hAnsi="Calibri"/>
        <w:color w:val="969696"/>
        <w:sz w:val="16"/>
        <w:szCs w:val="16"/>
      </w:rPr>
      <w:tab/>
    </w:r>
    <w:r>
      <w:rPr>
        <w:rFonts w:ascii="Calibri" w:hAnsi="Calibri"/>
        <w:color w:val="969696"/>
        <w:sz w:val="16"/>
        <w:szCs w:val="16"/>
      </w:rPr>
      <w:tab/>
    </w:r>
    <w:r>
      <w:rPr>
        <w:rFonts w:ascii="Calibri" w:hAnsi="Calibri"/>
        <w:color w:val="969696"/>
        <w:sz w:val="16"/>
        <w:szCs w:val="16"/>
      </w:rPr>
      <w:tab/>
      <w:t xml:space="preserve">Page </w:t>
    </w:r>
    <w:r w:rsidRPr="00285FB3">
      <w:rPr>
        <w:rFonts w:ascii="Calibri" w:hAnsi="Calibri"/>
        <w:color w:val="969696"/>
        <w:sz w:val="16"/>
        <w:szCs w:val="16"/>
      </w:rPr>
      <w:fldChar w:fldCharType="begin"/>
    </w:r>
    <w:r w:rsidRPr="00285FB3">
      <w:rPr>
        <w:rFonts w:ascii="Calibri" w:hAnsi="Calibri"/>
        <w:color w:val="969696"/>
        <w:sz w:val="16"/>
        <w:szCs w:val="16"/>
      </w:rPr>
      <w:instrText xml:space="preserve"> PAGE   \* MERGEFORMAT </w:instrText>
    </w:r>
    <w:r w:rsidRPr="00285FB3">
      <w:rPr>
        <w:rFonts w:ascii="Calibri" w:hAnsi="Calibri"/>
        <w:color w:val="969696"/>
        <w:sz w:val="16"/>
        <w:szCs w:val="16"/>
      </w:rPr>
      <w:fldChar w:fldCharType="separate"/>
    </w:r>
    <w:r>
      <w:rPr>
        <w:rFonts w:ascii="Calibri" w:hAnsi="Calibri"/>
        <w:color w:val="969696"/>
        <w:sz w:val="16"/>
        <w:szCs w:val="16"/>
      </w:rPr>
      <w:t>ii</w:t>
    </w:r>
    <w:r w:rsidRPr="00285FB3">
      <w:rPr>
        <w:rFonts w:ascii="Calibri" w:hAnsi="Calibri"/>
        <w:noProof/>
        <w:color w:val="969696"/>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0B8F0" w14:textId="77777777" w:rsidR="00285FB3" w:rsidRDefault="00285FB3" w:rsidP="00285FB3">
    <w:pPr>
      <w:pStyle w:val="Footer"/>
      <w:rPr>
        <w:rFonts w:ascii="Calibri" w:hAnsi="Calibri"/>
        <w:color w:val="969696"/>
        <w:sz w:val="16"/>
        <w:szCs w:val="16"/>
      </w:rPr>
    </w:pPr>
  </w:p>
  <w:p w14:paraId="0B2B7A2A" w14:textId="54D2C9F0" w:rsidR="00422BC8" w:rsidRPr="00285FB3" w:rsidRDefault="00285FB3" w:rsidP="00285FB3">
    <w:pPr>
      <w:pStyle w:val="Footer"/>
      <w:rPr>
        <w:rFonts w:ascii="Calibri" w:hAnsi="Calibri"/>
        <w:color w:val="969696"/>
        <w:sz w:val="16"/>
        <w:szCs w:val="16"/>
      </w:rPr>
    </w:pPr>
    <w:r w:rsidRPr="00490706">
      <w:rPr>
        <w:rFonts w:ascii="Calibri" w:hAnsi="Calibri"/>
        <w:color w:val="969696"/>
        <w:sz w:val="16"/>
        <w:szCs w:val="16"/>
      </w:rPr>
      <w:tab/>
    </w:r>
    <w:r w:rsidRPr="00490706">
      <w:rPr>
        <w:rFonts w:ascii="Calibri" w:hAnsi="Calibri"/>
        <w:color w:val="969696"/>
        <w:sz w:val="16"/>
        <w:szCs w:val="16"/>
      </w:rPr>
      <w:tab/>
    </w:r>
    <w:r>
      <w:rPr>
        <w:rFonts w:ascii="Calibri" w:hAnsi="Calibri"/>
        <w:color w:val="969696"/>
        <w:sz w:val="16"/>
        <w:szCs w:val="16"/>
      </w:rPr>
      <w:tab/>
    </w:r>
    <w:r>
      <w:rPr>
        <w:rFonts w:ascii="Calibri" w:hAnsi="Calibri"/>
        <w:color w:val="969696"/>
        <w:sz w:val="16"/>
        <w:szCs w:val="16"/>
      </w:rPr>
      <w:tab/>
      <w:t xml:space="preserve">Page </w:t>
    </w:r>
    <w:r w:rsidRPr="00285FB3">
      <w:rPr>
        <w:rFonts w:ascii="Calibri" w:hAnsi="Calibri"/>
        <w:color w:val="969696"/>
        <w:sz w:val="16"/>
        <w:szCs w:val="16"/>
      </w:rPr>
      <w:fldChar w:fldCharType="begin"/>
    </w:r>
    <w:r w:rsidRPr="00285FB3">
      <w:rPr>
        <w:rFonts w:ascii="Calibri" w:hAnsi="Calibri"/>
        <w:color w:val="969696"/>
        <w:sz w:val="16"/>
        <w:szCs w:val="16"/>
      </w:rPr>
      <w:instrText xml:space="preserve"> PAGE   \* MERGEFORMAT </w:instrText>
    </w:r>
    <w:r w:rsidRPr="00285FB3">
      <w:rPr>
        <w:rFonts w:ascii="Calibri" w:hAnsi="Calibri"/>
        <w:color w:val="969696"/>
        <w:sz w:val="16"/>
        <w:szCs w:val="16"/>
      </w:rPr>
      <w:fldChar w:fldCharType="separate"/>
    </w:r>
    <w:r>
      <w:rPr>
        <w:rFonts w:ascii="Calibri" w:hAnsi="Calibri"/>
        <w:color w:val="969696"/>
        <w:sz w:val="16"/>
        <w:szCs w:val="16"/>
      </w:rPr>
      <w:t>ii</w:t>
    </w:r>
    <w:r w:rsidRPr="00285FB3">
      <w:rPr>
        <w:rFonts w:ascii="Calibri" w:hAnsi="Calibri"/>
        <w:noProof/>
        <w:color w:val="969696"/>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93D6E" w14:textId="77777777" w:rsidR="00285FB3" w:rsidRDefault="00285FB3" w:rsidP="00285FB3">
    <w:pPr>
      <w:pStyle w:val="Footer"/>
      <w:rPr>
        <w:rFonts w:ascii="Calibri" w:hAnsi="Calibri"/>
        <w:color w:val="969696"/>
        <w:sz w:val="16"/>
        <w:szCs w:val="16"/>
      </w:rPr>
    </w:pPr>
  </w:p>
  <w:p w14:paraId="269E19EF" w14:textId="05040146" w:rsidR="00285FB3" w:rsidRPr="00285FB3" w:rsidRDefault="00285FB3" w:rsidP="00285FB3">
    <w:pPr>
      <w:pStyle w:val="Footer"/>
    </w:pPr>
    <w:r w:rsidRPr="00490706">
      <w:rPr>
        <w:rFonts w:ascii="Calibri" w:hAnsi="Calibri"/>
        <w:color w:val="969696"/>
        <w:sz w:val="16"/>
        <w:szCs w:val="16"/>
      </w:rPr>
      <w:tab/>
    </w:r>
    <w:r w:rsidRPr="00490706">
      <w:rPr>
        <w:rFonts w:ascii="Calibri" w:hAnsi="Calibri"/>
        <w:color w:val="969696"/>
        <w:sz w:val="16"/>
        <w:szCs w:val="16"/>
      </w:rPr>
      <w:tab/>
    </w:r>
    <w:r>
      <w:rPr>
        <w:rFonts w:ascii="Calibri" w:hAnsi="Calibri"/>
        <w:color w:val="969696"/>
        <w:sz w:val="16"/>
        <w:szCs w:val="16"/>
      </w:rPr>
      <w:tab/>
    </w:r>
    <w:r>
      <w:rPr>
        <w:rFonts w:ascii="Calibri" w:hAnsi="Calibri"/>
        <w:color w:val="969696"/>
        <w:sz w:val="16"/>
        <w:szCs w:val="16"/>
      </w:rPr>
      <w:tab/>
      <w:t xml:space="preserve">Page </w:t>
    </w:r>
    <w:r w:rsidRPr="00285FB3">
      <w:rPr>
        <w:rFonts w:ascii="Calibri" w:hAnsi="Calibri"/>
        <w:color w:val="969696"/>
        <w:sz w:val="16"/>
        <w:szCs w:val="16"/>
      </w:rPr>
      <w:fldChar w:fldCharType="begin"/>
    </w:r>
    <w:r w:rsidRPr="00285FB3">
      <w:rPr>
        <w:rFonts w:ascii="Calibri" w:hAnsi="Calibri"/>
        <w:color w:val="969696"/>
        <w:sz w:val="16"/>
        <w:szCs w:val="16"/>
      </w:rPr>
      <w:instrText xml:space="preserve"> PAGE   \* MERGEFORMAT </w:instrText>
    </w:r>
    <w:r w:rsidRPr="00285FB3">
      <w:rPr>
        <w:rFonts w:ascii="Calibri" w:hAnsi="Calibri"/>
        <w:color w:val="969696"/>
        <w:sz w:val="16"/>
        <w:szCs w:val="16"/>
      </w:rPr>
      <w:fldChar w:fldCharType="separate"/>
    </w:r>
    <w:r>
      <w:rPr>
        <w:rFonts w:ascii="Calibri" w:hAnsi="Calibri"/>
        <w:color w:val="969696"/>
        <w:sz w:val="16"/>
        <w:szCs w:val="16"/>
      </w:rPr>
      <w:t>ii</w:t>
    </w:r>
    <w:r w:rsidRPr="00285FB3">
      <w:rPr>
        <w:rFonts w:ascii="Calibri" w:hAnsi="Calibri"/>
        <w:noProof/>
        <w:color w:val="969696"/>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197AF" w14:textId="77777777" w:rsidR="00285FB3" w:rsidRDefault="00285FB3" w:rsidP="00285FB3">
    <w:pPr>
      <w:pStyle w:val="Footer"/>
      <w:rPr>
        <w:rFonts w:ascii="Calibri" w:hAnsi="Calibri"/>
        <w:color w:val="969696"/>
        <w:sz w:val="16"/>
        <w:szCs w:val="16"/>
      </w:rPr>
    </w:pPr>
  </w:p>
  <w:p w14:paraId="30EFB8B8" w14:textId="2FD7CDEE" w:rsidR="00285FB3" w:rsidRPr="00285FB3" w:rsidRDefault="00285FB3" w:rsidP="00285FB3">
    <w:pPr>
      <w:pStyle w:val="Footer"/>
    </w:pPr>
    <w:r w:rsidRPr="00490706">
      <w:rPr>
        <w:rFonts w:ascii="Calibri" w:hAnsi="Calibri"/>
        <w:color w:val="969696"/>
        <w:sz w:val="16"/>
        <w:szCs w:val="16"/>
      </w:rPr>
      <w:tab/>
    </w:r>
    <w:r w:rsidRPr="00490706">
      <w:rPr>
        <w:rFonts w:ascii="Calibri" w:hAnsi="Calibri"/>
        <w:color w:val="969696"/>
        <w:sz w:val="16"/>
        <w:szCs w:val="16"/>
      </w:rPr>
      <w:tab/>
    </w:r>
    <w:r>
      <w:rPr>
        <w:rFonts w:ascii="Calibri" w:hAnsi="Calibri"/>
        <w:color w:val="969696"/>
        <w:sz w:val="16"/>
        <w:szCs w:val="16"/>
      </w:rPr>
      <w:tab/>
    </w:r>
    <w:r>
      <w:rPr>
        <w:rFonts w:ascii="Calibri" w:hAnsi="Calibri"/>
        <w:color w:val="969696"/>
        <w:sz w:val="16"/>
        <w:szCs w:val="16"/>
      </w:rPr>
      <w:tab/>
      <w:t xml:space="preserve">Page </w:t>
    </w:r>
    <w:r w:rsidRPr="00285FB3">
      <w:rPr>
        <w:rFonts w:ascii="Calibri" w:hAnsi="Calibri"/>
        <w:color w:val="969696"/>
        <w:sz w:val="16"/>
        <w:szCs w:val="16"/>
      </w:rPr>
      <w:fldChar w:fldCharType="begin"/>
    </w:r>
    <w:r w:rsidRPr="00285FB3">
      <w:rPr>
        <w:rFonts w:ascii="Calibri" w:hAnsi="Calibri"/>
        <w:color w:val="969696"/>
        <w:sz w:val="16"/>
        <w:szCs w:val="16"/>
      </w:rPr>
      <w:instrText xml:space="preserve"> PAGE   \* MERGEFORMAT </w:instrText>
    </w:r>
    <w:r w:rsidRPr="00285FB3">
      <w:rPr>
        <w:rFonts w:ascii="Calibri" w:hAnsi="Calibri"/>
        <w:color w:val="969696"/>
        <w:sz w:val="16"/>
        <w:szCs w:val="16"/>
      </w:rPr>
      <w:fldChar w:fldCharType="separate"/>
    </w:r>
    <w:r>
      <w:rPr>
        <w:rFonts w:ascii="Calibri" w:hAnsi="Calibri"/>
        <w:color w:val="969696"/>
        <w:sz w:val="16"/>
        <w:szCs w:val="16"/>
      </w:rPr>
      <w:t>ii</w:t>
    </w:r>
    <w:r w:rsidRPr="00285FB3">
      <w:rPr>
        <w:rFonts w:ascii="Calibri" w:hAnsi="Calibri"/>
        <w:noProof/>
        <w:color w:val="96969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3F24A" w14:textId="77777777" w:rsidR="006967A2" w:rsidRDefault="006967A2">
      <w:r>
        <w:separator/>
      </w:r>
    </w:p>
  </w:footnote>
  <w:footnote w:type="continuationSeparator" w:id="0">
    <w:p w14:paraId="71CE28C7" w14:textId="77777777" w:rsidR="006967A2" w:rsidRDefault="006967A2">
      <w:pPr>
        <w:spacing w:line="180" w:lineRule="exact"/>
        <w:rPr>
          <w:sz w:val="16"/>
        </w:rPr>
      </w:pPr>
      <w:r>
        <w:rPr>
          <w:sz w:val="16"/>
        </w:rPr>
        <w:continuationSeparator/>
      </w:r>
    </w:p>
    <w:p w14:paraId="0CFF43F2" w14:textId="77777777" w:rsidR="006967A2" w:rsidRDefault="006967A2"/>
    <w:p w14:paraId="37DE52E3" w14:textId="77777777" w:rsidR="006967A2" w:rsidRDefault="006967A2"/>
  </w:footnote>
  <w:footnote w:type="continuationNotice" w:id="1">
    <w:p w14:paraId="1C5CBED5" w14:textId="77777777" w:rsidR="006967A2" w:rsidRDefault="006967A2"/>
    <w:p w14:paraId="2D11AFB9" w14:textId="77777777" w:rsidR="006967A2" w:rsidRDefault="006967A2"/>
    <w:p w14:paraId="1A8F047B" w14:textId="77777777" w:rsidR="006967A2" w:rsidRDefault="00696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82FE6" w14:textId="260DDD8D" w:rsidR="00422BC8" w:rsidRPr="00A9336B" w:rsidRDefault="00285FB3" w:rsidP="00285FB3">
    <w:pPr>
      <w:pStyle w:val="Header"/>
      <w:ind w:left="-284"/>
      <w:jc w:val="right"/>
    </w:pPr>
    <w:r>
      <w:t>GMP Audit Procedure</w:t>
    </w:r>
    <w:r w:rsidR="00CF0C19">
      <w:t>: Draft for Public Comment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E5AEE" w14:textId="242E5813" w:rsidR="00422BC8" w:rsidRPr="00285FB3" w:rsidRDefault="00285FB3" w:rsidP="00285FB3">
    <w:pPr>
      <w:pStyle w:val="Header"/>
      <w:ind w:left="-284"/>
      <w:jc w:val="right"/>
    </w:pPr>
    <w:r>
      <w:t>GMP Audit Procedure</w:t>
    </w:r>
    <w:r w:rsidR="00CF0C19">
      <w:t>: Draft for Public Comment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F324B" w14:textId="5311E687" w:rsidR="00422BC8" w:rsidRPr="00285FB3" w:rsidRDefault="00285FB3" w:rsidP="00285FB3">
    <w:pPr>
      <w:pStyle w:val="Header"/>
      <w:ind w:left="-284"/>
      <w:jc w:val="right"/>
    </w:pPr>
    <w:r>
      <w:t>GMP Audit Procedure</w:t>
    </w:r>
    <w:r w:rsidR="00CF0C19">
      <w:t>: Draft for Public Comment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E8538" w14:textId="20F59AEF" w:rsidR="00285FB3" w:rsidRPr="00A9336B" w:rsidRDefault="00285FB3" w:rsidP="00285FB3">
    <w:pPr>
      <w:pStyle w:val="Header"/>
      <w:ind w:left="-284"/>
      <w:jc w:val="right"/>
    </w:pPr>
    <w:r>
      <w:t>GMP Audit Procedure</w:t>
    </w:r>
    <w:r w:rsidR="00CF0C19">
      <w:t>: Draft for Public Comment</w:t>
    </w:r>
  </w:p>
  <w:p w14:paraId="6F1162C1" w14:textId="77777777" w:rsidR="00761309" w:rsidRPr="00285FB3" w:rsidRDefault="00761309" w:rsidP="00285F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2298F" w14:textId="094587FD" w:rsidR="00285FB3" w:rsidRPr="00A9336B" w:rsidRDefault="00285FB3" w:rsidP="00285FB3">
    <w:pPr>
      <w:pStyle w:val="Header"/>
      <w:ind w:left="-284"/>
      <w:jc w:val="right"/>
    </w:pPr>
    <w:r>
      <w:t>GMP Audit Procedure</w:t>
    </w:r>
    <w:r w:rsidR="00CF0C19">
      <w:t>: Draft for Public Comment</w:t>
    </w:r>
  </w:p>
  <w:p w14:paraId="57C680EB" w14:textId="2B59F905" w:rsidR="00761309" w:rsidRPr="00285FB3" w:rsidRDefault="00761309" w:rsidP="00285F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6EF50" w14:textId="4B7E9B20" w:rsidR="00285FB3" w:rsidRPr="00A9336B" w:rsidRDefault="00285FB3" w:rsidP="00285FB3">
    <w:pPr>
      <w:pStyle w:val="Header"/>
      <w:ind w:left="-284"/>
      <w:jc w:val="right"/>
    </w:pPr>
    <w:r>
      <w:t>GMP Audit Procedure</w:t>
    </w:r>
    <w:r w:rsidR="00CF0C19">
      <w:t>: Draft for Public Comment</w:t>
    </w:r>
  </w:p>
  <w:p w14:paraId="6F8A2C6A" w14:textId="35B303DE" w:rsidR="00422BC8" w:rsidRPr="00285FB3" w:rsidRDefault="00422BC8" w:rsidP="00285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9D084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BC20D1"/>
    <w:multiLevelType w:val="hybridMultilevel"/>
    <w:tmpl w:val="4A2AA24C"/>
    <w:lvl w:ilvl="0" w:tplc="BCF6C6C8">
      <w:numFmt w:val="bullet"/>
      <w:lvlText w:val="–"/>
      <w:lvlJc w:val="left"/>
      <w:pPr>
        <w:ind w:left="988" w:hanging="425"/>
      </w:pPr>
      <w:rPr>
        <w:rFonts w:ascii="Arial" w:eastAsia="Arial" w:hAnsi="Arial" w:cs="Arial" w:hint="default"/>
        <w:b w:val="0"/>
        <w:bCs w:val="0"/>
        <w:i w:val="0"/>
        <w:iCs w:val="0"/>
        <w:spacing w:val="0"/>
        <w:w w:val="100"/>
        <w:sz w:val="22"/>
        <w:szCs w:val="22"/>
        <w:lang w:val="en-US" w:eastAsia="en-US" w:bidi="ar-SA"/>
      </w:rPr>
    </w:lvl>
    <w:lvl w:ilvl="1" w:tplc="6810B8D0">
      <w:numFmt w:val="bullet"/>
      <w:lvlText w:val="•"/>
      <w:lvlJc w:val="left"/>
      <w:pPr>
        <w:ind w:left="1816" w:hanging="425"/>
      </w:pPr>
      <w:rPr>
        <w:rFonts w:hint="default"/>
        <w:lang w:val="en-US" w:eastAsia="en-US" w:bidi="ar-SA"/>
      </w:rPr>
    </w:lvl>
    <w:lvl w:ilvl="2" w:tplc="966C140E">
      <w:numFmt w:val="bullet"/>
      <w:lvlText w:val="•"/>
      <w:lvlJc w:val="left"/>
      <w:pPr>
        <w:ind w:left="2653" w:hanging="425"/>
      </w:pPr>
      <w:rPr>
        <w:rFonts w:hint="default"/>
        <w:lang w:val="en-US" w:eastAsia="en-US" w:bidi="ar-SA"/>
      </w:rPr>
    </w:lvl>
    <w:lvl w:ilvl="3" w:tplc="D8302C8C">
      <w:numFmt w:val="bullet"/>
      <w:lvlText w:val="•"/>
      <w:lvlJc w:val="left"/>
      <w:pPr>
        <w:ind w:left="3489" w:hanging="425"/>
      </w:pPr>
      <w:rPr>
        <w:rFonts w:hint="default"/>
        <w:lang w:val="en-US" w:eastAsia="en-US" w:bidi="ar-SA"/>
      </w:rPr>
    </w:lvl>
    <w:lvl w:ilvl="4" w:tplc="67A240BE">
      <w:numFmt w:val="bullet"/>
      <w:lvlText w:val="•"/>
      <w:lvlJc w:val="left"/>
      <w:pPr>
        <w:ind w:left="4326" w:hanging="425"/>
      </w:pPr>
      <w:rPr>
        <w:rFonts w:hint="default"/>
        <w:lang w:val="en-US" w:eastAsia="en-US" w:bidi="ar-SA"/>
      </w:rPr>
    </w:lvl>
    <w:lvl w:ilvl="5" w:tplc="3374337E">
      <w:numFmt w:val="bullet"/>
      <w:lvlText w:val="•"/>
      <w:lvlJc w:val="left"/>
      <w:pPr>
        <w:ind w:left="5163" w:hanging="425"/>
      </w:pPr>
      <w:rPr>
        <w:rFonts w:hint="default"/>
        <w:lang w:val="en-US" w:eastAsia="en-US" w:bidi="ar-SA"/>
      </w:rPr>
    </w:lvl>
    <w:lvl w:ilvl="6" w:tplc="E0408C44">
      <w:numFmt w:val="bullet"/>
      <w:lvlText w:val="•"/>
      <w:lvlJc w:val="left"/>
      <w:pPr>
        <w:ind w:left="5999" w:hanging="425"/>
      </w:pPr>
      <w:rPr>
        <w:rFonts w:hint="default"/>
        <w:lang w:val="en-US" w:eastAsia="en-US" w:bidi="ar-SA"/>
      </w:rPr>
    </w:lvl>
    <w:lvl w:ilvl="7" w:tplc="AA48FF20">
      <w:numFmt w:val="bullet"/>
      <w:lvlText w:val="•"/>
      <w:lvlJc w:val="left"/>
      <w:pPr>
        <w:ind w:left="6836" w:hanging="425"/>
      </w:pPr>
      <w:rPr>
        <w:rFonts w:hint="default"/>
        <w:lang w:val="en-US" w:eastAsia="en-US" w:bidi="ar-SA"/>
      </w:rPr>
    </w:lvl>
    <w:lvl w:ilvl="8" w:tplc="39365C54">
      <w:numFmt w:val="bullet"/>
      <w:lvlText w:val="•"/>
      <w:lvlJc w:val="left"/>
      <w:pPr>
        <w:ind w:left="7673" w:hanging="425"/>
      </w:pPr>
      <w:rPr>
        <w:rFonts w:hint="default"/>
        <w:lang w:val="en-US" w:eastAsia="en-US" w:bidi="ar-SA"/>
      </w:rPr>
    </w:lvl>
  </w:abstractNum>
  <w:abstractNum w:abstractNumId="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C57AB6"/>
    <w:multiLevelType w:val="hybridMultilevel"/>
    <w:tmpl w:val="F524ECDE"/>
    <w:lvl w:ilvl="0" w:tplc="FFFFFFFF">
      <w:start w:val="1"/>
      <w:numFmt w:val="bullet"/>
      <w:lvlText w:val=""/>
      <w:lvlJc w:val="left"/>
      <w:pPr>
        <w:ind w:left="720" w:hanging="360"/>
      </w:pPr>
      <w:rPr>
        <w:rFonts w:ascii="Symbol" w:hAnsi="Symbol" w:hint="default"/>
        <w:b w:val="0"/>
        <w:i w:val="0"/>
        <w:caps w:val="0"/>
        <w:strike w:val="0"/>
        <w:dstrike w:val="0"/>
        <w:vanish w:val="0"/>
        <w:color w:val="53284F"/>
        <w:sz w:val="20"/>
        <w:szCs w:val="18"/>
        <w:vertAlign w:val="baseline"/>
      </w:rPr>
    </w:lvl>
    <w:lvl w:ilvl="1" w:tplc="45E282B0">
      <w:start w:val="1"/>
      <w:numFmt w:val="bullet"/>
      <w:lvlText w:val="­"/>
      <w:lvlJc w:val="left"/>
      <w:pPr>
        <w:ind w:left="144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E92272"/>
    <w:multiLevelType w:val="hybridMultilevel"/>
    <w:tmpl w:val="6508746C"/>
    <w:lvl w:ilvl="0" w:tplc="B55C2E20">
      <w:numFmt w:val="bullet"/>
      <w:lvlText w:val="•"/>
      <w:lvlJc w:val="left"/>
      <w:pPr>
        <w:ind w:left="498" w:hanging="360"/>
      </w:pPr>
      <w:rPr>
        <w:rFonts w:ascii="Cambria" w:eastAsia="Cambria" w:hAnsi="Cambria" w:cs="Cambria" w:hint="default"/>
        <w:b w:val="0"/>
        <w:bCs w:val="0"/>
        <w:i w:val="0"/>
        <w:iCs w:val="0"/>
        <w:spacing w:val="0"/>
        <w:w w:val="100"/>
        <w:sz w:val="22"/>
        <w:szCs w:val="22"/>
        <w:lang w:val="en-US" w:eastAsia="en-US" w:bidi="ar-SA"/>
      </w:rPr>
    </w:lvl>
    <w:lvl w:ilvl="1" w:tplc="E10C1B22">
      <w:numFmt w:val="bullet"/>
      <w:lvlText w:val=""/>
      <w:lvlJc w:val="left"/>
      <w:pPr>
        <w:ind w:left="858" w:hanging="360"/>
      </w:pPr>
      <w:rPr>
        <w:rFonts w:ascii="Symbol" w:eastAsia="Symbol" w:hAnsi="Symbol" w:cs="Symbol" w:hint="default"/>
        <w:b w:val="0"/>
        <w:bCs w:val="0"/>
        <w:i w:val="0"/>
        <w:iCs w:val="0"/>
        <w:spacing w:val="0"/>
        <w:w w:val="100"/>
        <w:sz w:val="22"/>
        <w:szCs w:val="22"/>
        <w:lang w:val="en-US" w:eastAsia="en-US" w:bidi="ar-SA"/>
      </w:rPr>
    </w:lvl>
    <w:lvl w:ilvl="2" w:tplc="6174FBEE">
      <w:numFmt w:val="bullet"/>
      <w:lvlText w:val="•"/>
      <w:lvlJc w:val="left"/>
      <w:pPr>
        <w:ind w:left="1802" w:hanging="360"/>
      </w:pPr>
      <w:rPr>
        <w:rFonts w:hint="default"/>
        <w:lang w:val="en-US" w:eastAsia="en-US" w:bidi="ar-SA"/>
      </w:rPr>
    </w:lvl>
    <w:lvl w:ilvl="3" w:tplc="7D34D4D2">
      <w:numFmt w:val="bullet"/>
      <w:lvlText w:val="•"/>
      <w:lvlJc w:val="left"/>
      <w:pPr>
        <w:ind w:left="2745" w:hanging="360"/>
      </w:pPr>
      <w:rPr>
        <w:rFonts w:hint="default"/>
        <w:lang w:val="en-US" w:eastAsia="en-US" w:bidi="ar-SA"/>
      </w:rPr>
    </w:lvl>
    <w:lvl w:ilvl="4" w:tplc="0624ED24">
      <w:numFmt w:val="bullet"/>
      <w:lvlText w:val="•"/>
      <w:lvlJc w:val="left"/>
      <w:pPr>
        <w:ind w:left="3688" w:hanging="360"/>
      </w:pPr>
      <w:rPr>
        <w:rFonts w:hint="default"/>
        <w:lang w:val="en-US" w:eastAsia="en-US" w:bidi="ar-SA"/>
      </w:rPr>
    </w:lvl>
    <w:lvl w:ilvl="5" w:tplc="3B209C82">
      <w:numFmt w:val="bullet"/>
      <w:lvlText w:val="•"/>
      <w:lvlJc w:val="left"/>
      <w:pPr>
        <w:ind w:left="4631" w:hanging="360"/>
      </w:pPr>
      <w:rPr>
        <w:rFonts w:hint="default"/>
        <w:lang w:val="en-US" w:eastAsia="en-US" w:bidi="ar-SA"/>
      </w:rPr>
    </w:lvl>
    <w:lvl w:ilvl="6" w:tplc="A8322B92">
      <w:numFmt w:val="bullet"/>
      <w:lvlText w:val="•"/>
      <w:lvlJc w:val="left"/>
      <w:pPr>
        <w:ind w:left="5574" w:hanging="360"/>
      </w:pPr>
      <w:rPr>
        <w:rFonts w:hint="default"/>
        <w:lang w:val="en-US" w:eastAsia="en-US" w:bidi="ar-SA"/>
      </w:rPr>
    </w:lvl>
    <w:lvl w:ilvl="7" w:tplc="DE18D18C">
      <w:numFmt w:val="bullet"/>
      <w:lvlText w:val="•"/>
      <w:lvlJc w:val="left"/>
      <w:pPr>
        <w:ind w:left="6517" w:hanging="360"/>
      </w:pPr>
      <w:rPr>
        <w:rFonts w:hint="default"/>
        <w:lang w:val="en-US" w:eastAsia="en-US" w:bidi="ar-SA"/>
      </w:rPr>
    </w:lvl>
    <w:lvl w:ilvl="8" w:tplc="77161E82">
      <w:numFmt w:val="bullet"/>
      <w:lvlText w:val="•"/>
      <w:lvlJc w:val="left"/>
      <w:pPr>
        <w:ind w:left="7460" w:hanging="360"/>
      </w:pPr>
      <w:rPr>
        <w:rFonts w:hint="default"/>
        <w:lang w:val="en-US" w:eastAsia="en-US" w:bidi="ar-SA"/>
      </w:rPr>
    </w:lvl>
  </w:abstractNum>
  <w:abstractNum w:abstractNumId="6" w15:restartNumberingAfterBreak="0">
    <w:nsid w:val="21FC6F20"/>
    <w:multiLevelType w:val="hybridMultilevel"/>
    <w:tmpl w:val="71A64F24"/>
    <w:lvl w:ilvl="0" w:tplc="0C090017">
      <w:start w:val="1"/>
      <w:numFmt w:val="lowerLetter"/>
      <w:lvlText w:val="%1)"/>
      <w:lvlJc w:val="left"/>
      <w:pPr>
        <w:ind w:left="360" w:hanging="360"/>
      </w:pPr>
    </w:lvl>
    <w:lvl w:ilvl="1" w:tplc="B0DEC2A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EDD0148"/>
    <w:multiLevelType w:val="hybridMultilevel"/>
    <w:tmpl w:val="AC1A0A1A"/>
    <w:lvl w:ilvl="0" w:tplc="E638B3A8">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750699"/>
    <w:multiLevelType w:val="hybridMultilevel"/>
    <w:tmpl w:val="E64A3B16"/>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2B3FAC"/>
    <w:multiLevelType w:val="hybridMultilevel"/>
    <w:tmpl w:val="D7CA1D64"/>
    <w:lvl w:ilvl="0" w:tplc="E53A8AD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8653CA"/>
    <w:multiLevelType w:val="hybridMultilevel"/>
    <w:tmpl w:val="8850E64C"/>
    <w:lvl w:ilvl="0" w:tplc="E638B3A8">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C5753"/>
    <w:multiLevelType w:val="hybridMultilevel"/>
    <w:tmpl w:val="C8C6DA08"/>
    <w:lvl w:ilvl="0" w:tplc="04090003">
      <w:start w:val="1"/>
      <w:numFmt w:val="bullet"/>
      <w:lvlText w:val="o"/>
      <w:lvlJc w:val="left"/>
      <w:pPr>
        <w:ind w:left="700" w:hanging="360"/>
      </w:pPr>
      <w:rPr>
        <w:rFonts w:ascii="Courier New" w:hAnsi="Courier New" w:cs="Courier New" w:hint="default"/>
        <w:b w:val="0"/>
        <w:i w:val="0"/>
        <w:caps w:val="0"/>
        <w:strike w:val="0"/>
        <w:dstrike w:val="0"/>
        <w:vanish w:val="0"/>
        <w:color w:val="53284F"/>
        <w:sz w:val="20"/>
        <w:szCs w:val="18"/>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12141E"/>
    <w:multiLevelType w:val="multilevel"/>
    <w:tmpl w:val="BB588D66"/>
    <w:lvl w:ilvl="0">
      <w:start w:val="1"/>
      <w:numFmt w:val="decimal"/>
      <w:pStyle w:val="Heading1"/>
      <w:lvlText w:val="%1"/>
      <w:lvlJc w:val="left"/>
      <w:pPr>
        <w:ind w:left="6598" w:hanging="360"/>
      </w:pPr>
      <w:rPr>
        <w:rFonts w:hint="default"/>
        <w:b w:val="0"/>
        <w:i w:val="0"/>
        <w:color w:val="53284F"/>
        <w:sz w:val="32"/>
        <w:szCs w:val="28"/>
      </w:rPr>
    </w:lvl>
    <w:lvl w:ilvl="1">
      <w:start w:val="1"/>
      <w:numFmt w:val="decimal"/>
      <w:pStyle w:val="Heading2"/>
      <w:lvlText w:val="%1.%2"/>
      <w:lvlJc w:val="left"/>
      <w:rPr>
        <w:b w:val="0"/>
        <w:bCs w:val="0"/>
        <w:i w:val="0"/>
        <w:iCs w:val="0"/>
        <w:caps w:val="0"/>
        <w:smallCaps w:val="0"/>
        <w:strike w:val="0"/>
        <w:dstrike w:val="0"/>
        <w:noProof w:val="0"/>
        <w:vanish w:val="0"/>
        <w:color w:val="53284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141"/>
        </w:tabs>
        <w:ind w:left="141" w:firstLine="0"/>
      </w:pPr>
      <w:rPr>
        <w:rFonts w:hint="default"/>
        <w:sz w:val="20"/>
      </w:rPr>
    </w:lvl>
    <w:lvl w:ilvl="3">
      <w:start w:val="1"/>
      <w:numFmt w:val="none"/>
      <w:lvlRestart w:val="0"/>
      <w:lvlText w:val=""/>
      <w:lvlJc w:val="left"/>
      <w:pPr>
        <w:tabs>
          <w:tab w:val="num" w:pos="141"/>
        </w:tabs>
        <w:ind w:left="141" w:firstLine="0"/>
      </w:pPr>
      <w:rPr>
        <w:rFonts w:hint="default"/>
      </w:rPr>
    </w:lvl>
    <w:lvl w:ilvl="4">
      <w:start w:val="1"/>
      <w:numFmt w:val="none"/>
      <w:lvlRestart w:val="0"/>
      <w:lvlText w:val=""/>
      <w:lvlJc w:val="left"/>
      <w:pPr>
        <w:tabs>
          <w:tab w:val="num" w:pos="141"/>
        </w:tabs>
        <w:ind w:left="141" w:firstLine="0"/>
      </w:pPr>
      <w:rPr>
        <w:rFonts w:hint="default"/>
      </w:rPr>
    </w:lvl>
    <w:lvl w:ilvl="5">
      <w:start w:val="1"/>
      <w:numFmt w:val="none"/>
      <w:lvlRestart w:val="0"/>
      <w:lvlText w:val=""/>
      <w:lvlJc w:val="left"/>
      <w:pPr>
        <w:tabs>
          <w:tab w:val="num" w:pos="2125"/>
        </w:tabs>
        <w:ind w:left="2125" w:hanging="425"/>
      </w:pPr>
      <w:rPr>
        <w:rFonts w:hint="default"/>
      </w:rPr>
    </w:lvl>
    <w:lvl w:ilvl="6">
      <w:start w:val="1"/>
      <w:numFmt w:val="none"/>
      <w:lvlText w:val="%7%5"/>
      <w:lvlJc w:val="left"/>
      <w:pPr>
        <w:tabs>
          <w:tab w:val="num" w:pos="2125"/>
        </w:tabs>
        <w:ind w:left="2125" w:hanging="425"/>
      </w:pPr>
      <w:rPr>
        <w:rFonts w:hint="default"/>
      </w:rPr>
    </w:lvl>
    <w:lvl w:ilvl="7">
      <w:start w:val="1"/>
      <w:numFmt w:val="none"/>
      <w:lvlText w:val="%8%5"/>
      <w:lvlJc w:val="left"/>
      <w:pPr>
        <w:tabs>
          <w:tab w:val="num" w:pos="2125"/>
        </w:tabs>
        <w:ind w:left="2125" w:hanging="425"/>
      </w:pPr>
      <w:rPr>
        <w:rFonts w:hint="default"/>
      </w:rPr>
    </w:lvl>
    <w:lvl w:ilvl="8">
      <w:start w:val="1"/>
      <w:numFmt w:val="none"/>
      <w:lvlText w:val="%9%5"/>
      <w:lvlJc w:val="left"/>
      <w:pPr>
        <w:tabs>
          <w:tab w:val="num" w:pos="2125"/>
        </w:tabs>
        <w:ind w:left="2125" w:hanging="425"/>
      </w:pPr>
      <w:rPr>
        <w:rFonts w:hint="default"/>
      </w:rPr>
    </w:lvl>
  </w:abstractNum>
  <w:abstractNum w:abstractNumId="15" w15:restartNumberingAfterBreak="0">
    <w:nsid w:val="62610219"/>
    <w:multiLevelType w:val="hybridMultilevel"/>
    <w:tmpl w:val="BD2A85BE"/>
    <w:lvl w:ilvl="0" w:tplc="FFFFFFFF">
      <w:start w:val="1"/>
      <w:numFmt w:val="bullet"/>
      <w:lvlText w:val=""/>
      <w:lvlJc w:val="left"/>
      <w:pPr>
        <w:ind w:left="720" w:hanging="360"/>
      </w:pPr>
      <w:rPr>
        <w:rFonts w:ascii="Symbol" w:hAnsi="Symbol" w:hint="default"/>
      </w:rPr>
    </w:lvl>
    <w:lvl w:ilvl="1" w:tplc="45E282B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8944F44"/>
    <w:multiLevelType w:val="hybridMultilevel"/>
    <w:tmpl w:val="4FA01EF2"/>
    <w:lvl w:ilvl="0" w:tplc="96640990">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7C661E"/>
    <w:multiLevelType w:val="hybridMultilevel"/>
    <w:tmpl w:val="0CD815AC"/>
    <w:lvl w:ilvl="0" w:tplc="4CC8E80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22B2D9B"/>
    <w:multiLevelType w:val="hybridMultilevel"/>
    <w:tmpl w:val="85626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180583"/>
    <w:multiLevelType w:val="hybridMultilevel"/>
    <w:tmpl w:val="98987B80"/>
    <w:lvl w:ilvl="0" w:tplc="374A5DF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5037879">
    <w:abstractNumId w:val="8"/>
  </w:num>
  <w:num w:numId="2" w16cid:durableId="1922181261">
    <w:abstractNumId w:val="14"/>
  </w:num>
  <w:num w:numId="3" w16cid:durableId="1432706403">
    <w:abstractNumId w:val="9"/>
  </w:num>
  <w:num w:numId="4" w16cid:durableId="1460416082">
    <w:abstractNumId w:val="1"/>
  </w:num>
  <w:num w:numId="5" w16cid:durableId="958756547">
    <w:abstractNumId w:val="3"/>
  </w:num>
  <w:num w:numId="6" w16cid:durableId="1875775775">
    <w:abstractNumId w:val="12"/>
  </w:num>
  <w:num w:numId="7" w16cid:durableId="795562522">
    <w:abstractNumId w:val="13"/>
  </w:num>
  <w:num w:numId="8" w16cid:durableId="450708874">
    <w:abstractNumId w:val="18"/>
  </w:num>
  <w:num w:numId="9" w16cid:durableId="1107850435">
    <w:abstractNumId w:val="0"/>
  </w:num>
  <w:num w:numId="10" w16cid:durableId="152529880">
    <w:abstractNumId w:val="19"/>
  </w:num>
  <w:num w:numId="11" w16cid:durableId="1767265842">
    <w:abstractNumId w:val="2"/>
  </w:num>
  <w:num w:numId="12" w16cid:durableId="1991669947">
    <w:abstractNumId w:val="5"/>
  </w:num>
  <w:num w:numId="13" w16cid:durableId="423113800">
    <w:abstractNumId w:val="15"/>
  </w:num>
  <w:num w:numId="14" w16cid:durableId="493298320">
    <w:abstractNumId w:val="6"/>
  </w:num>
  <w:num w:numId="15" w16cid:durableId="102191103">
    <w:abstractNumId w:val="10"/>
  </w:num>
  <w:num w:numId="16" w16cid:durableId="1904754715">
    <w:abstractNumId w:val="4"/>
  </w:num>
  <w:num w:numId="17" w16cid:durableId="1552185996">
    <w:abstractNumId w:val="17"/>
  </w:num>
  <w:num w:numId="18" w16cid:durableId="1603760164">
    <w:abstractNumId w:val="16"/>
  </w:num>
  <w:num w:numId="19" w16cid:durableId="2034453204">
    <w:abstractNumId w:val="7"/>
  </w:num>
  <w:num w:numId="20" w16cid:durableId="1817186809">
    <w:abstractNumId w:val="11"/>
  </w:num>
  <w:num w:numId="21" w16cid:durableId="2081168638">
    <w:abstractNumId w:val="8"/>
  </w:num>
  <w:num w:numId="22" w16cid:durableId="78064859">
    <w:abstractNumId w:val="8"/>
  </w:num>
  <w:num w:numId="23" w16cid:durableId="642809171">
    <w:abstractNumId w:val="8"/>
  </w:num>
  <w:num w:numId="24" w16cid:durableId="1664090557">
    <w:abstractNumId w:val="8"/>
  </w:num>
  <w:num w:numId="25" w16cid:durableId="149942018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DC"/>
    <w:rsid w:val="00004F9C"/>
    <w:rsid w:val="00005598"/>
    <w:rsid w:val="00016878"/>
    <w:rsid w:val="00020C42"/>
    <w:rsid w:val="0002442B"/>
    <w:rsid w:val="00036312"/>
    <w:rsid w:val="00041720"/>
    <w:rsid w:val="000425FB"/>
    <w:rsid w:val="00044E32"/>
    <w:rsid w:val="00046BC5"/>
    <w:rsid w:val="00056605"/>
    <w:rsid w:val="00056C7B"/>
    <w:rsid w:val="00065A60"/>
    <w:rsid w:val="00066006"/>
    <w:rsid w:val="00067828"/>
    <w:rsid w:val="000765C1"/>
    <w:rsid w:val="0008350E"/>
    <w:rsid w:val="00096163"/>
    <w:rsid w:val="00097A1D"/>
    <w:rsid w:val="00097AED"/>
    <w:rsid w:val="000A0C0E"/>
    <w:rsid w:val="000A7938"/>
    <w:rsid w:val="000A7EF6"/>
    <w:rsid w:val="000B2856"/>
    <w:rsid w:val="000B6174"/>
    <w:rsid w:val="000C159B"/>
    <w:rsid w:val="000C2C1B"/>
    <w:rsid w:val="000C3F4D"/>
    <w:rsid w:val="000C5033"/>
    <w:rsid w:val="000C7C2B"/>
    <w:rsid w:val="000D29E4"/>
    <w:rsid w:val="000D4546"/>
    <w:rsid w:val="000D49ED"/>
    <w:rsid w:val="000E02DF"/>
    <w:rsid w:val="000E1BCC"/>
    <w:rsid w:val="001073F7"/>
    <w:rsid w:val="00111198"/>
    <w:rsid w:val="00111625"/>
    <w:rsid w:val="00117D69"/>
    <w:rsid w:val="00120E00"/>
    <w:rsid w:val="0013258A"/>
    <w:rsid w:val="00136BC1"/>
    <w:rsid w:val="00143836"/>
    <w:rsid w:val="00147355"/>
    <w:rsid w:val="00151546"/>
    <w:rsid w:val="00154453"/>
    <w:rsid w:val="00154DE6"/>
    <w:rsid w:val="00160BBF"/>
    <w:rsid w:val="00163503"/>
    <w:rsid w:val="0016634E"/>
    <w:rsid w:val="00167BB3"/>
    <w:rsid w:val="00170A1F"/>
    <w:rsid w:val="00174E15"/>
    <w:rsid w:val="00190AE0"/>
    <w:rsid w:val="00196897"/>
    <w:rsid w:val="001B26CB"/>
    <w:rsid w:val="001B335C"/>
    <w:rsid w:val="001B4730"/>
    <w:rsid w:val="001C1E17"/>
    <w:rsid w:val="001C280A"/>
    <w:rsid w:val="001C6607"/>
    <w:rsid w:val="001D15DF"/>
    <w:rsid w:val="001D23E7"/>
    <w:rsid w:val="001D3257"/>
    <w:rsid w:val="001D4E7F"/>
    <w:rsid w:val="001E22B2"/>
    <w:rsid w:val="001E2567"/>
    <w:rsid w:val="00205253"/>
    <w:rsid w:val="00217B45"/>
    <w:rsid w:val="00222257"/>
    <w:rsid w:val="00230979"/>
    <w:rsid w:val="0023703B"/>
    <w:rsid w:val="00247062"/>
    <w:rsid w:val="0025684C"/>
    <w:rsid w:val="00257A89"/>
    <w:rsid w:val="00257F3F"/>
    <w:rsid w:val="00263A24"/>
    <w:rsid w:val="00273E7F"/>
    <w:rsid w:val="002745F9"/>
    <w:rsid w:val="00274783"/>
    <w:rsid w:val="002750C7"/>
    <w:rsid w:val="00280720"/>
    <w:rsid w:val="00281CDC"/>
    <w:rsid w:val="00282A32"/>
    <w:rsid w:val="00282B50"/>
    <w:rsid w:val="00285FB3"/>
    <w:rsid w:val="00293470"/>
    <w:rsid w:val="002A69DD"/>
    <w:rsid w:val="002B19D3"/>
    <w:rsid w:val="002B2A48"/>
    <w:rsid w:val="002B5BB8"/>
    <w:rsid w:val="002D170D"/>
    <w:rsid w:val="002D4917"/>
    <w:rsid w:val="002D50DA"/>
    <w:rsid w:val="002D6112"/>
    <w:rsid w:val="002D7779"/>
    <w:rsid w:val="002D7A74"/>
    <w:rsid w:val="002E20AC"/>
    <w:rsid w:val="002E23B9"/>
    <w:rsid w:val="002E30E2"/>
    <w:rsid w:val="002E5AB2"/>
    <w:rsid w:val="002F43C9"/>
    <w:rsid w:val="0030255E"/>
    <w:rsid w:val="00305573"/>
    <w:rsid w:val="00310EAD"/>
    <w:rsid w:val="00312AB3"/>
    <w:rsid w:val="00317574"/>
    <w:rsid w:val="003220D3"/>
    <w:rsid w:val="00322356"/>
    <w:rsid w:val="0033067C"/>
    <w:rsid w:val="00347883"/>
    <w:rsid w:val="00355391"/>
    <w:rsid w:val="003745E5"/>
    <w:rsid w:val="00377DE7"/>
    <w:rsid w:val="003825A0"/>
    <w:rsid w:val="003829DC"/>
    <w:rsid w:val="00397F98"/>
    <w:rsid w:val="003A0149"/>
    <w:rsid w:val="003A039B"/>
    <w:rsid w:val="003A495F"/>
    <w:rsid w:val="003A558F"/>
    <w:rsid w:val="003B2921"/>
    <w:rsid w:val="003C0461"/>
    <w:rsid w:val="003C1D42"/>
    <w:rsid w:val="003C6EA3"/>
    <w:rsid w:val="003D75FF"/>
    <w:rsid w:val="003E1F14"/>
    <w:rsid w:val="003E52AF"/>
    <w:rsid w:val="003E6CD5"/>
    <w:rsid w:val="003E7240"/>
    <w:rsid w:val="003E79BA"/>
    <w:rsid w:val="003F127D"/>
    <w:rsid w:val="004033C7"/>
    <w:rsid w:val="004070E1"/>
    <w:rsid w:val="004110B7"/>
    <w:rsid w:val="0041228F"/>
    <w:rsid w:val="004167CD"/>
    <w:rsid w:val="00422BC8"/>
    <w:rsid w:val="00422D47"/>
    <w:rsid w:val="00423C2D"/>
    <w:rsid w:val="0042571A"/>
    <w:rsid w:val="00427F9C"/>
    <w:rsid w:val="00431282"/>
    <w:rsid w:val="00435A93"/>
    <w:rsid w:val="00444045"/>
    <w:rsid w:val="00461D26"/>
    <w:rsid w:val="00470304"/>
    <w:rsid w:val="00470E49"/>
    <w:rsid w:val="004723ED"/>
    <w:rsid w:val="00476DE4"/>
    <w:rsid w:val="00490706"/>
    <w:rsid w:val="004A0A49"/>
    <w:rsid w:val="004A1414"/>
    <w:rsid w:val="004A5DF8"/>
    <w:rsid w:val="004B1D58"/>
    <w:rsid w:val="004C005D"/>
    <w:rsid w:val="004C6220"/>
    <w:rsid w:val="004D6FFB"/>
    <w:rsid w:val="004E32F1"/>
    <w:rsid w:val="004E3B6F"/>
    <w:rsid w:val="00502515"/>
    <w:rsid w:val="005064D5"/>
    <w:rsid w:val="00516989"/>
    <w:rsid w:val="00520963"/>
    <w:rsid w:val="005247C0"/>
    <w:rsid w:val="00544075"/>
    <w:rsid w:val="005527B9"/>
    <w:rsid w:val="0055420A"/>
    <w:rsid w:val="00556804"/>
    <w:rsid w:val="00560E83"/>
    <w:rsid w:val="00563297"/>
    <w:rsid w:val="00563B83"/>
    <w:rsid w:val="0056603D"/>
    <w:rsid w:val="00581ABE"/>
    <w:rsid w:val="005A3087"/>
    <w:rsid w:val="005A5AC5"/>
    <w:rsid w:val="005A6D6A"/>
    <w:rsid w:val="005B04E1"/>
    <w:rsid w:val="005B0855"/>
    <w:rsid w:val="005B0AB9"/>
    <w:rsid w:val="005B2048"/>
    <w:rsid w:val="005B414F"/>
    <w:rsid w:val="005B512D"/>
    <w:rsid w:val="005B5F94"/>
    <w:rsid w:val="005C7663"/>
    <w:rsid w:val="005D0823"/>
    <w:rsid w:val="005E6D3E"/>
    <w:rsid w:val="005F7789"/>
    <w:rsid w:val="006100F3"/>
    <w:rsid w:val="00614A8E"/>
    <w:rsid w:val="00623E22"/>
    <w:rsid w:val="00627666"/>
    <w:rsid w:val="00632154"/>
    <w:rsid w:val="00635E70"/>
    <w:rsid w:val="00643052"/>
    <w:rsid w:val="00651069"/>
    <w:rsid w:val="00657A28"/>
    <w:rsid w:val="00661368"/>
    <w:rsid w:val="00663010"/>
    <w:rsid w:val="006635DC"/>
    <w:rsid w:val="00673A4D"/>
    <w:rsid w:val="00675AD6"/>
    <w:rsid w:val="0067698F"/>
    <w:rsid w:val="006822FB"/>
    <w:rsid w:val="0068425F"/>
    <w:rsid w:val="00685408"/>
    <w:rsid w:val="00694D7D"/>
    <w:rsid w:val="00696523"/>
    <w:rsid w:val="006967A2"/>
    <w:rsid w:val="006C0848"/>
    <w:rsid w:val="006C08BC"/>
    <w:rsid w:val="006D30BA"/>
    <w:rsid w:val="006D35CF"/>
    <w:rsid w:val="006E1A51"/>
    <w:rsid w:val="006E30E1"/>
    <w:rsid w:val="006E33F7"/>
    <w:rsid w:val="006E5DEB"/>
    <w:rsid w:val="006F1FFA"/>
    <w:rsid w:val="006F7466"/>
    <w:rsid w:val="00700C27"/>
    <w:rsid w:val="007036EB"/>
    <w:rsid w:val="00705720"/>
    <w:rsid w:val="007073B9"/>
    <w:rsid w:val="007139E1"/>
    <w:rsid w:val="007308FE"/>
    <w:rsid w:val="00731CBB"/>
    <w:rsid w:val="007350A0"/>
    <w:rsid w:val="00756F92"/>
    <w:rsid w:val="00761309"/>
    <w:rsid w:val="00770B96"/>
    <w:rsid w:val="00781FA6"/>
    <w:rsid w:val="00787E8B"/>
    <w:rsid w:val="007940F3"/>
    <w:rsid w:val="0079772A"/>
    <w:rsid w:val="007B19A6"/>
    <w:rsid w:val="007B77B3"/>
    <w:rsid w:val="007C3998"/>
    <w:rsid w:val="007E6914"/>
    <w:rsid w:val="007F0146"/>
    <w:rsid w:val="007F0B5E"/>
    <w:rsid w:val="007F250C"/>
    <w:rsid w:val="007F2F9C"/>
    <w:rsid w:val="007F7628"/>
    <w:rsid w:val="007F7793"/>
    <w:rsid w:val="008019D2"/>
    <w:rsid w:val="00802F0B"/>
    <w:rsid w:val="00822089"/>
    <w:rsid w:val="008239C5"/>
    <w:rsid w:val="0082651A"/>
    <w:rsid w:val="00830DB0"/>
    <w:rsid w:val="00832D38"/>
    <w:rsid w:val="008362F6"/>
    <w:rsid w:val="00836647"/>
    <w:rsid w:val="00837541"/>
    <w:rsid w:val="00843C6E"/>
    <w:rsid w:val="00845551"/>
    <w:rsid w:val="00847050"/>
    <w:rsid w:val="00856A6B"/>
    <w:rsid w:val="00860B66"/>
    <w:rsid w:val="00862E63"/>
    <w:rsid w:val="00862ECC"/>
    <w:rsid w:val="00864802"/>
    <w:rsid w:val="00870903"/>
    <w:rsid w:val="008730AE"/>
    <w:rsid w:val="00873C0B"/>
    <w:rsid w:val="0088382F"/>
    <w:rsid w:val="0089733E"/>
    <w:rsid w:val="008A5247"/>
    <w:rsid w:val="008B1372"/>
    <w:rsid w:val="008B1746"/>
    <w:rsid w:val="008B66AC"/>
    <w:rsid w:val="008C4A3F"/>
    <w:rsid w:val="008C53C3"/>
    <w:rsid w:val="008C5C0D"/>
    <w:rsid w:val="008C6B9D"/>
    <w:rsid w:val="008D7ACE"/>
    <w:rsid w:val="008E1772"/>
    <w:rsid w:val="008E18A8"/>
    <w:rsid w:val="008E27FE"/>
    <w:rsid w:val="008E4E5B"/>
    <w:rsid w:val="008F14C4"/>
    <w:rsid w:val="008F17CB"/>
    <w:rsid w:val="008F53F5"/>
    <w:rsid w:val="009019C0"/>
    <w:rsid w:val="009044B4"/>
    <w:rsid w:val="009104F9"/>
    <w:rsid w:val="0091105D"/>
    <w:rsid w:val="00913D74"/>
    <w:rsid w:val="00914C7D"/>
    <w:rsid w:val="009214C9"/>
    <w:rsid w:val="009256DC"/>
    <w:rsid w:val="00926774"/>
    <w:rsid w:val="009326AE"/>
    <w:rsid w:val="00936DD0"/>
    <w:rsid w:val="00943377"/>
    <w:rsid w:val="0094373B"/>
    <w:rsid w:val="00943FCA"/>
    <w:rsid w:val="0095563E"/>
    <w:rsid w:val="0095647E"/>
    <w:rsid w:val="00972247"/>
    <w:rsid w:val="0097308D"/>
    <w:rsid w:val="00973DFD"/>
    <w:rsid w:val="00994682"/>
    <w:rsid w:val="00995088"/>
    <w:rsid w:val="009A0851"/>
    <w:rsid w:val="009A4448"/>
    <w:rsid w:val="009A486E"/>
    <w:rsid w:val="009A4D09"/>
    <w:rsid w:val="009A7614"/>
    <w:rsid w:val="009A7D0F"/>
    <w:rsid w:val="009B4EFA"/>
    <w:rsid w:val="009B5F0E"/>
    <w:rsid w:val="009C282F"/>
    <w:rsid w:val="009D0E59"/>
    <w:rsid w:val="009E396E"/>
    <w:rsid w:val="009E5854"/>
    <w:rsid w:val="009F2979"/>
    <w:rsid w:val="009F4773"/>
    <w:rsid w:val="00A06B7E"/>
    <w:rsid w:val="00A13ECC"/>
    <w:rsid w:val="00A2251E"/>
    <w:rsid w:val="00A23729"/>
    <w:rsid w:val="00A2448D"/>
    <w:rsid w:val="00A445AF"/>
    <w:rsid w:val="00A54025"/>
    <w:rsid w:val="00A6015D"/>
    <w:rsid w:val="00A6283D"/>
    <w:rsid w:val="00A62B21"/>
    <w:rsid w:val="00A66CD8"/>
    <w:rsid w:val="00A67D09"/>
    <w:rsid w:val="00A7327A"/>
    <w:rsid w:val="00A77CE7"/>
    <w:rsid w:val="00A859A7"/>
    <w:rsid w:val="00A87101"/>
    <w:rsid w:val="00A9104C"/>
    <w:rsid w:val="00A91BD8"/>
    <w:rsid w:val="00A9336B"/>
    <w:rsid w:val="00A936AB"/>
    <w:rsid w:val="00A93EA7"/>
    <w:rsid w:val="00A963D2"/>
    <w:rsid w:val="00AA043F"/>
    <w:rsid w:val="00AA6A67"/>
    <w:rsid w:val="00AA7499"/>
    <w:rsid w:val="00AA7D3D"/>
    <w:rsid w:val="00AB1C7D"/>
    <w:rsid w:val="00AB4705"/>
    <w:rsid w:val="00AB659C"/>
    <w:rsid w:val="00AC40F8"/>
    <w:rsid w:val="00AC4E98"/>
    <w:rsid w:val="00AD629A"/>
    <w:rsid w:val="00AF232A"/>
    <w:rsid w:val="00AF357E"/>
    <w:rsid w:val="00B0011A"/>
    <w:rsid w:val="00B04A0A"/>
    <w:rsid w:val="00B04F2E"/>
    <w:rsid w:val="00B1259E"/>
    <w:rsid w:val="00B12B86"/>
    <w:rsid w:val="00B16ACB"/>
    <w:rsid w:val="00B21CE3"/>
    <w:rsid w:val="00B27675"/>
    <w:rsid w:val="00B307BC"/>
    <w:rsid w:val="00B35DC4"/>
    <w:rsid w:val="00B368EF"/>
    <w:rsid w:val="00B45765"/>
    <w:rsid w:val="00B50074"/>
    <w:rsid w:val="00B605FB"/>
    <w:rsid w:val="00B7279E"/>
    <w:rsid w:val="00B74607"/>
    <w:rsid w:val="00B76275"/>
    <w:rsid w:val="00B9191E"/>
    <w:rsid w:val="00BC5423"/>
    <w:rsid w:val="00BC7316"/>
    <w:rsid w:val="00BD021C"/>
    <w:rsid w:val="00BD2289"/>
    <w:rsid w:val="00BD55DB"/>
    <w:rsid w:val="00BD6E00"/>
    <w:rsid w:val="00BD70E8"/>
    <w:rsid w:val="00BE6387"/>
    <w:rsid w:val="00BF2ED2"/>
    <w:rsid w:val="00BF4026"/>
    <w:rsid w:val="00BF560E"/>
    <w:rsid w:val="00C04248"/>
    <w:rsid w:val="00C055C1"/>
    <w:rsid w:val="00C05867"/>
    <w:rsid w:val="00C07891"/>
    <w:rsid w:val="00C07F38"/>
    <w:rsid w:val="00C1024A"/>
    <w:rsid w:val="00C12CDF"/>
    <w:rsid w:val="00C312BF"/>
    <w:rsid w:val="00C35971"/>
    <w:rsid w:val="00C430DA"/>
    <w:rsid w:val="00C4560B"/>
    <w:rsid w:val="00C53C96"/>
    <w:rsid w:val="00C72CBB"/>
    <w:rsid w:val="00C73D24"/>
    <w:rsid w:val="00C84AEA"/>
    <w:rsid w:val="00C94AC3"/>
    <w:rsid w:val="00C95323"/>
    <w:rsid w:val="00C96983"/>
    <w:rsid w:val="00CA17DC"/>
    <w:rsid w:val="00CA302F"/>
    <w:rsid w:val="00CC4887"/>
    <w:rsid w:val="00CD2A1C"/>
    <w:rsid w:val="00CD40B8"/>
    <w:rsid w:val="00CD6650"/>
    <w:rsid w:val="00CD75F5"/>
    <w:rsid w:val="00CE456A"/>
    <w:rsid w:val="00CE774F"/>
    <w:rsid w:val="00CF0C19"/>
    <w:rsid w:val="00D04C20"/>
    <w:rsid w:val="00D061A3"/>
    <w:rsid w:val="00D0657B"/>
    <w:rsid w:val="00D1010C"/>
    <w:rsid w:val="00D10F59"/>
    <w:rsid w:val="00D1196A"/>
    <w:rsid w:val="00D13C2F"/>
    <w:rsid w:val="00D20064"/>
    <w:rsid w:val="00D223F7"/>
    <w:rsid w:val="00D237D2"/>
    <w:rsid w:val="00D2639A"/>
    <w:rsid w:val="00D31E70"/>
    <w:rsid w:val="00D45EC2"/>
    <w:rsid w:val="00D47BC8"/>
    <w:rsid w:val="00D505AD"/>
    <w:rsid w:val="00D56DBF"/>
    <w:rsid w:val="00D67788"/>
    <w:rsid w:val="00D70A0A"/>
    <w:rsid w:val="00D76A95"/>
    <w:rsid w:val="00D8003C"/>
    <w:rsid w:val="00D86C8C"/>
    <w:rsid w:val="00D8740C"/>
    <w:rsid w:val="00D874AA"/>
    <w:rsid w:val="00D9318E"/>
    <w:rsid w:val="00D942C8"/>
    <w:rsid w:val="00DA080A"/>
    <w:rsid w:val="00DA0FD0"/>
    <w:rsid w:val="00DA5E85"/>
    <w:rsid w:val="00DB5220"/>
    <w:rsid w:val="00DC17ED"/>
    <w:rsid w:val="00DC6117"/>
    <w:rsid w:val="00DD1B17"/>
    <w:rsid w:val="00DD7F89"/>
    <w:rsid w:val="00DF5151"/>
    <w:rsid w:val="00E02ECB"/>
    <w:rsid w:val="00E05127"/>
    <w:rsid w:val="00E06C67"/>
    <w:rsid w:val="00E10824"/>
    <w:rsid w:val="00E12284"/>
    <w:rsid w:val="00E1372D"/>
    <w:rsid w:val="00E1507C"/>
    <w:rsid w:val="00E170DD"/>
    <w:rsid w:val="00E177D6"/>
    <w:rsid w:val="00E21D64"/>
    <w:rsid w:val="00E21F64"/>
    <w:rsid w:val="00E2378E"/>
    <w:rsid w:val="00E308AC"/>
    <w:rsid w:val="00E35C58"/>
    <w:rsid w:val="00E4354C"/>
    <w:rsid w:val="00E5625C"/>
    <w:rsid w:val="00E620CA"/>
    <w:rsid w:val="00E70840"/>
    <w:rsid w:val="00E7299C"/>
    <w:rsid w:val="00E764F7"/>
    <w:rsid w:val="00E776CA"/>
    <w:rsid w:val="00E82AB0"/>
    <w:rsid w:val="00E87BE3"/>
    <w:rsid w:val="00E87E58"/>
    <w:rsid w:val="00E97570"/>
    <w:rsid w:val="00EA20B9"/>
    <w:rsid w:val="00EA2337"/>
    <w:rsid w:val="00EA7139"/>
    <w:rsid w:val="00EB57CB"/>
    <w:rsid w:val="00ED4E61"/>
    <w:rsid w:val="00EE0571"/>
    <w:rsid w:val="00EE09E7"/>
    <w:rsid w:val="00EE297E"/>
    <w:rsid w:val="00EE5B09"/>
    <w:rsid w:val="00EF6321"/>
    <w:rsid w:val="00F0761D"/>
    <w:rsid w:val="00F358EF"/>
    <w:rsid w:val="00F42770"/>
    <w:rsid w:val="00F46C03"/>
    <w:rsid w:val="00F51AA7"/>
    <w:rsid w:val="00F527BF"/>
    <w:rsid w:val="00F53FA1"/>
    <w:rsid w:val="00F56C76"/>
    <w:rsid w:val="00F64E6E"/>
    <w:rsid w:val="00F6733A"/>
    <w:rsid w:val="00F75BA0"/>
    <w:rsid w:val="00FB514C"/>
    <w:rsid w:val="00FB6E32"/>
    <w:rsid w:val="00FC198C"/>
    <w:rsid w:val="00FD344F"/>
    <w:rsid w:val="00FE54CA"/>
    <w:rsid w:val="00FE59A9"/>
    <w:rsid w:val="00FF13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A69C8"/>
  <w15:chartTrackingRefBased/>
  <w15:docId w15:val="{60FC1B2C-F67A-4422-B2B9-2C985177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8"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C4560B"/>
    <w:rPr>
      <w:rFonts w:ascii="Arial" w:hAnsi="Arial"/>
      <w:szCs w:val="24"/>
      <w:lang w:eastAsia="en-US"/>
    </w:rPr>
  </w:style>
  <w:style w:type="paragraph" w:styleId="Heading1">
    <w:name w:val="heading 1"/>
    <w:basedOn w:val="NormalText"/>
    <w:next w:val="NormalText"/>
    <w:link w:val="Heading1Char"/>
    <w:uiPriority w:val="9"/>
    <w:qFormat/>
    <w:rsid w:val="00170A1F"/>
    <w:pPr>
      <w:keepNext/>
      <w:keepLines/>
      <w:pageBreakBefore/>
      <w:numPr>
        <w:numId w:val="2"/>
      </w:numPr>
      <w:spacing w:before="0" w:after="80" w:line="360" w:lineRule="exact"/>
      <w:ind w:left="567" w:hanging="567"/>
      <w:outlineLvl w:val="0"/>
    </w:pPr>
    <w:rPr>
      <w:rFonts w:ascii="Franklin Gothic Medium" w:hAnsi="Franklin Gothic Medium"/>
      <w:caps/>
      <w:color w:val="53284F"/>
      <w:sz w:val="32"/>
      <w:szCs w:val="32"/>
    </w:rPr>
  </w:style>
  <w:style w:type="paragraph" w:styleId="Heading2">
    <w:name w:val="heading 2"/>
    <w:basedOn w:val="Heading1"/>
    <w:next w:val="NormalText"/>
    <w:link w:val="Heading2Char"/>
    <w:uiPriority w:val="9"/>
    <w:qFormat/>
    <w:rsid w:val="00170A1F"/>
    <w:pPr>
      <w:pageBreakBefore w:val="0"/>
      <w:numPr>
        <w:ilvl w:val="1"/>
      </w:numPr>
      <w:spacing w:before="400" w:after="0" w:line="320" w:lineRule="exact"/>
      <w:outlineLvl w:val="1"/>
    </w:pPr>
    <w:rPr>
      <w:caps w:val="0"/>
      <w:sz w:val="28"/>
      <w:szCs w:val="28"/>
    </w:rPr>
  </w:style>
  <w:style w:type="paragraph" w:styleId="Heading3">
    <w:name w:val="heading 3"/>
    <w:basedOn w:val="Heading2"/>
    <w:next w:val="NormalText"/>
    <w:link w:val="Heading3Char"/>
    <w:uiPriority w:val="9"/>
    <w:qFormat/>
    <w:rsid w:val="00067828"/>
    <w:pPr>
      <w:numPr>
        <w:ilvl w:val="0"/>
        <w:numId w:val="0"/>
      </w:numPr>
      <w:spacing w:before="320" w:line="280" w:lineRule="exact"/>
      <w:outlineLvl w:val="2"/>
    </w:pPr>
    <w:rPr>
      <w:sz w:val="24"/>
      <w:szCs w:val="26"/>
    </w:rPr>
  </w:style>
  <w:style w:type="paragraph" w:styleId="Heading4">
    <w:name w:val="heading 4"/>
    <w:aliases w:val="APVMA_H4"/>
    <w:basedOn w:val="Heading3"/>
    <w:next w:val="NormalText"/>
    <w:uiPriority w:val="4"/>
    <w:pPr>
      <w:spacing w:before="280" w:line="260" w:lineRule="exact"/>
      <w:outlineLvl w:val="3"/>
    </w:pPr>
    <w:rPr>
      <w:i/>
      <w:sz w:val="22"/>
      <w:szCs w:val="28"/>
    </w:rPr>
  </w:style>
  <w:style w:type="paragraph" w:styleId="Heading5">
    <w:name w:val="heading 5"/>
    <w:aliases w:val="APVMA_H5"/>
    <w:basedOn w:val="Heading4"/>
    <w:next w:val="NormalText"/>
    <w:uiPriority w:val="4"/>
    <w:pPr>
      <w:spacing w:before="260"/>
      <w:outlineLvl w:val="4"/>
    </w:pPr>
    <w:rPr>
      <w:i w:val="0"/>
      <w:caps/>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8"/>
    <w:semiHidden/>
    <w:pPr>
      <w:spacing w:before="60" w:line="260" w:lineRule="atLeast"/>
    </w:pPr>
    <w:rPr>
      <w:rFonts w:ascii="Arial" w:hAnsi="Arial"/>
      <w:lang w:eastAsia="en-US"/>
    </w:rPr>
  </w:style>
  <w:style w:type="paragraph" w:styleId="TOC1">
    <w:name w:val="toc 1"/>
    <w:aliases w:val="APVMA_TOC 1"/>
    <w:basedOn w:val="NormalText"/>
    <w:next w:val="TOC2"/>
    <w:uiPriority w:val="39"/>
    <w:qFormat/>
    <w:rsid w:val="00C95323"/>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qFormat/>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qFormat/>
    <w:pPr>
      <w:tabs>
        <w:tab w:val="right" w:pos="9639"/>
      </w:tabs>
      <w:spacing w:before="40" w:line="240" w:lineRule="exact"/>
      <w:ind w:left="454"/>
    </w:pPr>
    <w:rPr>
      <w:noProof/>
      <w:sz w:val="18"/>
    </w:rPr>
  </w:style>
  <w:style w:type="paragraph" w:styleId="TOC4">
    <w:name w:val="toc 4"/>
    <w:basedOn w:val="Normal"/>
    <w:next w:val="Normal"/>
    <w:autoRedefine/>
    <w:uiPriority w:val="39"/>
    <w:qFormat/>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rPr>
  </w:style>
  <w:style w:type="paragraph" w:customStyle="1" w:styleId="APVMATableText">
    <w:name w:val="APVMA_TableText"/>
    <w:basedOn w:val="NormalText"/>
    <w:uiPriority w:val="4"/>
    <w:qFormat/>
    <w:pPr>
      <w:spacing w:before="120" w:after="120" w:line="210" w:lineRule="exact"/>
    </w:pPr>
    <w:rPr>
      <w:spacing w:val="6"/>
      <w:sz w:val="17"/>
    </w:rPr>
  </w:style>
  <w:style w:type="paragraph" w:customStyle="1" w:styleId="APVMATableHead">
    <w:name w:val="APVMA_TableHead"/>
    <w:basedOn w:val="APVMATableText"/>
    <w:uiPriority w:val="4"/>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link w:val="HeaderChar"/>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8"/>
    <w:semiHidden/>
    <w:rPr>
      <w:sz w:val="16"/>
      <w:szCs w:val="16"/>
    </w:rPr>
  </w:style>
  <w:style w:type="paragraph" w:customStyle="1" w:styleId="APVMAEvenHeader">
    <w:name w:val="APVMA_Even_Header"/>
    <w:basedOn w:val="APVMA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0"/>
      </w:numPr>
      <w:spacing w:before="60"/>
    </w:pPr>
  </w:style>
  <w:style w:type="character" w:styleId="FootnoteReference">
    <w:name w:val="footnote reference"/>
    <w:uiPriority w:val="4"/>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uiPriority w:val="4"/>
    <w:pPr>
      <w:jc w:val="right"/>
    </w:pPr>
  </w:style>
  <w:style w:type="paragraph" w:styleId="Caption">
    <w:name w:val="caption"/>
    <w:aliases w:val="APVMA_Caption"/>
    <w:basedOn w:val="Normal"/>
    <w:next w:val="NormalText"/>
    <w:uiPriority w:val="4"/>
    <w:rsid w:val="00BD021C"/>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pPr>
      <w:pageBreakBefore w:val="0"/>
      <w:numPr>
        <w:numId w:val="0"/>
      </w:numPr>
      <w:outlineLvl w:val="9"/>
    </w:pPr>
    <w:rPr>
      <w:bCs/>
      <w:szCs w:val="20"/>
    </w:rPr>
  </w:style>
  <w:style w:type="paragraph" w:customStyle="1" w:styleId="APVMATableSubHead">
    <w:name w:val="APVMA_Table_SubHead"/>
    <w:basedOn w:val="APVMATableHead"/>
    <w:uiPriority w:val="4"/>
    <w:rsid w:val="00BD2289"/>
    <w:rPr>
      <w:color w:val="53284F"/>
    </w:rPr>
  </w:style>
  <w:style w:type="paragraph" w:styleId="TableofFigures">
    <w:name w:val="table of figures"/>
    <w:aliases w:val="APVMA_ToF"/>
    <w:basedOn w:val="TOC3"/>
    <w:uiPriority w:val="4"/>
    <w:semiHidden/>
    <w:pPr>
      <w:ind w:left="851" w:hanging="851"/>
    </w:pPr>
  </w:style>
  <w:style w:type="paragraph" w:customStyle="1" w:styleId="APVMAOddHeader">
    <w:name w:val="APVMA_Odd_Header"/>
    <w:basedOn w:val="NormalText"/>
    <w:uiPriority w:val="4"/>
    <w:rsid w:val="00BD2289"/>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pPr>
      <w:numPr>
        <w:numId w:val="0"/>
      </w:numPr>
    </w:pPr>
    <w:rPr>
      <w:bCs/>
      <w:szCs w:val="30"/>
    </w:rPr>
  </w:style>
  <w:style w:type="paragraph" w:customStyle="1" w:styleId="APVMAPreliminariesH2">
    <w:name w:val="APVMA_Preliminaries_H2"/>
    <w:basedOn w:val="Heading2"/>
    <w:next w:val="NormalText"/>
    <w:uiPriority w:val="4"/>
    <w:rsid w:val="00AB659C"/>
    <w:pPr>
      <w:numPr>
        <w:ilvl w:val="0"/>
        <w:numId w:val="0"/>
      </w:numPr>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link w:val="BalloonText"/>
    <w:uiPriority w:val="99"/>
    <w:semiHidden/>
    <w:rsid w:val="00BD021C"/>
    <w:rPr>
      <w:rFonts w:ascii="Segoe UI" w:hAnsi="Segoe UI" w:cs="Segoe UI"/>
      <w:sz w:val="18"/>
      <w:szCs w:val="18"/>
      <w:lang w:eastAsia="en-US"/>
    </w:rPr>
  </w:style>
  <w:style w:type="table" w:styleId="TableGrid">
    <w:name w:val="Table Grid"/>
    <w:basedOn w:val="TableNormal"/>
    <w:uiPriority w:val="59"/>
    <w:rsid w:val="00382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Text"/>
    <w:uiPriority w:val="7"/>
    <w:qFormat/>
    <w:rsid w:val="002E5AB2"/>
    <w:pPr>
      <w:spacing w:before="120" w:after="120" w:line="210" w:lineRule="exact"/>
    </w:pPr>
    <w:rPr>
      <w:spacing w:val="6"/>
      <w:kern w:val="0"/>
      <w:sz w:val="17"/>
    </w:rPr>
  </w:style>
  <w:style w:type="paragraph" w:styleId="CommentSubject">
    <w:name w:val="annotation subject"/>
    <w:basedOn w:val="CommentText"/>
    <w:next w:val="CommentText"/>
    <w:link w:val="CommentSubjectChar"/>
    <w:uiPriority w:val="99"/>
    <w:semiHidden/>
    <w:unhideWhenUsed/>
    <w:rsid w:val="00066006"/>
    <w:pPr>
      <w:spacing w:before="0" w:line="240" w:lineRule="auto"/>
    </w:pPr>
    <w:rPr>
      <w:b/>
      <w:bCs/>
    </w:rPr>
  </w:style>
  <w:style w:type="character" w:customStyle="1" w:styleId="CommentTextChar">
    <w:name w:val="Comment Text Char"/>
    <w:link w:val="CommentText"/>
    <w:uiPriority w:val="8"/>
    <w:semiHidden/>
    <w:rsid w:val="00066006"/>
    <w:rPr>
      <w:rFonts w:ascii="Arial" w:hAnsi="Arial"/>
      <w:lang w:eastAsia="en-US"/>
    </w:rPr>
  </w:style>
  <w:style w:type="character" w:customStyle="1" w:styleId="CommentSubjectChar">
    <w:name w:val="Comment Subject Char"/>
    <w:link w:val="CommentSubject"/>
    <w:uiPriority w:val="99"/>
    <w:semiHidden/>
    <w:rsid w:val="00066006"/>
    <w:rPr>
      <w:rFonts w:ascii="Arial" w:hAnsi="Arial"/>
      <w:b/>
      <w:bCs/>
      <w:lang w:eastAsia="en-US"/>
    </w:rPr>
  </w:style>
  <w:style w:type="character" w:customStyle="1" w:styleId="Heading1Char">
    <w:name w:val="Heading 1 Char"/>
    <w:basedOn w:val="DefaultParagraphFont"/>
    <w:link w:val="Heading1"/>
    <w:uiPriority w:val="9"/>
    <w:rsid w:val="00170A1F"/>
    <w:rPr>
      <w:rFonts w:ascii="Franklin Gothic Medium" w:hAnsi="Franklin Gothic Medium" w:cs="Arial"/>
      <w:caps/>
      <w:color w:val="53284F"/>
      <w:kern w:val="20"/>
      <w:sz w:val="32"/>
      <w:szCs w:val="32"/>
      <w:u w:color="000000"/>
      <w:lang w:eastAsia="en-US"/>
    </w:rPr>
  </w:style>
  <w:style w:type="character" w:customStyle="1" w:styleId="Heading2Char">
    <w:name w:val="Heading 2 Char"/>
    <w:basedOn w:val="DefaultParagraphFont"/>
    <w:link w:val="Heading2"/>
    <w:uiPriority w:val="9"/>
    <w:rsid w:val="00170A1F"/>
    <w:rPr>
      <w:rFonts w:ascii="Franklin Gothic Medium" w:hAnsi="Franklin Gothic Medium" w:cs="Arial"/>
      <w:color w:val="53284F"/>
      <w:kern w:val="20"/>
      <w:sz w:val="28"/>
      <w:szCs w:val="28"/>
      <w:u w:color="000000"/>
      <w:lang w:eastAsia="en-US"/>
    </w:rPr>
  </w:style>
  <w:style w:type="character" w:customStyle="1" w:styleId="Heading3Char">
    <w:name w:val="Heading 3 Char"/>
    <w:basedOn w:val="DefaultParagraphFont"/>
    <w:link w:val="Heading3"/>
    <w:uiPriority w:val="9"/>
    <w:rsid w:val="008D7ACE"/>
    <w:rPr>
      <w:rFonts w:ascii="Franklin Gothic Medium" w:hAnsi="Franklin Gothic Medium" w:cs="Arial"/>
      <w:color w:val="53284F"/>
      <w:kern w:val="20"/>
      <w:sz w:val="24"/>
      <w:szCs w:val="26"/>
      <w:u w:color="000000"/>
      <w:lang w:eastAsia="en-US"/>
    </w:rPr>
  </w:style>
  <w:style w:type="paragraph" w:styleId="BodyText">
    <w:name w:val="Body Text"/>
    <w:basedOn w:val="Normal"/>
    <w:link w:val="BodyTextChar"/>
    <w:uiPriority w:val="1"/>
    <w:qFormat/>
    <w:rsid w:val="008D7ACE"/>
    <w:pPr>
      <w:widowControl w:val="0"/>
      <w:autoSpaceDE w:val="0"/>
      <w:autoSpaceDN w:val="0"/>
    </w:pPr>
    <w:rPr>
      <w:rFonts w:ascii="Cambria" w:eastAsia="Cambria" w:hAnsi="Cambria" w:cs="Cambria"/>
      <w:sz w:val="22"/>
      <w:szCs w:val="22"/>
      <w:lang w:val="en-US"/>
    </w:rPr>
  </w:style>
  <w:style w:type="character" w:customStyle="1" w:styleId="BodyTextChar">
    <w:name w:val="Body Text Char"/>
    <w:basedOn w:val="DefaultParagraphFont"/>
    <w:link w:val="BodyText"/>
    <w:uiPriority w:val="1"/>
    <w:rsid w:val="008D7ACE"/>
    <w:rPr>
      <w:rFonts w:ascii="Cambria" w:eastAsia="Cambria" w:hAnsi="Cambria" w:cs="Cambria"/>
      <w:sz w:val="22"/>
      <w:szCs w:val="22"/>
      <w:lang w:val="en-US" w:eastAsia="en-US"/>
    </w:rPr>
  </w:style>
  <w:style w:type="paragraph" w:styleId="ListParagraph">
    <w:name w:val="List Paragraph"/>
    <w:basedOn w:val="Normal"/>
    <w:uiPriority w:val="1"/>
    <w:qFormat/>
    <w:rsid w:val="008D7ACE"/>
    <w:pPr>
      <w:widowControl w:val="0"/>
      <w:autoSpaceDE w:val="0"/>
      <w:autoSpaceDN w:val="0"/>
      <w:spacing w:before="179"/>
      <w:ind w:left="498" w:hanging="360"/>
    </w:pPr>
    <w:rPr>
      <w:rFonts w:ascii="Cambria" w:eastAsia="Cambria" w:hAnsi="Cambria" w:cs="Cambria"/>
      <w:sz w:val="22"/>
      <w:szCs w:val="22"/>
      <w:lang w:val="en-US"/>
    </w:rPr>
  </w:style>
  <w:style w:type="paragraph" w:customStyle="1" w:styleId="TableParagraph">
    <w:name w:val="Table Paragraph"/>
    <w:basedOn w:val="Normal"/>
    <w:uiPriority w:val="1"/>
    <w:qFormat/>
    <w:rsid w:val="008D7ACE"/>
    <w:pPr>
      <w:widowControl w:val="0"/>
      <w:autoSpaceDE w:val="0"/>
      <w:autoSpaceDN w:val="0"/>
    </w:pPr>
    <w:rPr>
      <w:rFonts w:ascii="Cambria" w:eastAsia="Cambria" w:hAnsi="Cambria" w:cs="Cambria"/>
      <w:sz w:val="22"/>
      <w:szCs w:val="22"/>
      <w:lang w:val="en-US"/>
    </w:rPr>
  </w:style>
  <w:style w:type="character" w:styleId="UnresolvedMention">
    <w:name w:val="Unresolved Mention"/>
    <w:basedOn w:val="DefaultParagraphFont"/>
    <w:uiPriority w:val="99"/>
    <w:semiHidden/>
    <w:unhideWhenUsed/>
    <w:rsid w:val="008D7ACE"/>
    <w:rPr>
      <w:color w:val="605E5C"/>
      <w:shd w:val="clear" w:color="auto" w:fill="E1DFDD"/>
    </w:rPr>
  </w:style>
  <w:style w:type="paragraph" w:styleId="ListBullet">
    <w:name w:val="List Bullet"/>
    <w:basedOn w:val="Normal"/>
    <w:uiPriority w:val="99"/>
    <w:unhideWhenUsed/>
    <w:rsid w:val="00761309"/>
    <w:pPr>
      <w:numPr>
        <w:numId w:val="9"/>
      </w:numPr>
      <w:contextualSpacing/>
    </w:pPr>
  </w:style>
  <w:style w:type="character" w:customStyle="1" w:styleId="HeaderChar">
    <w:name w:val="Header Char"/>
    <w:basedOn w:val="DefaultParagraphFont"/>
    <w:link w:val="Header"/>
    <w:uiPriority w:val="4"/>
    <w:semiHidden/>
    <w:rsid w:val="00761309"/>
    <w:rPr>
      <w:rFonts w:ascii="Arial" w:hAnsi="Arial"/>
      <w:szCs w:val="24"/>
      <w:lang w:eastAsia="en-US"/>
    </w:rPr>
  </w:style>
  <w:style w:type="character" w:customStyle="1" w:styleId="FooterChar">
    <w:name w:val="Footer Char"/>
    <w:basedOn w:val="DefaultParagraphFont"/>
    <w:link w:val="Footer"/>
    <w:uiPriority w:val="4"/>
    <w:semiHidden/>
    <w:rsid w:val="00761309"/>
    <w:rPr>
      <w:rFonts w:ascii="Arial" w:hAnsi="Arial"/>
      <w:szCs w:val="24"/>
      <w:lang w:eastAsia="en-US"/>
    </w:rPr>
  </w:style>
  <w:style w:type="paragraph" w:customStyle="1" w:styleId="APVMAheading2">
    <w:name w:val="APVMA heading 2"/>
    <w:basedOn w:val="Normal"/>
    <w:qFormat/>
    <w:rsid w:val="00EF6321"/>
    <w:pPr>
      <w:spacing w:before="280" w:after="280" w:line="280" w:lineRule="exact"/>
    </w:pPr>
    <w:rPr>
      <w:rFonts w:ascii="Franklin Gothic Medium" w:eastAsiaTheme="minorHAnsi" w:hAnsi="Franklin Gothic Medium" w:cstheme="minorBidi"/>
      <w:sz w:val="24"/>
      <w:szCs w:val="22"/>
    </w:rPr>
  </w:style>
  <w:style w:type="paragraph" w:styleId="Revision">
    <w:name w:val="Revision"/>
    <w:hidden/>
    <w:uiPriority w:val="99"/>
    <w:semiHidden/>
    <w:rsid w:val="00D47BC8"/>
    <w:rPr>
      <w:rFonts w:ascii="Arial" w:hAnsi="Arial"/>
      <w:szCs w:val="24"/>
      <w:lang w:eastAsia="en-US"/>
    </w:rPr>
  </w:style>
  <w:style w:type="character" w:customStyle="1" w:styleId="cf01">
    <w:name w:val="cf01"/>
    <w:basedOn w:val="DefaultParagraphFont"/>
    <w:rsid w:val="009214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40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legislation.gov.au/Series/C2004A04723" TargetMode="External" Id="rId26" /><Relationship Type="http://schemas.openxmlformats.org/officeDocument/2006/relationships/footer" Target="footer2.xml" Id="rId21" /><Relationship Type="http://schemas.openxmlformats.org/officeDocument/2006/relationships/image" Target="media/image6.gif" Id="rId42" /><Relationship Type="http://schemas.openxmlformats.org/officeDocument/2006/relationships/hyperlink" Target="https://apvma.gov.au/sites/default/files/fm_mql04.docx" TargetMode="External" Id="rId47" /><Relationship Type="http://schemas.openxmlformats.org/officeDocument/2006/relationships/hyperlink" Target="http://apvma.gov.au/node/1075" TargetMode="External" Id="rId63" /><Relationship Type="http://schemas.openxmlformats.org/officeDocument/2006/relationships/image" Target="media/image9.jpeg" Id="rId68" /><Relationship Type="http://schemas.openxmlformats.org/officeDocument/2006/relationships/fontTable" Target="fontTable.xml" Id="rId84" /><Relationship Type="http://schemas.openxmlformats.org/officeDocument/2006/relationships/hyperlink" Target="http://www.dpmc.gov.au/guidelines/" TargetMode="External" Id="rId16" /><Relationship Type="http://schemas.openxmlformats.org/officeDocument/2006/relationships/footer" Target="footer1.xml" Id="rId11" /><Relationship Type="http://schemas.openxmlformats.org/officeDocument/2006/relationships/image" Target="media/image5.png" Id="rId32" /><Relationship Type="http://schemas.openxmlformats.org/officeDocument/2006/relationships/hyperlink" Target="https://apvma.gov.au/node/12326" TargetMode="External" Id="rId37" /><Relationship Type="http://schemas.openxmlformats.org/officeDocument/2006/relationships/hyperlink" Target="https://www.apvma.gov.au/sites/default/files/fm_mql05.docx" TargetMode="External" Id="rId53" /><Relationship Type="http://schemas.openxmlformats.org/officeDocument/2006/relationships/hyperlink" Target="https://www.apvma.gov.au/sites/default/files/fm_mql26.docx" TargetMode="External" Id="rId58" /><Relationship Type="http://schemas.openxmlformats.org/officeDocument/2006/relationships/hyperlink" Target="http://apvma.gov.au/sites/default/files/docs/fm-mql24-corrective-action-review-form.docx" TargetMode="External" Id="rId74" /><Relationship Type="http://schemas.openxmlformats.org/officeDocument/2006/relationships/hyperlink" Target="http://apvma.gov.au/sites/default/files/docs/form-fm_mql30.doc" TargetMode="External" Id="rId79" /><Relationship Type="http://schemas.openxmlformats.org/officeDocument/2006/relationships/settings" Target="settings.xml" Id="rId5" /><Relationship Type="http://schemas.openxmlformats.org/officeDocument/2006/relationships/header" Target="header1.xml" Id="rId19" /><Relationship Type="http://schemas.openxmlformats.org/officeDocument/2006/relationships/hyperlink" Target="http://www.creativecommons.org/licenses/by/3.0/au/deed.en" TargetMode="External" Id="rId14" /><Relationship Type="http://schemas.openxmlformats.org/officeDocument/2006/relationships/footer" Target="footer3.xml" Id="rId22" /><Relationship Type="http://schemas.openxmlformats.org/officeDocument/2006/relationships/hyperlink" Target="https://www.legislation.gov.au/Details/F2023C00150" TargetMode="External" Id="rId27" /><Relationship Type="http://schemas.openxmlformats.org/officeDocument/2006/relationships/header" Target="header3.xml" Id="rId30" /><Relationship Type="http://schemas.openxmlformats.org/officeDocument/2006/relationships/hyperlink" Target="https://apvma.gov.au/node/985" TargetMode="External" Id="rId35" /><Relationship Type="http://schemas.openxmlformats.org/officeDocument/2006/relationships/image" Target="media/image7.gif" Id="rId43" /><Relationship Type="http://schemas.openxmlformats.org/officeDocument/2006/relationships/hyperlink" Target="https://apvma.gov.au/sites/default/files/fm_mql45.docx" TargetMode="External" Id="rId48" /><Relationship Type="http://schemas.openxmlformats.org/officeDocument/2006/relationships/hyperlink" Target="http://apvma.gov.au/node/19676" TargetMode="External" Id="rId56" /><Relationship Type="http://schemas.openxmlformats.org/officeDocument/2006/relationships/header" Target="header4.xml" Id="rId64" /><Relationship Type="http://schemas.openxmlformats.org/officeDocument/2006/relationships/hyperlink" Target="http://apvma.gov.au/sites/default/files/docs/fm-mql04-pre-audit-notification-and-information-form-australian-sites.docx" TargetMode="External" Id="rId69" /><Relationship Type="http://schemas.openxmlformats.org/officeDocument/2006/relationships/hyperlink" Target="http://apvma.gov.au/sites/default/files/docs/form-fm_mql28-v2.doc" TargetMode="External" Id="rId77" /><Relationship Type="http://schemas.openxmlformats.org/officeDocument/2006/relationships/endnotes" Target="endnotes.xml" Id="rId8" /><Relationship Type="http://schemas.openxmlformats.org/officeDocument/2006/relationships/hyperlink" Target="https://www.apvma.gov.au/sites/default/files/fm_mql06.docx" TargetMode="External" Id="rId51" /><Relationship Type="http://schemas.openxmlformats.org/officeDocument/2006/relationships/hyperlink" Target="http://apvma.gov.au/sites/default/files/images/fm-mql06-notification-of-completed-audit-form.docx" TargetMode="External" Id="rId72" /><Relationship Type="http://schemas.openxmlformats.org/officeDocument/2006/relationships/hyperlink" Target="http://apvma.gov.au/sites/default/files/docs/form-fm_mql31.doc" TargetMode="External" Id="rId80" /><Relationship Type="http://schemas.openxmlformats.org/officeDocument/2006/relationships/theme" Target="theme/theme1.xml" Id="rId85" /><Relationship Type="http://schemas.openxmlformats.org/officeDocument/2006/relationships/numbering" Target="numbering.xml" Id="rId3" /><Relationship Type="http://schemas.openxmlformats.org/officeDocument/2006/relationships/image" Target="media/image3.png" Id="rId12" /><Relationship Type="http://schemas.openxmlformats.org/officeDocument/2006/relationships/hyperlink" Target="mailto:communications@apvma.gov.au" TargetMode="External" Id="rId17" /><Relationship Type="http://schemas.openxmlformats.org/officeDocument/2006/relationships/hyperlink" Target="https://www.apvma.gov.au/regulation/manufacturing/good-manufacturing-practice" TargetMode="External" Id="rId25" /><Relationship Type="http://schemas.openxmlformats.org/officeDocument/2006/relationships/hyperlink" Target="https://apvma.gov.au/node/173" TargetMode="External" Id="rId33" /><Relationship Type="http://schemas.openxmlformats.org/officeDocument/2006/relationships/hyperlink" Target="https://apvma.gov.au/node/27516" TargetMode="External" Id="rId38" /><Relationship Type="http://schemas.openxmlformats.org/officeDocument/2006/relationships/hyperlink" Target="https://apvma.gov.au/node/26496" TargetMode="External" Id="rId46" /><Relationship Type="http://schemas.openxmlformats.org/officeDocument/2006/relationships/hyperlink" Target="https://forms.office.com/r/5aCqgwpMLs" TargetMode="External" Id="rId59" /><Relationship Type="http://schemas.openxmlformats.org/officeDocument/2006/relationships/footer" Target="footer5.xml" Id="rId67" /><Relationship Type="http://schemas.openxmlformats.org/officeDocument/2006/relationships/header" Target="header2.xml" Id="rId20" /><Relationship Type="http://schemas.openxmlformats.org/officeDocument/2006/relationships/hyperlink" Target="https://apvma.gov.au/node/141" TargetMode="External" Id="rId41" /><Relationship Type="http://schemas.openxmlformats.org/officeDocument/2006/relationships/hyperlink" Target="http://apvma.gov.au/sites/default/files/docs/form-fm_mql05-v2.doc" TargetMode="External" Id="rId54" /><Relationship Type="http://schemas.openxmlformats.org/officeDocument/2006/relationships/hyperlink" Target="http://apvma.gov.au/sites/default/files/docs/form-fm_mql45.docx" TargetMode="External" Id="rId62" /><Relationship Type="http://schemas.openxmlformats.org/officeDocument/2006/relationships/hyperlink" Target="http://apvma.gov.au/sites/default/files/images/fm-mql45-pre-audit-notification-and-information-overseas.docx" TargetMode="External" Id="rId70" /><Relationship Type="http://schemas.openxmlformats.org/officeDocument/2006/relationships/hyperlink" Target="http://apvma.gov.au/sites/default/files/images/fm_mql26-response-to-gmp-audit-report.docx" TargetMode="External" Id="rId75" /><Relationship Type="http://schemas.openxmlformats.org/officeDocument/2006/relationships/header" Target="header6.xml" Id="rId83"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creativecommons.org/licenses/by/3.0/au/legalcode" TargetMode="External" Id="rId15" /><Relationship Type="http://schemas.openxmlformats.org/officeDocument/2006/relationships/hyperlink" Target="https://apvma.gov.au/node/61976" TargetMode="External" Id="rId23" /><Relationship Type="http://schemas.openxmlformats.org/officeDocument/2006/relationships/hyperlink" Target="https://picscheme.org/en/picscheme" TargetMode="External" Id="rId28" /><Relationship Type="http://schemas.openxmlformats.org/officeDocument/2006/relationships/hyperlink" Target="https://apvma.gov.au/node/27511" TargetMode="External" Id="rId36" /><Relationship Type="http://schemas.openxmlformats.org/officeDocument/2006/relationships/hyperlink" Target="https://apvma.gov.au/sites/default/files/fm_mql23.docx" TargetMode="External" Id="rId49" /><Relationship Type="http://schemas.openxmlformats.org/officeDocument/2006/relationships/hyperlink" Target="mailto:mls@apvma.gov.au" TargetMode="External" Id="rId57" /><Relationship Type="http://schemas.openxmlformats.org/officeDocument/2006/relationships/image" Target="media/image2.png" Id="rId10" /><Relationship Type="http://schemas.openxmlformats.org/officeDocument/2006/relationships/hyperlink" Target="https://www.apvma.gov.au/registrations-and-permits/chemical-product-registration/stockfeed-petfood-regulation" TargetMode="External" Id="rId31" /><Relationship Type="http://schemas.openxmlformats.org/officeDocument/2006/relationships/image" Target="media/image8.png" Id="rId44" /><Relationship Type="http://schemas.openxmlformats.org/officeDocument/2006/relationships/hyperlink" Target="http://apvma.gov.au/sites/default/files/docs/form-fm_mql06-v6.doc" TargetMode="External" Id="rId52" /><Relationship Type="http://schemas.openxmlformats.org/officeDocument/2006/relationships/hyperlink" Target="https://www.apvma.gov.au/sites/default/files/fm_mql24.docx" TargetMode="External" Id="rId60" /><Relationship Type="http://schemas.openxmlformats.org/officeDocument/2006/relationships/header" Target="header5.xml" Id="rId65" /><Relationship Type="http://schemas.openxmlformats.org/officeDocument/2006/relationships/hyperlink" Target="http://apvma.gov.au/sites/default/files/images/fm-mql23-confirmation-of-audit-booking-form.docx" TargetMode="External" Id="rId73" /><Relationship Type="http://schemas.openxmlformats.org/officeDocument/2006/relationships/hyperlink" Target="http://apvma.gov.au/sites/default/files/docs/form-fm_mql29.doc" TargetMode="External" Id="rId78" /><Relationship Type="http://schemas.openxmlformats.org/officeDocument/2006/relationships/hyperlink" Target="http://apvma.gov.au/sites/default/files/docs/form-fm_mql32.doc" TargetMode="External" Id="rId8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4.png" Id="rId13" /><Relationship Type="http://schemas.openxmlformats.org/officeDocument/2006/relationships/hyperlink" Target="http://www.apvma.gov.au/" TargetMode="External" Id="rId18" /><Relationship Type="http://schemas.openxmlformats.org/officeDocument/2006/relationships/hyperlink" Target="https://apvma.gov.au/sites/default/files/images/fm_mql04-pre-audit-notification-information-form-australian-sites.docx" TargetMode="External" Id="rId39" /><Relationship Type="http://schemas.openxmlformats.org/officeDocument/2006/relationships/hyperlink" Target="https://apvma.gov.au/node/172" TargetMode="External" Id="rId34" /><Relationship Type="http://schemas.openxmlformats.org/officeDocument/2006/relationships/hyperlink" Target="https://www.iso.org/standard/70017.html" TargetMode="External" Id="rId50" /><Relationship Type="http://schemas.openxmlformats.org/officeDocument/2006/relationships/hyperlink" Target="http://apvma.gov.au/node/19676" TargetMode="External" Id="rId55" /><Relationship Type="http://schemas.openxmlformats.org/officeDocument/2006/relationships/hyperlink" Target="http://apvma.gov.au/sites/default/files/docs/form-fm_mql27-v2.doc" TargetMode="External" Id="rId76" /><Relationship Type="http://schemas.openxmlformats.org/officeDocument/2006/relationships/footnotes" Target="footnotes.xml" Id="rId7" /><Relationship Type="http://schemas.openxmlformats.org/officeDocument/2006/relationships/hyperlink" Target="http://apvma.gov.au/sites/default/files/images/fm-mql05-gmp-audit-report.docx" TargetMode="External" Id="rId71" /><Relationship Type="http://schemas.openxmlformats.org/officeDocument/2006/relationships/hyperlink" Target="https://nata.com.au/accreditation/laboratory-accreditation-iso-iec-17025/" TargetMode="External" Id="rId29" /><Relationship Type="http://schemas.openxmlformats.org/officeDocument/2006/relationships/hyperlink" Target="http://www.comlaw.gov.au/Details/F2014L00859" TargetMode="External" Id="rId24" /><Relationship Type="http://schemas.openxmlformats.org/officeDocument/2006/relationships/hyperlink" Target="https://apvma.gov.au/node/108" TargetMode="External" Id="rId40" /><Relationship Type="http://schemas.openxmlformats.org/officeDocument/2006/relationships/hyperlink" Target="https://apvma.gov.au/node/11006" TargetMode="External" Id="rId45" /><Relationship Type="http://schemas.openxmlformats.org/officeDocument/2006/relationships/footer" Target="footer4.xml" Id="rId66" /><Relationship Type="http://schemas.openxmlformats.org/officeDocument/2006/relationships/hyperlink" Target="mailto:mls@apvma.gov.au" TargetMode="External" Id="rId61" /><Relationship Type="http://schemas.openxmlformats.org/officeDocument/2006/relationships/image" Target="media/image10.png" Id="rId82" /><Relationship Type="http://schemas.openxmlformats.org/officeDocument/2006/relationships/customXml" Target="/customXML/item4.xml" Id="R5dba48b60452404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cneil\Objects\GMP%20audit%20procedure%20-%20new%20format.docx%20(A47812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A3312861</value>
    </field>
    <field name="Objective-Title">
      <value order="0">240704 GMP Audit Procedure (Revision for Public Consultation)</value>
    </field>
    <field name="Objective-Description">
      <value order="0"/>
    </field>
    <field name="Objective-CreationStamp">
      <value order="0">2024-07-04T06:06:55Z</value>
    </field>
    <field name="Objective-IsApproved">
      <value order="0">false</value>
    </field>
    <field name="Objective-IsPublished">
      <value order="0">false</value>
    </field>
    <field name="Objective-DatePublished">
      <value order="0"/>
    </field>
    <field name="Objective-ModificationStamp">
      <value order="0">2024-07-08T04:32:32Z</value>
    </field>
    <field name="Objective-Owner">
      <value order="0">Jocelyn Wardle</value>
    </field>
    <field name="Objective-Path">
      <value order="0">APVMA:PUBLIC AFFAIRS AND COMMUNICATION:03 - Public Affairs and Communications - Digital Communications:04 - Digital Communications - Website - Publishing Records - 2020-2025:2024:156 - GMP Audit Procedure Project - Public consultation</value>
    </field>
    <field name="Objective-Parent">
      <value order="0">156 - GMP Audit Procedure Project - Public consultation</value>
    </field>
    <field name="Objective-State">
      <value order="0">Being Drafted</value>
    </field>
    <field name="Objective-VersionId">
      <value order="0">vA4944478</value>
    </field>
    <field name="Objective-Version">
      <value order="0">0.2</value>
    </field>
    <field name="Objective-VersionNumber">
      <value order="0">2</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1B3A6-B909-4B25-834F-1F3DDB4D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GMP audit procedure - new format.docx (A478126).dotm</Template>
  <TotalTime>1</TotalTime>
  <Pages>38</Pages>
  <Words>10993</Words>
  <Characters>62661</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APVMA GMP Audit Procedure</vt:lpstr>
    </vt:vector>
  </TitlesOfParts>
  <Manager/>
  <Company>Australian Pesticides and Veterinary Medicines Authority</Company>
  <LinksUpToDate>false</LinksUpToDate>
  <CharactersWithSpaces>73507</CharactersWithSpaces>
  <SharedDoc>false</SharedDoc>
  <HyperlinkBase/>
  <HLinks>
    <vt:vector size="408" baseType="variant">
      <vt:variant>
        <vt:i4>4063275</vt:i4>
      </vt:variant>
      <vt:variant>
        <vt:i4>278</vt:i4>
      </vt:variant>
      <vt:variant>
        <vt:i4>0</vt:i4>
      </vt:variant>
      <vt:variant>
        <vt:i4>5</vt:i4>
      </vt:variant>
      <vt:variant>
        <vt:lpwstr>http://apvma.gov.au/node/19691</vt:lpwstr>
      </vt:variant>
      <vt:variant>
        <vt:lpwstr/>
      </vt:variant>
      <vt:variant>
        <vt:i4>3735589</vt:i4>
      </vt:variant>
      <vt:variant>
        <vt:i4>275</vt:i4>
      </vt:variant>
      <vt:variant>
        <vt:i4>0</vt:i4>
      </vt:variant>
      <vt:variant>
        <vt:i4>5</vt:i4>
      </vt:variant>
      <vt:variant>
        <vt:lpwstr>http://apvma.gov.au/node/19676</vt:lpwstr>
      </vt:variant>
      <vt:variant>
        <vt:lpwstr/>
      </vt:variant>
      <vt:variant>
        <vt:i4>4063275</vt:i4>
      </vt:variant>
      <vt:variant>
        <vt:i4>272</vt:i4>
      </vt:variant>
      <vt:variant>
        <vt:i4>0</vt:i4>
      </vt:variant>
      <vt:variant>
        <vt:i4>5</vt:i4>
      </vt:variant>
      <vt:variant>
        <vt:lpwstr>http://apvma.gov.au/node/19691</vt:lpwstr>
      </vt:variant>
      <vt:variant>
        <vt:lpwstr/>
      </vt:variant>
      <vt:variant>
        <vt:i4>3735568</vt:i4>
      </vt:variant>
      <vt:variant>
        <vt:i4>269</vt:i4>
      </vt:variant>
      <vt:variant>
        <vt:i4>0</vt:i4>
      </vt:variant>
      <vt:variant>
        <vt:i4>5</vt:i4>
      </vt:variant>
      <vt:variant>
        <vt:lpwstr>http://apvma.gov.au/sites/default/files/docs/form-fm_mql32.doc</vt:lpwstr>
      </vt:variant>
      <vt:variant>
        <vt:lpwstr/>
      </vt:variant>
      <vt:variant>
        <vt:i4>3801104</vt:i4>
      </vt:variant>
      <vt:variant>
        <vt:i4>266</vt:i4>
      </vt:variant>
      <vt:variant>
        <vt:i4>0</vt:i4>
      </vt:variant>
      <vt:variant>
        <vt:i4>5</vt:i4>
      </vt:variant>
      <vt:variant>
        <vt:lpwstr>http://apvma.gov.au/sites/default/files/docs/form-fm_mql31.doc</vt:lpwstr>
      </vt:variant>
      <vt:variant>
        <vt:lpwstr/>
      </vt:variant>
      <vt:variant>
        <vt:i4>3866640</vt:i4>
      </vt:variant>
      <vt:variant>
        <vt:i4>263</vt:i4>
      </vt:variant>
      <vt:variant>
        <vt:i4>0</vt:i4>
      </vt:variant>
      <vt:variant>
        <vt:i4>5</vt:i4>
      </vt:variant>
      <vt:variant>
        <vt:lpwstr>http://apvma.gov.au/sites/default/files/docs/form-fm_mql30.doc</vt:lpwstr>
      </vt:variant>
      <vt:variant>
        <vt:lpwstr/>
      </vt:variant>
      <vt:variant>
        <vt:i4>3276817</vt:i4>
      </vt:variant>
      <vt:variant>
        <vt:i4>260</vt:i4>
      </vt:variant>
      <vt:variant>
        <vt:i4>0</vt:i4>
      </vt:variant>
      <vt:variant>
        <vt:i4>5</vt:i4>
      </vt:variant>
      <vt:variant>
        <vt:lpwstr>http://apvma.gov.au/sites/default/files/docs/form-fm_mql29.doc</vt:lpwstr>
      </vt:variant>
      <vt:variant>
        <vt:lpwstr/>
      </vt:variant>
      <vt:variant>
        <vt:i4>196651</vt:i4>
      </vt:variant>
      <vt:variant>
        <vt:i4>257</vt:i4>
      </vt:variant>
      <vt:variant>
        <vt:i4>0</vt:i4>
      </vt:variant>
      <vt:variant>
        <vt:i4>5</vt:i4>
      </vt:variant>
      <vt:variant>
        <vt:lpwstr>http://apvma.gov.au/sites/default/files/docs/form-fm_mql28-v2.doc</vt:lpwstr>
      </vt:variant>
      <vt:variant>
        <vt:lpwstr/>
      </vt:variant>
      <vt:variant>
        <vt:i4>786475</vt:i4>
      </vt:variant>
      <vt:variant>
        <vt:i4>254</vt:i4>
      </vt:variant>
      <vt:variant>
        <vt:i4>0</vt:i4>
      </vt:variant>
      <vt:variant>
        <vt:i4>5</vt:i4>
      </vt:variant>
      <vt:variant>
        <vt:lpwstr>http://apvma.gov.au/sites/default/files/docs/form-fm_mql27-v2.doc</vt:lpwstr>
      </vt:variant>
      <vt:variant>
        <vt:lpwstr/>
      </vt:variant>
      <vt:variant>
        <vt:i4>2359312</vt:i4>
      </vt:variant>
      <vt:variant>
        <vt:i4>251</vt:i4>
      </vt:variant>
      <vt:variant>
        <vt:i4>0</vt:i4>
      </vt:variant>
      <vt:variant>
        <vt:i4>5</vt:i4>
      </vt:variant>
      <vt:variant>
        <vt:lpwstr>http://apvma.gov.au/sites/default/files/images/fm_mql26-response-to-gmp-audit-report.docx</vt:lpwstr>
      </vt:variant>
      <vt:variant>
        <vt:lpwstr/>
      </vt:variant>
      <vt:variant>
        <vt:i4>983046</vt:i4>
      </vt:variant>
      <vt:variant>
        <vt:i4>248</vt:i4>
      </vt:variant>
      <vt:variant>
        <vt:i4>0</vt:i4>
      </vt:variant>
      <vt:variant>
        <vt:i4>5</vt:i4>
      </vt:variant>
      <vt:variant>
        <vt:lpwstr>http://apvma.gov.au/sites/default/files/docs/fm-mql24-corrective-action-review-form.docx</vt:lpwstr>
      </vt:variant>
      <vt:variant>
        <vt:lpwstr/>
      </vt:variant>
      <vt:variant>
        <vt:i4>3473507</vt:i4>
      </vt:variant>
      <vt:variant>
        <vt:i4>245</vt:i4>
      </vt:variant>
      <vt:variant>
        <vt:i4>0</vt:i4>
      </vt:variant>
      <vt:variant>
        <vt:i4>5</vt:i4>
      </vt:variant>
      <vt:variant>
        <vt:lpwstr>http://apvma.gov.au/sites/default/files/images/fm-mql23-confirmation-of-audit-booking-form.docx</vt:lpwstr>
      </vt:variant>
      <vt:variant>
        <vt:lpwstr/>
      </vt:variant>
      <vt:variant>
        <vt:i4>5636097</vt:i4>
      </vt:variant>
      <vt:variant>
        <vt:i4>242</vt:i4>
      </vt:variant>
      <vt:variant>
        <vt:i4>0</vt:i4>
      </vt:variant>
      <vt:variant>
        <vt:i4>5</vt:i4>
      </vt:variant>
      <vt:variant>
        <vt:lpwstr>http://apvma.gov.au/sites/default/files/images/fm-mql06-notification-of-completed-audit-form.docx</vt:lpwstr>
      </vt:variant>
      <vt:variant>
        <vt:lpwstr/>
      </vt:variant>
      <vt:variant>
        <vt:i4>1245260</vt:i4>
      </vt:variant>
      <vt:variant>
        <vt:i4>239</vt:i4>
      </vt:variant>
      <vt:variant>
        <vt:i4>0</vt:i4>
      </vt:variant>
      <vt:variant>
        <vt:i4>5</vt:i4>
      </vt:variant>
      <vt:variant>
        <vt:lpwstr>http://apvma.gov.au/sites/default/files/images/fm-mql05-gmp-audit-report.docx</vt:lpwstr>
      </vt:variant>
      <vt:variant>
        <vt:lpwstr/>
      </vt:variant>
      <vt:variant>
        <vt:i4>4653146</vt:i4>
      </vt:variant>
      <vt:variant>
        <vt:i4>236</vt:i4>
      </vt:variant>
      <vt:variant>
        <vt:i4>0</vt:i4>
      </vt:variant>
      <vt:variant>
        <vt:i4>5</vt:i4>
      </vt:variant>
      <vt:variant>
        <vt:lpwstr>http://apvma.gov.au/sites/default/files/images/fm-mql45-pre-audit-notification-and-information-overseas.docx</vt:lpwstr>
      </vt:variant>
      <vt:variant>
        <vt:lpwstr/>
      </vt:variant>
      <vt:variant>
        <vt:i4>2752555</vt:i4>
      </vt:variant>
      <vt:variant>
        <vt:i4>233</vt:i4>
      </vt:variant>
      <vt:variant>
        <vt:i4>0</vt:i4>
      </vt:variant>
      <vt:variant>
        <vt:i4>5</vt:i4>
      </vt:variant>
      <vt:variant>
        <vt:lpwstr>http://apvma.gov.au/sites/default/files/docs/fm-mql04-pre-audit-notification-and-information-form-australian-sites.docx</vt:lpwstr>
      </vt:variant>
      <vt:variant>
        <vt:lpwstr/>
      </vt:variant>
      <vt:variant>
        <vt:i4>917531</vt:i4>
      </vt:variant>
      <vt:variant>
        <vt:i4>227</vt:i4>
      </vt:variant>
      <vt:variant>
        <vt:i4>0</vt:i4>
      </vt:variant>
      <vt:variant>
        <vt:i4>5</vt:i4>
      </vt:variant>
      <vt:variant>
        <vt:lpwstr>http://apvma.gov.au/node/1075</vt:lpwstr>
      </vt:variant>
      <vt:variant>
        <vt:lpwstr/>
      </vt:variant>
      <vt:variant>
        <vt:i4>4063255</vt:i4>
      </vt:variant>
      <vt:variant>
        <vt:i4>224</vt:i4>
      </vt:variant>
      <vt:variant>
        <vt:i4>0</vt:i4>
      </vt:variant>
      <vt:variant>
        <vt:i4>5</vt:i4>
      </vt:variant>
      <vt:variant>
        <vt:lpwstr>http://apvma.gov.au/sites/default/files/docs/form-fm_mql45.docx</vt:lpwstr>
      </vt:variant>
      <vt:variant>
        <vt:lpwstr/>
      </vt:variant>
      <vt:variant>
        <vt:i4>4128802</vt:i4>
      </vt:variant>
      <vt:variant>
        <vt:i4>221</vt:i4>
      </vt:variant>
      <vt:variant>
        <vt:i4>0</vt:i4>
      </vt:variant>
      <vt:variant>
        <vt:i4>5</vt:i4>
      </vt:variant>
      <vt:variant>
        <vt:lpwstr>http://apvma.gov.au/node/19701</vt:lpwstr>
      </vt:variant>
      <vt:variant>
        <vt:lpwstr/>
      </vt:variant>
      <vt:variant>
        <vt:i4>4063275</vt:i4>
      </vt:variant>
      <vt:variant>
        <vt:i4>218</vt:i4>
      </vt:variant>
      <vt:variant>
        <vt:i4>0</vt:i4>
      </vt:variant>
      <vt:variant>
        <vt:i4>5</vt:i4>
      </vt:variant>
      <vt:variant>
        <vt:lpwstr>http://apvma.gov.au/node/19691</vt:lpwstr>
      </vt:variant>
      <vt:variant>
        <vt:lpwstr/>
      </vt:variant>
      <vt:variant>
        <vt:i4>4063275</vt:i4>
      </vt:variant>
      <vt:variant>
        <vt:i4>215</vt:i4>
      </vt:variant>
      <vt:variant>
        <vt:i4>0</vt:i4>
      </vt:variant>
      <vt:variant>
        <vt:i4>5</vt:i4>
      </vt:variant>
      <vt:variant>
        <vt:lpwstr>http://apvma.gov.au/node/19691</vt:lpwstr>
      </vt:variant>
      <vt:variant>
        <vt:lpwstr/>
      </vt:variant>
      <vt:variant>
        <vt:i4>4128802</vt:i4>
      </vt:variant>
      <vt:variant>
        <vt:i4>212</vt:i4>
      </vt:variant>
      <vt:variant>
        <vt:i4>0</vt:i4>
      </vt:variant>
      <vt:variant>
        <vt:i4>5</vt:i4>
      </vt:variant>
      <vt:variant>
        <vt:lpwstr>http://apvma.gov.au/node/19701</vt:lpwstr>
      </vt:variant>
      <vt:variant>
        <vt:lpwstr/>
      </vt:variant>
      <vt:variant>
        <vt:i4>4259962</vt:i4>
      </vt:variant>
      <vt:variant>
        <vt:i4>209</vt:i4>
      </vt:variant>
      <vt:variant>
        <vt:i4>0</vt:i4>
      </vt:variant>
      <vt:variant>
        <vt:i4>5</vt:i4>
      </vt:variant>
      <vt:variant>
        <vt:lpwstr>http://apvma.gov.au/sites/default/files/docs/fm_mql26-response-to-gmp-audit-report.docx</vt:lpwstr>
      </vt:variant>
      <vt:variant>
        <vt:lpwstr/>
      </vt:variant>
      <vt:variant>
        <vt:i4>4063275</vt:i4>
      </vt:variant>
      <vt:variant>
        <vt:i4>206</vt:i4>
      </vt:variant>
      <vt:variant>
        <vt:i4>0</vt:i4>
      </vt:variant>
      <vt:variant>
        <vt:i4>5</vt:i4>
      </vt:variant>
      <vt:variant>
        <vt:lpwstr>http://apvma.gov.au/node/19691</vt:lpwstr>
      </vt:variant>
      <vt:variant>
        <vt:lpwstr/>
      </vt:variant>
      <vt:variant>
        <vt:i4>3735589</vt:i4>
      </vt:variant>
      <vt:variant>
        <vt:i4>203</vt:i4>
      </vt:variant>
      <vt:variant>
        <vt:i4>0</vt:i4>
      </vt:variant>
      <vt:variant>
        <vt:i4>5</vt:i4>
      </vt:variant>
      <vt:variant>
        <vt:lpwstr>http://apvma.gov.au/node/19676</vt:lpwstr>
      </vt:variant>
      <vt:variant>
        <vt:lpwstr/>
      </vt:variant>
      <vt:variant>
        <vt:i4>4063275</vt:i4>
      </vt:variant>
      <vt:variant>
        <vt:i4>200</vt:i4>
      </vt:variant>
      <vt:variant>
        <vt:i4>0</vt:i4>
      </vt:variant>
      <vt:variant>
        <vt:i4>5</vt:i4>
      </vt:variant>
      <vt:variant>
        <vt:lpwstr>http://apvma.gov.au/node/19691</vt:lpwstr>
      </vt:variant>
      <vt:variant>
        <vt:lpwstr/>
      </vt:variant>
      <vt:variant>
        <vt:i4>4259962</vt:i4>
      </vt:variant>
      <vt:variant>
        <vt:i4>197</vt:i4>
      </vt:variant>
      <vt:variant>
        <vt:i4>0</vt:i4>
      </vt:variant>
      <vt:variant>
        <vt:i4>5</vt:i4>
      </vt:variant>
      <vt:variant>
        <vt:lpwstr>http://apvma.gov.au/sites/default/files/docs/fm_mql26-response-to-gmp-audit-report.docx</vt:lpwstr>
      </vt:variant>
      <vt:variant>
        <vt:lpwstr/>
      </vt:variant>
      <vt:variant>
        <vt:i4>4063275</vt:i4>
      </vt:variant>
      <vt:variant>
        <vt:i4>194</vt:i4>
      </vt:variant>
      <vt:variant>
        <vt:i4>0</vt:i4>
      </vt:variant>
      <vt:variant>
        <vt:i4>5</vt:i4>
      </vt:variant>
      <vt:variant>
        <vt:lpwstr>http://apvma.gov.au/node/19691</vt:lpwstr>
      </vt:variant>
      <vt:variant>
        <vt:lpwstr/>
      </vt:variant>
      <vt:variant>
        <vt:i4>4063275</vt:i4>
      </vt:variant>
      <vt:variant>
        <vt:i4>191</vt:i4>
      </vt:variant>
      <vt:variant>
        <vt:i4>0</vt:i4>
      </vt:variant>
      <vt:variant>
        <vt:i4>5</vt:i4>
      </vt:variant>
      <vt:variant>
        <vt:lpwstr>http://apvma.gov.au/node/19691</vt:lpwstr>
      </vt:variant>
      <vt:variant>
        <vt:lpwstr/>
      </vt:variant>
      <vt:variant>
        <vt:i4>4063275</vt:i4>
      </vt:variant>
      <vt:variant>
        <vt:i4>188</vt:i4>
      </vt:variant>
      <vt:variant>
        <vt:i4>0</vt:i4>
      </vt:variant>
      <vt:variant>
        <vt:i4>5</vt:i4>
      </vt:variant>
      <vt:variant>
        <vt:lpwstr>http://apvma.gov.au/node/19691</vt:lpwstr>
      </vt:variant>
      <vt:variant>
        <vt:lpwstr/>
      </vt:variant>
      <vt:variant>
        <vt:i4>3735589</vt:i4>
      </vt:variant>
      <vt:variant>
        <vt:i4>185</vt:i4>
      </vt:variant>
      <vt:variant>
        <vt:i4>0</vt:i4>
      </vt:variant>
      <vt:variant>
        <vt:i4>5</vt:i4>
      </vt:variant>
      <vt:variant>
        <vt:lpwstr>http://apvma.gov.au/node/19676</vt:lpwstr>
      </vt:variant>
      <vt:variant>
        <vt:lpwstr/>
      </vt:variant>
      <vt:variant>
        <vt:i4>3735589</vt:i4>
      </vt:variant>
      <vt:variant>
        <vt:i4>182</vt:i4>
      </vt:variant>
      <vt:variant>
        <vt:i4>0</vt:i4>
      </vt:variant>
      <vt:variant>
        <vt:i4>5</vt:i4>
      </vt:variant>
      <vt:variant>
        <vt:lpwstr>http://apvma.gov.au/node/19676</vt:lpwstr>
      </vt:variant>
      <vt:variant>
        <vt:lpwstr/>
      </vt:variant>
      <vt:variant>
        <vt:i4>917545</vt:i4>
      </vt:variant>
      <vt:variant>
        <vt:i4>179</vt:i4>
      </vt:variant>
      <vt:variant>
        <vt:i4>0</vt:i4>
      </vt:variant>
      <vt:variant>
        <vt:i4>5</vt:i4>
      </vt:variant>
      <vt:variant>
        <vt:lpwstr>http://apvma.gov.au/sites/default/files/docs/form-fm_mql05-v2.doc</vt:lpwstr>
      </vt:variant>
      <vt:variant>
        <vt:lpwstr/>
      </vt:variant>
      <vt:variant>
        <vt:i4>852013</vt:i4>
      </vt:variant>
      <vt:variant>
        <vt:i4>176</vt:i4>
      </vt:variant>
      <vt:variant>
        <vt:i4>0</vt:i4>
      </vt:variant>
      <vt:variant>
        <vt:i4>5</vt:i4>
      </vt:variant>
      <vt:variant>
        <vt:lpwstr>http://apvma.gov.au/sites/default/files/docs/form-fm_mql06-v6.doc</vt:lpwstr>
      </vt:variant>
      <vt:variant>
        <vt:lpwstr/>
      </vt:variant>
      <vt:variant>
        <vt:i4>3735589</vt:i4>
      </vt:variant>
      <vt:variant>
        <vt:i4>173</vt:i4>
      </vt:variant>
      <vt:variant>
        <vt:i4>0</vt:i4>
      </vt:variant>
      <vt:variant>
        <vt:i4>5</vt:i4>
      </vt:variant>
      <vt:variant>
        <vt:lpwstr>http://apvma.gov.au/node/19676</vt:lpwstr>
      </vt:variant>
      <vt:variant>
        <vt:lpwstr/>
      </vt:variant>
      <vt:variant>
        <vt:i4>4063275</vt:i4>
      </vt:variant>
      <vt:variant>
        <vt:i4>170</vt:i4>
      </vt:variant>
      <vt:variant>
        <vt:i4>0</vt:i4>
      </vt:variant>
      <vt:variant>
        <vt:i4>5</vt:i4>
      </vt:variant>
      <vt:variant>
        <vt:lpwstr>http://apvma.gov.au/node/19691</vt:lpwstr>
      </vt:variant>
      <vt:variant>
        <vt:lpwstr/>
      </vt:variant>
      <vt:variant>
        <vt:i4>131086</vt:i4>
      </vt:variant>
      <vt:variant>
        <vt:i4>167</vt:i4>
      </vt:variant>
      <vt:variant>
        <vt:i4>0</vt:i4>
      </vt:variant>
      <vt:variant>
        <vt:i4>5</vt:i4>
      </vt:variant>
      <vt:variant>
        <vt:lpwstr>http://apvma.gov.au/</vt:lpwstr>
      </vt:variant>
      <vt:variant>
        <vt:lpwstr/>
      </vt:variant>
      <vt:variant>
        <vt:i4>3932261</vt:i4>
      </vt:variant>
      <vt:variant>
        <vt:i4>164</vt:i4>
      </vt:variant>
      <vt:variant>
        <vt:i4>0</vt:i4>
      </vt:variant>
      <vt:variant>
        <vt:i4>5</vt:i4>
      </vt:variant>
      <vt:variant>
        <vt:lpwstr>https://apvma.gov.au/node/26496</vt:lpwstr>
      </vt:variant>
      <vt:variant>
        <vt:lpwstr/>
      </vt:variant>
      <vt:variant>
        <vt:i4>6684754</vt:i4>
      </vt:variant>
      <vt:variant>
        <vt:i4>161</vt:i4>
      </vt:variant>
      <vt:variant>
        <vt:i4>0</vt:i4>
      </vt:variant>
      <vt:variant>
        <vt:i4>5</vt:i4>
      </vt:variant>
      <vt:variant>
        <vt:lpwstr>http://apvma.gov.au/sites/default/files/docs/gmp_code_vet_0.pdf</vt:lpwstr>
      </vt:variant>
      <vt:variant>
        <vt:lpwstr/>
      </vt:variant>
      <vt:variant>
        <vt:i4>458838</vt:i4>
      </vt:variant>
      <vt:variant>
        <vt:i4>158</vt:i4>
      </vt:variant>
      <vt:variant>
        <vt:i4>0</vt:i4>
      </vt:variant>
      <vt:variant>
        <vt:i4>5</vt:i4>
      </vt:variant>
      <vt:variant>
        <vt:lpwstr>http://www.comlaw.gov.au/Details/F2014L00859</vt:lpwstr>
      </vt:variant>
      <vt:variant>
        <vt:lpwstr/>
      </vt:variant>
      <vt:variant>
        <vt:i4>2031666</vt:i4>
      </vt:variant>
      <vt:variant>
        <vt:i4>151</vt:i4>
      </vt:variant>
      <vt:variant>
        <vt:i4>0</vt:i4>
      </vt:variant>
      <vt:variant>
        <vt:i4>5</vt:i4>
      </vt:variant>
      <vt:variant>
        <vt:lpwstr/>
      </vt:variant>
      <vt:variant>
        <vt:lpwstr>_Toc444528012</vt:lpwstr>
      </vt:variant>
      <vt:variant>
        <vt:i4>2031666</vt:i4>
      </vt:variant>
      <vt:variant>
        <vt:i4>145</vt:i4>
      </vt:variant>
      <vt:variant>
        <vt:i4>0</vt:i4>
      </vt:variant>
      <vt:variant>
        <vt:i4>5</vt:i4>
      </vt:variant>
      <vt:variant>
        <vt:lpwstr/>
      </vt:variant>
      <vt:variant>
        <vt:lpwstr>_Toc444528011</vt:lpwstr>
      </vt:variant>
      <vt:variant>
        <vt:i4>2031666</vt:i4>
      </vt:variant>
      <vt:variant>
        <vt:i4>139</vt:i4>
      </vt:variant>
      <vt:variant>
        <vt:i4>0</vt:i4>
      </vt:variant>
      <vt:variant>
        <vt:i4>5</vt:i4>
      </vt:variant>
      <vt:variant>
        <vt:lpwstr/>
      </vt:variant>
      <vt:variant>
        <vt:lpwstr>_Toc444528010</vt:lpwstr>
      </vt:variant>
      <vt:variant>
        <vt:i4>1966130</vt:i4>
      </vt:variant>
      <vt:variant>
        <vt:i4>133</vt:i4>
      </vt:variant>
      <vt:variant>
        <vt:i4>0</vt:i4>
      </vt:variant>
      <vt:variant>
        <vt:i4>5</vt:i4>
      </vt:variant>
      <vt:variant>
        <vt:lpwstr/>
      </vt:variant>
      <vt:variant>
        <vt:lpwstr>_Toc444528009</vt:lpwstr>
      </vt:variant>
      <vt:variant>
        <vt:i4>1966130</vt:i4>
      </vt:variant>
      <vt:variant>
        <vt:i4>127</vt:i4>
      </vt:variant>
      <vt:variant>
        <vt:i4>0</vt:i4>
      </vt:variant>
      <vt:variant>
        <vt:i4>5</vt:i4>
      </vt:variant>
      <vt:variant>
        <vt:lpwstr/>
      </vt:variant>
      <vt:variant>
        <vt:lpwstr>_Toc444528008</vt:lpwstr>
      </vt:variant>
      <vt:variant>
        <vt:i4>1966130</vt:i4>
      </vt:variant>
      <vt:variant>
        <vt:i4>121</vt:i4>
      </vt:variant>
      <vt:variant>
        <vt:i4>0</vt:i4>
      </vt:variant>
      <vt:variant>
        <vt:i4>5</vt:i4>
      </vt:variant>
      <vt:variant>
        <vt:lpwstr/>
      </vt:variant>
      <vt:variant>
        <vt:lpwstr>_Toc444528007</vt:lpwstr>
      </vt:variant>
      <vt:variant>
        <vt:i4>1966130</vt:i4>
      </vt:variant>
      <vt:variant>
        <vt:i4>115</vt:i4>
      </vt:variant>
      <vt:variant>
        <vt:i4>0</vt:i4>
      </vt:variant>
      <vt:variant>
        <vt:i4>5</vt:i4>
      </vt:variant>
      <vt:variant>
        <vt:lpwstr/>
      </vt:variant>
      <vt:variant>
        <vt:lpwstr>_Toc444528006</vt:lpwstr>
      </vt:variant>
      <vt:variant>
        <vt:i4>1966130</vt:i4>
      </vt:variant>
      <vt:variant>
        <vt:i4>109</vt:i4>
      </vt:variant>
      <vt:variant>
        <vt:i4>0</vt:i4>
      </vt:variant>
      <vt:variant>
        <vt:i4>5</vt:i4>
      </vt:variant>
      <vt:variant>
        <vt:lpwstr/>
      </vt:variant>
      <vt:variant>
        <vt:lpwstr>_Toc444528005</vt:lpwstr>
      </vt:variant>
      <vt:variant>
        <vt:i4>1966130</vt:i4>
      </vt:variant>
      <vt:variant>
        <vt:i4>103</vt:i4>
      </vt:variant>
      <vt:variant>
        <vt:i4>0</vt:i4>
      </vt:variant>
      <vt:variant>
        <vt:i4>5</vt:i4>
      </vt:variant>
      <vt:variant>
        <vt:lpwstr/>
      </vt:variant>
      <vt:variant>
        <vt:lpwstr>_Toc444528004</vt:lpwstr>
      </vt:variant>
      <vt:variant>
        <vt:i4>1966130</vt:i4>
      </vt:variant>
      <vt:variant>
        <vt:i4>97</vt:i4>
      </vt:variant>
      <vt:variant>
        <vt:i4>0</vt:i4>
      </vt:variant>
      <vt:variant>
        <vt:i4>5</vt:i4>
      </vt:variant>
      <vt:variant>
        <vt:lpwstr/>
      </vt:variant>
      <vt:variant>
        <vt:lpwstr>_Toc444528003</vt:lpwstr>
      </vt:variant>
      <vt:variant>
        <vt:i4>1966130</vt:i4>
      </vt:variant>
      <vt:variant>
        <vt:i4>91</vt:i4>
      </vt:variant>
      <vt:variant>
        <vt:i4>0</vt:i4>
      </vt:variant>
      <vt:variant>
        <vt:i4>5</vt:i4>
      </vt:variant>
      <vt:variant>
        <vt:lpwstr/>
      </vt:variant>
      <vt:variant>
        <vt:lpwstr>_Toc444528002</vt:lpwstr>
      </vt:variant>
      <vt:variant>
        <vt:i4>1966130</vt:i4>
      </vt:variant>
      <vt:variant>
        <vt:i4>85</vt:i4>
      </vt:variant>
      <vt:variant>
        <vt:i4>0</vt:i4>
      </vt:variant>
      <vt:variant>
        <vt:i4>5</vt:i4>
      </vt:variant>
      <vt:variant>
        <vt:lpwstr/>
      </vt:variant>
      <vt:variant>
        <vt:lpwstr>_Toc444528001</vt:lpwstr>
      </vt:variant>
      <vt:variant>
        <vt:i4>1966130</vt:i4>
      </vt:variant>
      <vt:variant>
        <vt:i4>79</vt:i4>
      </vt:variant>
      <vt:variant>
        <vt:i4>0</vt:i4>
      </vt:variant>
      <vt:variant>
        <vt:i4>5</vt:i4>
      </vt:variant>
      <vt:variant>
        <vt:lpwstr/>
      </vt:variant>
      <vt:variant>
        <vt:lpwstr>_Toc444528000</vt:lpwstr>
      </vt:variant>
      <vt:variant>
        <vt:i4>1572923</vt:i4>
      </vt:variant>
      <vt:variant>
        <vt:i4>73</vt:i4>
      </vt:variant>
      <vt:variant>
        <vt:i4>0</vt:i4>
      </vt:variant>
      <vt:variant>
        <vt:i4>5</vt:i4>
      </vt:variant>
      <vt:variant>
        <vt:lpwstr/>
      </vt:variant>
      <vt:variant>
        <vt:lpwstr>_Toc444527999</vt:lpwstr>
      </vt:variant>
      <vt:variant>
        <vt:i4>1572923</vt:i4>
      </vt:variant>
      <vt:variant>
        <vt:i4>67</vt:i4>
      </vt:variant>
      <vt:variant>
        <vt:i4>0</vt:i4>
      </vt:variant>
      <vt:variant>
        <vt:i4>5</vt:i4>
      </vt:variant>
      <vt:variant>
        <vt:lpwstr/>
      </vt:variant>
      <vt:variant>
        <vt:lpwstr>_Toc444527998</vt:lpwstr>
      </vt:variant>
      <vt:variant>
        <vt:i4>1572923</vt:i4>
      </vt:variant>
      <vt:variant>
        <vt:i4>61</vt:i4>
      </vt:variant>
      <vt:variant>
        <vt:i4>0</vt:i4>
      </vt:variant>
      <vt:variant>
        <vt:i4>5</vt:i4>
      </vt:variant>
      <vt:variant>
        <vt:lpwstr/>
      </vt:variant>
      <vt:variant>
        <vt:lpwstr>_Toc444527997</vt:lpwstr>
      </vt:variant>
      <vt:variant>
        <vt:i4>1572923</vt:i4>
      </vt:variant>
      <vt:variant>
        <vt:i4>55</vt:i4>
      </vt:variant>
      <vt:variant>
        <vt:i4>0</vt:i4>
      </vt:variant>
      <vt:variant>
        <vt:i4>5</vt:i4>
      </vt:variant>
      <vt:variant>
        <vt:lpwstr/>
      </vt:variant>
      <vt:variant>
        <vt:lpwstr>_Toc444527996</vt:lpwstr>
      </vt:variant>
      <vt:variant>
        <vt:i4>1572923</vt:i4>
      </vt:variant>
      <vt:variant>
        <vt:i4>49</vt:i4>
      </vt:variant>
      <vt:variant>
        <vt:i4>0</vt:i4>
      </vt:variant>
      <vt:variant>
        <vt:i4>5</vt:i4>
      </vt:variant>
      <vt:variant>
        <vt:lpwstr/>
      </vt:variant>
      <vt:variant>
        <vt:lpwstr>_Toc444527995</vt:lpwstr>
      </vt:variant>
      <vt:variant>
        <vt:i4>1572923</vt:i4>
      </vt:variant>
      <vt:variant>
        <vt:i4>43</vt:i4>
      </vt:variant>
      <vt:variant>
        <vt:i4>0</vt:i4>
      </vt:variant>
      <vt:variant>
        <vt:i4>5</vt:i4>
      </vt:variant>
      <vt:variant>
        <vt:lpwstr/>
      </vt:variant>
      <vt:variant>
        <vt:lpwstr>_Toc444527994</vt:lpwstr>
      </vt:variant>
      <vt:variant>
        <vt:i4>1572923</vt:i4>
      </vt:variant>
      <vt:variant>
        <vt:i4>37</vt:i4>
      </vt:variant>
      <vt:variant>
        <vt:i4>0</vt:i4>
      </vt:variant>
      <vt:variant>
        <vt:i4>5</vt:i4>
      </vt:variant>
      <vt:variant>
        <vt:lpwstr/>
      </vt:variant>
      <vt:variant>
        <vt:lpwstr>_Toc444527993</vt:lpwstr>
      </vt:variant>
      <vt:variant>
        <vt:i4>1572923</vt:i4>
      </vt:variant>
      <vt:variant>
        <vt:i4>31</vt:i4>
      </vt:variant>
      <vt:variant>
        <vt:i4>0</vt:i4>
      </vt:variant>
      <vt:variant>
        <vt:i4>5</vt:i4>
      </vt:variant>
      <vt:variant>
        <vt:lpwstr/>
      </vt:variant>
      <vt:variant>
        <vt:lpwstr>_Toc444527992</vt:lpwstr>
      </vt:variant>
      <vt:variant>
        <vt:i4>1572923</vt:i4>
      </vt:variant>
      <vt:variant>
        <vt:i4>25</vt:i4>
      </vt:variant>
      <vt:variant>
        <vt:i4>0</vt:i4>
      </vt:variant>
      <vt:variant>
        <vt:i4>5</vt:i4>
      </vt:variant>
      <vt:variant>
        <vt:lpwstr/>
      </vt:variant>
      <vt:variant>
        <vt:lpwstr>_Toc444527991</vt:lpwstr>
      </vt:variant>
      <vt:variant>
        <vt:i4>1572923</vt:i4>
      </vt:variant>
      <vt:variant>
        <vt:i4>19</vt:i4>
      </vt:variant>
      <vt:variant>
        <vt:i4>0</vt:i4>
      </vt:variant>
      <vt:variant>
        <vt:i4>5</vt:i4>
      </vt:variant>
      <vt:variant>
        <vt:lpwstr/>
      </vt:variant>
      <vt:variant>
        <vt:lpwstr>_Toc444527990</vt:lpwstr>
      </vt:variant>
      <vt:variant>
        <vt:i4>131159</vt:i4>
      </vt:variant>
      <vt:variant>
        <vt:i4>14</vt:i4>
      </vt:variant>
      <vt:variant>
        <vt:i4>0</vt:i4>
      </vt:variant>
      <vt:variant>
        <vt:i4>5</vt:i4>
      </vt:variant>
      <vt:variant>
        <vt:lpwstr>http://www.apvma.gov.au/</vt:lpwstr>
      </vt:variant>
      <vt:variant>
        <vt:lpwstr/>
      </vt:variant>
      <vt:variant>
        <vt:i4>5308459</vt:i4>
      </vt:variant>
      <vt:variant>
        <vt:i4>11</vt:i4>
      </vt:variant>
      <vt:variant>
        <vt:i4>0</vt:i4>
      </vt:variant>
      <vt:variant>
        <vt:i4>5</vt:i4>
      </vt:variant>
      <vt:variant>
        <vt:lpwstr>mailto:communications@apvma.gov.au</vt:lpwstr>
      </vt:variant>
      <vt:variant>
        <vt:lpwstr/>
      </vt:variant>
      <vt:variant>
        <vt:i4>7340156</vt:i4>
      </vt:variant>
      <vt:variant>
        <vt:i4>6</vt:i4>
      </vt:variant>
      <vt:variant>
        <vt:i4>0</vt:i4>
      </vt:variant>
      <vt:variant>
        <vt:i4>5</vt:i4>
      </vt:variant>
      <vt:variant>
        <vt:lpwstr>http://www.dpmc.gov.au/guidelines/</vt:lpwstr>
      </vt:variant>
      <vt:variant>
        <vt:lpwstr/>
      </vt:variant>
      <vt:variant>
        <vt:i4>2687085</vt:i4>
      </vt:variant>
      <vt:variant>
        <vt:i4>3</vt:i4>
      </vt:variant>
      <vt:variant>
        <vt:i4>0</vt:i4>
      </vt:variant>
      <vt:variant>
        <vt:i4>5</vt:i4>
      </vt:variant>
      <vt:variant>
        <vt:lpwstr>http://www.creativecommons.org/licenses/by/3.0/au/legalcode</vt:lpwstr>
      </vt:variant>
      <vt:variant>
        <vt:lpwstr/>
      </vt:variant>
      <vt:variant>
        <vt:i4>5111882</vt:i4>
      </vt:variant>
      <vt:variant>
        <vt:i4>0</vt:i4>
      </vt:variant>
      <vt:variant>
        <vt:i4>0</vt:i4>
      </vt:variant>
      <vt:variant>
        <vt:i4>5</vt:i4>
      </vt:variant>
      <vt:variant>
        <vt:lpwstr>http://www.creativecommons.org/licenses/by/3.0/au/deed.en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GMP Audit Procedure</dc:title>
  <dc:subject/>
  <dc:creator>APVMA</dc:creator>
  <cp:keywords/>
  <dc:description/>
  <cp:lastModifiedBy>WARDLE, Jocelyn</cp:lastModifiedBy>
  <cp:revision>2</cp:revision>
  <cp:lastPrinted>2016-03-02T04:23:00Z</cp:lastPrinted>
  <dcterms:created xsi:type="dcterms:W3CDTF">2024-07-04T06:06:00Z</dcterms:created>
  <dcterms:modified xsi:type="dcterms:W3CDTF">2024-07-04T06:06:00Z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A3312861</vt:lpwstr>
  </property>
  <property fmtid="{D5CDD505-2E9C-101B-9397-08002B2CF9AE}" pid="4" name="Objective-Title">
    <vt:lpwstr>240704 GMP Audit Procedure (Revision for Public Consultation)</vt:lpwstr>
  </property>
  <property fmtid="{D5CDD505-2E9C-101B-9397-08002B2CF9AE}" pid="5" name="Objective-Comment">
    <vt:lpwstr/>
  </property>
  <property fmtid="{D5CDD505-2E9C-101B-9397-08002B2CF9AE}" pid="6" name="Objective-CreationStamp">
    <vt:filetime>2024-07-04T06:06:55Z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2024-07-08T04:32:32Z</vt:filetime>
  </property>
  <property fmtid="{D5CDD505-2E9C-101B-9397-08002B2CF9AE}" pid="11" name="Objective-Owner">
    <vt:lpwstr>Jocelyn Wardle</vt:lpwstr>
  </property>
  <property fmtid="{D5CDD505-2E9C-101B-9397-08002B2CF9AE}" pid="12" name="Objective-Path">
    <vt:lpwstr>APVMA:PUBLIC AFFAIRS AND COMMUNICATION:03 - Public Affairs and Communications - Digital Communications:04 - Digital Communications - Website - Publishing Records - 2020-2025:2024:156 - GMP Audit Procedure Project - Public consultation:</vt:lpwstr>
  </property>
  <property fmtid="{D5CDD505-2E9C-101B-9397-08002B2CF9AE}" pid="13" name="Objective-Parent">
    <vt:lpwstr>156 - GMP Audit Procedure Project - Public consultation</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vA4944478</vt:lpwstr>
  </property>
  <property fmtid="{D5CDD505-2E9C-101B-9397-08002B2CF9AE}" pid="23" name="Objective-Connect Creator">
    <vt:lpwstr/>
  </property>
</Properties>
</file>