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370BCC11" w:rsidR="002F4591" w:rsidRPr="00C43350" w:rsidRDefault="00696D9B" w:rsidP="002C1082">
      <w:pPr>
        <w:pStyle w:val="CoverTitle"/>
        <w:spacing w:before="1440"/>
        <w:jc w:val="center"/>
      </w:pPr>
      <w:bookmarkStart w:id="0" w:name="_Toc168724484"/>
      <w:r>
        <w:t xml:space="preserve"> </w:t>
      </w:r>
      <w:r w:rsidR="002F4591" w:rsidRPr="005D1A47">
        <w:rPr>
          <w:noProof/>
        </w:rPr>
        <w:drawing>
          <wp:inline distT="0" distB="0" distL="0" distR="0" wp14:anchorId="404176CA" wp14:editId="764238A3">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0D483479" w:rsidR="00193533" w:rsidRPr="00193533" w:rsidRDefault="005D5931" w:rsidP="002F4591">
      <w:pPr>
        <w:pStyle w:val="CoverTitle"/>
        <w:spacing w:before="2640"/>
        <w:jc w:val="center"/>
      </w:pPr>
      <w:r>
        <w:t>Neomycin</w:t>
      </w:r>
    </w:p>
    <w:p w14:paraId="0F125B7E" w14:textId="5051C86F" w:rsidR="003C0891" w:rsidRDefault="008A3F33" w:rsidP="00193533">
      <w:pPr>
        <w:pStyle w:val="CoverSubtitle"/>
        <w:jc w:val="center"/>
      </w:pPr>
      <w:r>
        <w:t>Review Technical Report</w:t>
      </w:r>
    </w:p>
    <w:p w14:paraId="4E4C9BC9" w14:textId="2422B3E0" w:rsidR="00193533" w:rsidRPr="00E41FED" w:rsidRDefault="000E0323" w:rsidP="008B550C">
      <w:pPr>
        <w:pStyle w:val="Coverdate"/>
        <w:sectPr w:rsidR="00193533" w:rsidRPr="00E41FED" w:rsidSect="00DF3A52">
          <w:pgSz w:w="11906" w:h="16838" w:code="9"/>
          <w:pgMar w:top="2127" w:right="1134" w:bottom="1134" w:left="1134" w:header="1701" w:footer="450" w:gutter="0"/>
          <w:pgNumType w:fmt="lowerRoman"/>
          <w:cols w:space="708"/>
          <w:docGrid w:linePitch="360"/>
        </w:sectPr>
      </w:pPr>
      <w:r w:rsidRPr="008D7E36">
        <w:t>February</w:t>
      </w:r>
      <w:r>
        <w:t xml:space="preserve"> </w:t>
      </w:r>
      <w:r w:rsidR="008A3F33">
        <w:t>202</w:t>
      </w:r>
      <w:r w:rsidR="005D5931">
        <w:t>4</w:t>
      </w:r>
    </w:p>
    <w:p w14:paraId="6C014289" w14:textId="06534366" w:rsidR="00862E63" w:rsidRPr="005C0ACC" w:rsidRDefault="00862E63" w:rsidP="008B550C">
      <w:pPr>
        <w:rPr>
          <w:lang w:eastAsia="en-AU"/>
        </w:rPr>
      </w:pPr>
      <w:r w:rsidRPr="005C0ACC">
        <w:rPr>
          <w:lang w:eastAsia="en-AU"/>
        </w:rPr>
        <w:lastRenderedPageBreak/>
        <w:t xml:space="preserve">© Australian Pesticides and Veterinary Medicines Authority </w:t>
      </w:r>
      <w:r w:rsidR="008A3F33" w:rsidRPr="00C43350">
        <w:rPr>
          <w:lang w:eastAsia="en-AU"/>
        </w:rPr>
        <w:t>202</w:t>
      </w:r>
      <w:r w:rsidR="005D5931" w:rsidRPr="00C43350">
        <w:rPr>
          <w:lang w:eastAsia="en-AU"/>
        </w:rPr>
        <w:t>4</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52717DD3"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AB7F93D"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0BB4C54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0A237905" w:rsidR="002E20AC" w:rsidRPr="008B550C" w:rsidRDefault="00862E63" w:rsidP="008B550C">
      <w:pPr>
        <w:rPr>
          <w:szCs w:val="16"/>
        </w:rPr>
        <w:sectPr w:rsidR="002E20AC" w:rsidRPr="008B550C" w:rsidSect="00DF3A52">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089B738B" w14:textId="2D96F4D4" w:rsidR="00D76256" w:rsidRDefault="00B05454">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58818229" w:history="1">
        <w:r w:rsidR="00D76256" w:rsidRPr="001A73AB">
          <w:rPr>
            <w:rStyle w:val="Hyperlink"/>
          </w:rPr>
          <w:t>Preface</w:t>
        </w:r>
        <w:r w:rsidR="00D76256">
          <w:rPr>
            <w:webHidden/>
          </w:rPr>
          <w:tab/>
        </w:r>
        <w:r w:rsidR="00D76256">
          <w:rPr>
            <w:webHidden/>
          </w:rPr>
          <w:fldChar w:fldCharType="begin"/>
        </w:r>
        <w:r w:rsidR="00D76256">
          <w:rPr>
            <w:webHidden/>
          </w:rPr>
          <w:instrText xml:space="preserve"> PAGEREF _Toc158818229 \h </w:instrText>
        </w:r>
        <w:r w:rsidR="00D76256">
          <w:rPr>
            <w:webHidden/>
          </w:rPr>
        </w:r>
        <w:r w:rsidR="00D76256">
          <w:rPr>
            <w:webHidden/>
          </w:rPr>
          <w:fldChar w:fldCharType="separate"/>
        </w:r>
        <w:r w:rsidR="00A75CD4">
          <w:rPr>
            <w:webHidden/>
          </w:rPr>
          <w:t>1</w:t>
        </w:r>
        <w:r w:rsidR="00D76256">
          <w:rPr>
            <w:webHidden/>
          </w:rPr>
          <w:fldChar w:fldCharType="end"/>
        </w:r>
      </w:hyperlink>
    </w:p>
    <w:p w14:paraId="4EAC611B" w14:textId="414539A6"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30" w:history="1">
        <w:r w:rsidR="00D76256" w:rsidRPr="001A73AB">
          <w:rPr>
            <w:rStyle w:val="Hyperlink"/>
          </w:rPr>
          <w:t>About this document</w:t>
        </w:r>
        <w:r w:rsidR="00D76256">
          <w:rPr>
            <w:webHidden/>
          </w:rPr>
          <w:tab/>
        </w:r>
        <w:r w:rsidR="00D76256">
          <w:rPr>
            <w:webHidden/>
          </w:rPr>
          <w:fldChar w:fldCharType="begin"/>
        </w:r>
        <w:r w:rsidR="00D76256">
          <w:rPr>
            <w:webHidden/>
          </w:rPr>
          <w:instrText xml:space="preserve"> PAGEREF _Toc158818230 \h </w:instrText>
        </w:r>
        <w:r w:rsidR="00D76256">
          <w:rPr>
            <w:webHidden/>
          </w:rPr>
        </w:r>
        <w:r w:rsidR="00D76256">
          <w:rPr>
            <w:webHidden/>
          </w:rPr>
          <w:fldChar w:fldCharType="separate"/>
        </w:r>
        <w:r w:rsidR="00A75CD4">
          <w:rPr>
            <w:webHidden/>
          </w:rPr>
          <w:t>1</w:t>
        </w:r>
        <w:r w:rsidR="00D76256">
          <w:rPr>
            <w:webHidden/>
          </w:rPr>
          <w:fldChar w:fldCharType="end"/>
        </w:r>
      </w:hyperlink>
    </w:p>
    <w:p w14:paraId="461618D5" w14:textId="6FF4C817"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31" w:history="1">
        <w:r w:rsidR="00D76256" w:rsidRPr="001A73AB">
          <w:rPr>
            <w:rStyle w:val="Hyperlink"/>
          </w:rPr>
          <w:t>Further information</w:t>
        </w:r>
        <w:r w:rsidR="00D76256">
          <w:rPr>
            <w:webHidden/>
          </w:rPr>
          <w:tab/>
        </w:r>
        <w:r w:rsidR="00D76256">
          <w:rPr>
            <w:webHidden/>
          </w:rPr>
          <w:fldChar w:fldCharType="begin"/>
        </w:r>
        <w:r w:rsidR="00D76256">
          <w:rPr>
            <w:webHidden/>
          </w:rPr>
          <w:instrText xml:space="preserve"> PAGEREF _Toc158818231 \h </w:instrText>
        </w:r>
        <w:r w:rsidR="00D76256">
          <w:rPr>
            <w:webHidden/>
          </w:rPr>
        </w:r>
        <w:r w:rsidR="00D76256">
          <w:rPr>
            <w:webHidden/>
          </w:rPr>
          <w:fldChar w:fldCharType="separate"/>
        </w:r>
        <w:r w:rsidR="00A75CD4">
          <w:rPr>
            <w:webHidden/>
          </w:rPr>
          <w:t>2</w:t>
        </w:r>
        <w:r w:rsidR="00D76256">
          <w:rPr>
            <w:webHidden/>
          </w:rPr>
          <w:fldChar w:fldCharType="end"/>
        </w:r>
      </w:hyperlink>
    </w:p>
    <w:p w14:paraId="58C37CEB" w14:textId="38B56820"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32" w:history="1">
        <w:r w:rsidR="00D76256" w:rsidRPr="001A73AB">
          <w:rPr>
            <w:rStyle w:val="Hyperlink"/>
          </w:rPr>
          <w:t>Contact details</w:t>
        </w:r>
        <w:r w:rsidR="00D76256">
          <w:rPr>
            <w:webHidden/>
          </w:rPr>
          <w:tab/>
        </w:r>
        <w:r w:rsidR="00D76256">
          <w:rPr>
            <w:webHidden/>
          </w:rPr>
          <w:fldChar w:fldCharType="begin"/>
        </w:r>
        <w:r w:rsidR="00D76256">
          <w:rPr>
            <w:webHidden/>
          </w:rPr>
          <w:instrText xml:space="preserve"> PAGEREF _Toc158818232 \h </w:instrText>
        </w:r>
        <w:r w:rsidR="00D76256">
          <w:rPr>
            <w:webHidden/>
          </w:rPr>
        </w:r>
        <w:r w:rsidR="00D76256">
          <w:rPr>
            <w:webHidden/>
          </w:rPr>
          <w:fldChar w:fldCharType="separate"/>
        </w:r>
        <w:r w:rsidR="00A75CD4">
          <w:rPr>
            <w:webHidden/>
          </w:rPr>
          <w:t>2</w:t>
        </w:r>
        <w:r w:rsidR="00D76256">
          <w:rPr>
            <w:webHidden/>
          </w:rPr>
          <w:fldChar w:fldCharType="end"/>
        </w:r>
      </w:hyperlink>
    </w:p>
    <w:p w14:paraId="5E9C1F88" w14:textId="1C81114A"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33" w:history="1">
        <w:r w:rsidR="00D76256" w:rsidRPr="001A73AB">
          <w:rPr>
            <w:rStyle w:val="Hyperlink"/>
          </w:rPr>
          <w:t>Introduction</w:t>
        </w:r>
        <w:r w:rsidR="00D76256">
          <w:rPr>
            <w:webHidden/>
          </w:rPr>
          <w:tab/>
        </w:r>
        <w:r w:rsidR="00D76256">
          <w:rPr>
            <w:webHidden/>
          </w:rPr>
          <w:fldChar w:fldCharType="begin"/>
        </w:r>
        <w:r w:rsidR="00D76256">
          <w:rPr>
            <w:webHidden/>
          </w:rPr>
          <w:instrText xml:space="preserve"> PAGEREF _Toc158818233 \h </w:instrText>
        </w:r>
        <w:r w:rsidR="00D76256">
          <w:rPr>
            <w:webHidden/>
          </w:rPr>
        </w:r>
        <w:r w:rsidR="00D76256">
          <w:rPr>
            <w:webHidden/>
          </w:rPr>
          <w:fldChar w:fldCharType="separate"/>
        </w:r>
        <w:r w:rsidR="00A75CD4">
          <w:rPr>
            <w:webHidden/>
          </w:rPr>
          <w:t>3</w:t>
        </w:r>
        <w:r w:rsidR="00D76256">
          <w:rPr>
            <w:webHidden/>
          </w:rPr>
          <w:fldChar w:fldCharType="end"/>
        </w:r>
      </w:hyperlink>
    </w:p>
    <w:p w14:paraId="26728E48" w14:textId="5980BDD6"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34" w:history="1">
        <w:r w:rsidR="00D76256" w:rsidRPr="001A73AB">
          <w:rPr>
            <w:rStyle w:val="Hyperlink"/>
          </w:rPr>
          <w:t>Purpose of review</w:t>
        </w:r>
        <w:r w:rsidR="00D76256">
          <w:rPr>
            <w:webHidden/>
          </w:rPr>
          <w:tab/>
        </w:r>
        <w:r w:rsidR="00D76256">
          <w:rPr>
            <w:webHidden/>
          </w:rPr>
          <w:fldChar w:fldCharType="begin"/>
        </w:r>
        <w:r w:rsidR="00D76256">
          <w:rPr>
            <w:webHidden/>
          </w:rPr>
          <w:instrText xml:space="preserve"> PAGEREF _Toc158818234 \h </w:instrText>
        </w:r>
        <w:r w:rsidR="00D76256">
          <w:rPr>
            <w:webHidden/>
          </w:rPr>
        </w:r>
        <w:r w:rsidR="00D76256">
          <w:rPr>
            <w:webHidden/>
          </w:rPr>
          <w:fldChar w:fldCharType="separate"/>
        </w:r>
        <w:r w:rsidR="00A75CD4">
          <w:rPr>
            <w:webHidden/>
          </w:rPr>
          <w:t>3</w:t>
        </w:r>
        <w:r w:rsidR="00D76256">
          <w:rPr>
            <w:webHidden/>
          </w:rPr>
          <w:fldChar w:fldCharType="end"/>
        </w:r>
      </w:hyperlink>
    </w:p>
    <w:p w14:paraId="13C92CE3" w14:textId="7B723899"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35" w:history="1">
        <w:r w:rsidR="00D76256" w:rsidRPr="001A73AB">
          <w:rPr>
            <w:rStyle w:val="Hyperlink"/>
          </w:rPr>
          <w:t>Product claims and use patterns</w:t>
        </w:r>
        <w:r w:rsidR="00D76256">
          <w:rPr>
            <w:webHidden/>
          </w:rPr>
          <w:tab/>
        </w:r>
        <w:r w:rsidR="00D76256">
          <w:rPr>
            <w:webHidden/>
          </w:rPr>
          <w:fldChar w:fldCharType="begin"/>
        </w:r>
        <w:r w:rsidR="00D76256">
          <w:rPr>
            <w:webHidden/>
          </w:rPr>
          <w:instrText xml:space="preserve"> PAGEREF _Toc158818235 \h </w:instrText>
        </w:r>
        <w:r w:rsidR="00D76256">
          <w:rPr>
            <w:webHidden/>
          </w:rPr>
        </w:r>
        <w:r w:rsidR="00D76256">
          <w:rPr>
            <w:webHidden/>
          </w:rPr>
          <w:fldChar w:fldCharType="separate"/>
        </w:r>
        <w:r w:rsidR="00A75CD4">
          <w:rPr>
            <w:webHidden/>
          </w:rPr>
          <w:t>4</w:t>
        </w:r>
        <w:r w:rsidR="00D76256">
          <w:rPr>
            <w:webHidden/>
          </w:rPr>
          <w:fldChar w:fldCharType="end"/>
        </w:r>
      </w:hyperlink>
    </w:p>
    <w:p w14:paraId="27CBB3F1" w14:textId="52B435A1"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36" w:history="1">
        <w:r w:rsidR="00D76256" w:rsidRPr="001A73AB">
          <w:rPr>
            <w:rStyle w:val="Hyperlink"/>
          </w:rPr>
          <w:t>Mode of action</w:t>
        </w:r>
        <w:r w:rsidR="00D76256">
          <w:rPr>
            <w:webHidden/>
          </w:rPr>
          <w:tab/>
        </w:r>
        <w:r w:rsidR="00D76256">
          <w:rPr>
            <w:webHidden/>
          </w:rPr>
          <w:fldChar w:fldCharType="begin"/>
        </w:r>
        <w:r w:rsidR="00D76256">
          <w:rPr>
            <w:webHidden/>
          </w:rPr>
          <w:instrText xml:space="preserve"> PAGEREF _Toc158818236 \h </w:instrText>
        </w:r>
        <w:r w:rsidR="00D76256">
          <w:rPr>
            <w:webHidden/>
          </w:rPr>
        </w:r>
        <w:r w:rsidR="00D76256">
          <w:rPr>
            <w:webHidden/>
          </w:rPr>
          <w:fldChar w:fldCharType="separate"/>
        </w:r>
        <w:r w:rsidR="00A75CD4">
          <w:rPr>
            <w:webHidden/>
          </w:rPr>
          <w:t>4</w:t>
        </w:r>
        <w:r w:rsidR="00D76256">
          <w:rPr>
            <w:webHidden/>
          </w:rPr>
          <w:fldChar w:fldCharType="end"/>
        </w:r>
      </w:hyperlink>
    </w:p>
    <w:p w14:paraId="4CC2F639" w14:textId="79098548"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37" w:history="1">
        <w:r w:rsidR="00D76256" w:rsidRPr="001A73AB">
          <w:rPr>
            <w:rStyle w:val="Hyperlink"/>
          </w:rPr>
          <w:t>Concentration-dependent killing</w:t>
        </w:r>
        <w:r w:rsidR="00D76256">
          <w:rPr>
            <w:webHidden/>
          </w:rPr>
          <w:tab/>
        </w:r>
        <w:r w:rsidR="00D76256">
          <w:rPr>
            <w:webHidden/>
          </w:rPr>
          <w:fldChar w:fldCharType="begin"/>
        </w:r>
        <w:r w:rsidR="00D76256">
          <w:rPr>
            <w:webHidden/>
          </w:rPr>
          <w:instrText xml:space="preserve"> PAGEREF _Toc158818237 \h </w:instrText>
        </w:r>
        <w:r w:rsidR="00D76256">
          <w:rPr>
            <w:webHidden/>
          </w:rPr>
        </w:r>
        <w:r w:rsidR="00D76256">
          <w:rPr>
            <w:webHidden/>
          </w:rPr>
          <w:fldChar w:fldCharType="separate"/>
        </w:r>
        <w:r w:rsidR="00A75CD4">
          <w:rPr>
            <w:webHidden/>
          </w:rPr>
          <w:t>5</w:t>
        </w:r>
        <w:r w:rsidR="00D76256">
          <w:rPr>
            <w:webHidden/>
          </w:rPr>
          <w:fldChar w:fldCharType="end"/>
        </w:r>
      </w:hyperlink>
    </w:p>
    <w:p w14:paraId="6E6CC218" w14:textId="43A7DE24"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38" w:history="1">
        <w:r w:rsidR="00D76256" w:rsidRPr="001A73AB">
          <w:rPr>
            <w:rStyle w:val="Hyperlink"/>
          </w:rPr>
          <w:t>Post-antibiotic effect</w:t>
        </w:r>
        <w:r w:rsidR="00D76256">
          <w:rPr>
            <w:webHidden/>
          </w:rPr>
          <w:tab/>
        </w:r>
        <w:r w:rsidR="00D76256">
          <w:rPr>
            <w:webHidden/>
          </w:rPr>
          <w:fldChar w:fldCharType="begin"/>
        </w:r>
        <w:r w:rsidR="00D76256">
          <w:rPr>
            <w:webHidden/>
          </w:rPr>
          <w:instrText xml:space="preserve"> PAGEREF _Toc158818238 \h </w:instrText>
        </w:r>
        <w:r w:rsidR="00D76256">
          <w:rPr>
            <w:webHidden/>
          </w:rPr>
        </w:r>
        <w:r w:rsidR="00D76256">
          <w:rPr>
            <w:webHidden/>
          </w:rPr>
          <w:fldChar w:fldCharType="separate"/>
        </w:r>
        <w:r w:rsidR="00A75CD4">
          <w:rPr>
            <w:webHidden/>
          </w:rPr>
          <w:t>5</w:t>
        </w:r>
        <w:r w:rsidR="00D76256">
          <w:rPr>
            <w:webHidden/>
          </w:rPr>
          <w:fldChar w:fldCharType="end"/>
        </w:r>
      </w:hyperlink>
    </w:p>
    <w:p w14:paraId="5D5F074E" w14:textId="53A6F4D7"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39" w:history="1">
        <w:r w:rsidR="00D76256" w:rsidRPr="001A73AB">
          <w:rPr>
            <w:rStyle w:val="Hyperlink"/>
          </w:rPr>
          <w:t>Pharmacokinetics and metabolism</w:t>
        </w:r>
        <w:r w:rsidR="00D76256">
          <w:rPr>
            <w:webHidden/>
          </w:rPr>
          <w:tab/>
        </w:r>
        <w:r w:rsidR="00D76256">
          <w:rPr>
            <w:webHidden/>
          </w:rPr>
          <w:fldChar w:fldCharType="begin"/>
        </w:r>
        <w:r w:rsidR="00D76256">
          <w:rPr>
            <w:webHidden/>
          </w:rPr>
          <w:instrText xml:space="preserve"> PAGEREF _Toc158818239 \h </w:instrText>
        </w:r>
        <w:r w:rsidR="00D76256">
          <w:rPr>
            <w:webHidden/>
          </w:rPr>
        </w:r>
        <w:r w:rsidR="00D76256">
          <w:rPr>
            <w:webHidden/>
          </w:rPr>
          <w:fldChar w:fldCharType="separate"/>
        </w:r>
        <w:r w:rsidR="00A75CD4">
          <w:rPr>
            <w:webHidden/>
          </w:rPr>
          <w:t>5</w:t>
        </w:r>
        <w:r w:rsidR="00D76256">
          <w:rPr>
            <w:webHidden/>
          </w:rPr>
          <w:fldChar w:fldCharType="end"/>
        </w:r>
      </w:hyperlink>
    </w:p>
    <w:p w14:paraId="21A82D74" w14:textId="25E5A6E2"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40" w:history="1">
        <w:r w:rsidR="00D76256" w:rsidRPr="001A73AB">
          <w:rPr>
            <w:rStyle w:val="Hyperlink"/>
          </w:rPr>
          <w:t>Chemistry</w:t>
        </w:r>
        <w:r w:rsidR="00D76256">
          <w:rPr>
            <w:webHidden/>
          </w:rPr>
          <w:tab/>
        </w:r>
        <w:r w:rsidR="00D76256">
          <w:rPr>
            <w:webHidden/>
          </w:rPr>
          <w:fldChar w:fldCharType="begin"/>
        </w:r>
        <w:r w:rsidR="00D76256">
          <w:rPr>
            <w:webHidden/>
          </w:rPr>
          <w:instrText xml:space="preserve"> PAGEREF _Toc158818240 \h </w:instrText>
        </w:r>
        <w:r w:rsidR="00D76256">
          <w:rPr>
            <w:webHidden/>
          </w:rPr>
        </w:r>
        <w:r w:rsidR="00D76256">
          <w:rPr>
            <w:webHidden/>
          </w:rPr>
          <w:fldChar w:fldCharType="separate"/>
        </w:r>
        <w:r w:rsidR="00A75CD4">
          <w:rPr>
            <w:webHidden/>
          </w:rPr>
          <w:t>7</w:t>
        </w:r>
        <w:r w:rsidR="00D76256">
          <w:rPr>
            <w:webHidden/>
          </w:rPr>
          <w:fldChar w:fldCharType="end"/>
        </w:r>
      </w:hyperlink>
    </w:p>
    <w:p w14:paraId="4BE4871E" w14:textId="0E735FC8"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41" w:history="1">
        <w:r w:rsidR="00D76256" w:rsidRPr="001A73AB">
          <w:rPr>
            <w:rStyle w:val="Hyperlink"/>
          </w:rPr>
          <w:t>Active constituent</w:t>
        </w:r>
        <w:r w:rsidR="00D76256">
          <w:rPr>
            <w:webHidden/>
          </w:rPr>
          <w:tab/>
        </w:r>
        <w:r w:rsidR="00D76256">
          <w:rPr>
            <w:webHidden/>
          </w:rPr>
          <w:fldChar w:fldCharType="begin"/>
        </w:r>
        <w:r w:rsidR="00D76256">
          <w:rPr>
            <w:webHidden/>
          </w:rPr>
          <w:instrText xml:space="preserve"> PAGEREF _Toc158818241 \h </w:instrText>
        </w:r>
        <w:r w:rsidR="00D76256">
          <w:rPr>
            <w:webHidden/>
          </w:rPr>
        </w:r>
        <w:r w:rsidR="00D76256">
          <w:rPr>
            <w:webHidden/>
          </w:rPr>
          <w:fldChar w:fldCharType="separate"/>
        </w:r>
        <w:r w:rsidR="00A75CD4">
          <w:rPr>
            <w:webHidden/>
          </w:rPr>
          <w:t>7</w:t>
        </w:r>
        <w:r w:rsidR="00D76256">
          <w:rPr>
            <w:webHidden/>
          </w:rPr>
          <w:fldChar w:fldCharType="end"/>
        </w:r>
      </w:hyperlink>
    </w:p>
    <w:p w14:paraId="19206AC9" w14:textId="36FDEF93"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42" w:history="1">
        <w:r w:rsidR="00D76256" w:rsidRPr="001A73AB">
          <w:rPr>
            <w:rStyle w:val="Hyperlink"/>
          </w:rPr>
          <w:t>Products</w:t>
        </w:r>
        <w:r w:rsidR="00D76256">
          <w:rPr>
            <w:webHidden/>
          </w:rPr>
          <w:tab/>
        </w:r>
        <w:r w:rsidR="00D76256">
          <w:rPr>
            <w:webHidden/>
          </w:rPr>
          <w:fldChar w:fldCharType="begin"/>
        </w:r>
        <w:r w:rsidR="00D76256">
          <w:rPr>
            <w:webHidden/>
          </w:rPr>
          <w:instrText xml:space="preserve"> PAGEREF _Toc158818242 \h </w:instrText>
        </w:r>
        <w:r w:rsidR="00D76256">
          <w:rPr>
            <w:webHidden/>
          </w:rPr>
        </w:r>
        <w:r w:rsidR="00D76256">
          <w:rPr>
            <w:webHidden/>
          </w:rPr>
          <w:fldChar w:fldCharType="separate"/>
        </w:r>
        <w:r w:rsidR="00A75CD4">
          <w:rPr>
            <w:webHidden/>
          </w:rPr>
          <w:t>8</w:t>
        </w:r>
        <w:r w:rsidR="00D76256">
          <w:rPr>
            <w:webHidden/>
          </w:rPr>
          <w:fldChar w:fldCharType="end"/>
        </w:r>
      </w:hyperlink>
    </w:p>
    <w:p w14:paraId="0BAD4F2E" w14:textId="1AF30C19"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43" w:history="1">
        <w:r w:rsidR="00D76256" w:rsidRPr="001A73AB">
          <w:rPr>
            <w:rStyle w:val="Hyperlink"/>
          </w:rPr>
          <w:t>Recommendations</w:t>
        </w:r>
        <w:r w:rsidR="00D76256">
          <w:rPr>
            <w:webHidden/>
          </w:rPr>
          <w:tab/>
        </w:r>
        <w:r w:rsidR="00D76256">
          <w:rPr>
            <w:webHidden/>
          </w:rPr>
          <w:fldChar w:fldCharType="begin"/>
        </w:r>
        <w:r w:rsidR="00D76256">
          <w:rPr>
            <w:webHidden/>
          </w:rPr>
          <w:instrText xml:space="preserve"> PAGEREF _Toc158818243 \h </w:instrText>
        </w:r>
        <w:r w:rsidR="00D76256">
          <w:rPr>
            <w:webHidden/>
          </w:rPr>
        </w:r>
        <w:r w:rsidR="00D76256">
          <w:rPr>
            <w:webHidden/>
          </w:rPr>
          <w:fldChar w:fldCharType="separate"/>
        </w:r>
        <w:r w:rsidR="00A75CD4">
          <w:rPr>
            <w:webHidden/>
          </w:rPr>
          <w:t>10</w:t>
        </w:r>
        <w:r w:rsidR="00D76256">
          <w:rPr>
            <w:webHidden/>
          </w:rPr>
          <w:fldChar w:fldCharType="end"/>
        </w:r>
      </w:hyperlink>
    </w:p>
    <w:p w14:paraId="12C346FE" w14:textId="6CFA5E27"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44" w:history="1">
        <w:r w:rsidR="00D76256" w:rsidRPr="001A73AB">
          <w:rPr>
            <w:rStyle w:val="Hyperlink"/>
          </w:rPr>
          <w:t>Human health</w:t>
        </w:r>
        <w:r w:rsidR="00D76256">
          <w:rPr>
            <w:webHidden/>
          </w:rPr>
          <w:tab/>
        </w:r>
        <w:r w:rsidR="00D76256">
          <w:rPr>
            <w:webHidden/>
          </w:rPr>
          <w:fldChar w:fldCharType="begin"/>
        </w:r>
        <w:r w:rsidR="00D76256">
          <w:rPr>
            <w:webHidden/>
          </w:rPr>
          <w:instrText xml:space="preserve"> PAGEREF _Toc158818244 \h </w:instrText>
        </w:r>
        <w:r w:rsidR="00D76256">
          <w:rPr>
            <w:webHidden/>
          </w:rPr>
        </w:r>
        <w:r w:rsidR="00D76256">
          <w:rPr>
            <w:webHidden/>
          </w:rPr>
          <w:fldChar w:fldCharType="separate"/>
        </w:r>
        <w:r w:rsidR="00A75CD4">
          <w:rPr>
            <w:webHidden/>
          </w:rPr>
          <w:t>11</w:t>
        </w:r>
        <w:r w:rsidR="00D76256">
          <w:rPr>
            <w:webHidden/>
          </w:rPr>
          <w:fldChar w:fldCharType="end"/>
        </w:r>
      </w:hyperlink>
    </w:p>
    <w:p w14:paraId="68874959" w14:textId="47704F16"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45" w:history="1">
        <w:r w:rsidR="00D76256" w:rsidRPr="001A73AB">
          <w:rPr>
            <w:rStyle w:val="Hyperlink"/>
          </w:rPr>
          <w:t>Evaluation of toxicology</w:t>
        </w:r>
        <w:r w:rsidR="00D76256">
          <w:rPr>
            <w:webHidden/>
          </w:rPr>
          <w:tab/>
        </w:r>
        <w:r w:rsidR="00D76256">
          <w:rPr>
            <w:webHidden/>
          </w:rPr>
          <w:fldChar w:fldCharType="begin"/>
        </w:r>
        <w:r w:rsidR="00D76256">
          <w:rPr>
            <w:webHidden/>
          </w:rPr>
          <w:instrText xml:space="preserve"> PAGEREF _Toc158818245 \h </w:instrText>
        </w:r>
        <w:r w:rsidR="00D76256">
          <w:rPr>
            <w:webHidden/>
          </w:rPr>
        </w:r>
        <w:r w:rsidR="00D76256">
          <w:rPr>
            <w:webHidden/>
          </w:rPr>
          <w:fldChar w:fldCharType="separate"/>
        </w:r>
        <w:r w:rsidR="00A75CD4">
          <w:rPr>
            <w:webHidden/>
          </w:rPr>
          <w:t>11</w:t>
        </w:r>
        <w:r w:rsidR="00D76256">
          <w:rPr>
            <w:webHidden/>
          </w:rPr>
          <w:fldChar w:fldCharType="end"/>
        </w:r>
      </w:hyperlink>
    </w:p>
    <w:p w14:paraId="2915DBB0" w14:textId="474E5D75"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46" w:history="1">
        <w:r w:rsidR="00D76256" w:rsidRPr="001A73AB">
          <w:rPr>
            <w:rStyle w:val="Hyperlink"/>
          </w:rPr>
          <w:t>Poisons scheduling</w:t>
        </w:r>
        <w:r w:rsidR="00D76256">
          <w:rPr>
            <w:webHidden/>
          </w:rPr>
          <w:tab/>
        </w:r>
        <w:r w:rsidR="00D76256">
          <w:rPr>
            <w:webHidden/>
          </w:rPr>
          <w:fldChar w:fldCharType="begin"/>
        </w:r>
        <w:r w:rsidR="00D76256">
          <w:rPr>
            <w:webHidden/>
          </w:rPr>
          <w:instrText xml:space="preserve"> PAGEREF _Toc158818246 \h </w:instrText>
        </w:r>
        <w:r w:rsidR="00D76256">
          <w:rPr>
            <w:webHidden/>
          </w:rPr>
        </w:r>
        <w:r w:rsidR="00D76256">
          <w:rPr>
            <w:webHidden/>
          </w:rPr>
          <w:fldChar w:fldCharType="separate"/>
        </w:r>
        <w:r w:rsidR="00A75CD4">
          <w:rPr>
            <w:webHidden/>
          </w:rPr>
          <w:t>11</w:t>
        </w:r>
        <w:r w:rsidR="00D76256">
          <w:rPr>
            <w:webHidden/>
          </w:rPr>
          <w:fldChar w:fldCharType="end"/>
        </w:r>
      </w:hyperlink>
    </w:p>
    <w:p w14:paraId="4699A82F" w14:textId="31B48295"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47" w:history="1">
        <w:r w:rsidR="00D76256" w:rsidRPr="001A73AB">
          <w:rPr>
            <w:rStyle w:val="Hyperlink"/>
          </w:rPr>
          <w:t>Worker health and safety</w:t>
        </w:r>
        <w:r w:rsidR="00D76256">
          <w:rPr>
            <w:webHidden/>
          </w:rPr>
          <w:tab/>
        </w:r>
        <w:r w:rsidR="00D76256">
          <w:rPr>
            <w:webHidden/>
          </w:rPr>
          <w:fldChar w:fldCharType="begin"/>
        </w:r>
        <w:r w:rsidR="00D76256">
          <w:rPr>
            <w:webHidden/>
          </w:rPr>
          <w:instrText xml:space="preserve"> PAGEREF _Toc158818247 \h </w:instrText>
        </w:r>
        <w:r w:rsidR="00D76256">
          <w:rPr>
            <w:webHidden/>
          </w:rPr>
        </w:r>
        <w:r w:rsidR="00D76256">
          <w:rPr>
            <w:webHidden/>
          </w:rPr>
          <w:fldChar w:fldCharType="separate"/>
        </w:r>
        <w:r w:rsidR="00A75CD4">
          <w:rPr>
            <w:webHidden/>
          </w:rPr>
          <w:t>11</w:t>
        </w:r>
        <w:r w:rsidR="00D76256">
          <w:rPr>
            <w:webHidden/>
          </w:rPr>
          <w:fldChar w:fldCharType="end"/>
        </w:r>
      </w:hyperlink>
    </w:p>
    <w:p w14:paraId="0FD5E43A" w14:textId="760E2146"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48" w:history="1">
        <w:r w:rsidR="00D76256" w:rsidRPr="001A73AB">
          <w:rPr>
            <w:rStyle w:val="Hyperlink"/>
          </w:rPr>
          <w:t>Feed additive powder formulations</w:t>
        </w:r>
        <w:r w:rsidR="00D76256">
          <w:rPr>
            <w:webHidden/>
          </w:rPr>
          <w:tab/>
        </w:r>
        <w:r w:rsidR="00D76256">
          <w:rPr>
            <w:webHidden/>
          </w:rPr>
          <w:fldChar w:fldCharType="begin"/>
        </w:r>
        <w:r w:rsidR="00D76256">
          <w:rPr>
            <w:webHidden/>
          </w:rPr>
          <w:instrText xml:space="preserve"> PAGEREF _Toc158818248 \h </w:instrText>
        </w:r>
        <w:r w:rsidR="00D76256">
          <w:rPr>
            <w:webHidden/>
          </w:rPr>
        </w:r>
        <w:r w:rsidR="00D76256">
          <w:rPr>
            <w:webHidden/>
          </w:rPr>
          <w:fldChar w:fldCharType="separate"/>
        </w:r>
        <w:r w:rsidR="00A75CD4">
          <w:rPr>
            <w:webHidden/>
          </w:rPr>
          <w:t>11</w:t>
        </w:r>
        <w:r w:rsidR="00D76256">
          <w:rPr>
            <w:webHidden/>
          </w:rPr>
          <w:fldChar w:fldCharType="end"/>
        </w:r>
      </w:hyperlink>
    </w:p>
    <w:p w14:paraId="1BA12DAF" w14:textId="2DC1A9D3"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49" w:history="1">
        <w:r w:rsidR="00D76256" w:rsidRPr="001A73AB">
          <w:rPr>
            <w:rStyle w:val="Hyperlink"/>
          </w:rPr>
          <w:t>Oral suspension and tablets</w:t>
        </w:r>
        <w:r w:rsidR="00D76256">
          <w:rPr>
            <w:webHidden/>
          </w:rPr>
          <w:tab/>
        </w:r>
        <w:r w:rsidR="00D76256">
          <w:rPr>
            <w:webHidden/>
          </w:rPr>
          <w:fldChar w:fldCharType="begin"/>
        </w:r>
        <w:r w:rsidR="00D76256">
          <w:rPr>
            <w:webHidden/>
          </w:rPr>
          <w:instrText xml:space="preserve"> PAGEREF _Toc158818249 \h </w:instrText>
        </w:r>
        <w:r w:rsidR="00D76256">
          <w:rPr>
            <w:webHidden/>
          </w:rPr>
        </w:r>
        <w:r w:rsidR="00D76256">
          <w:rPr>
            <w:webHidden/>
          </w:rPr>
          <w:fldChar w:fldCharType="separate"/>
        </w:r>
        <w:r w:rsidR="00A75CD4">
          <w:rPr>
            <w:webHidden/>
          </w:rPr>
          <w:t>12</w:t>
        </w:r>
        <w:r w:rsidR="00D76256">
          <w:rPr>
            <w:webHidden/>
          </w:rPr>
          <w:fldChar w:fldCharType="end"/>
        </w:r>
      </w:hyperlink>
    </w:p>
    <w:p w14:paraId="11625749" w14:textId="0F2F7BE0"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50" w:history="1">
        <w:r w:rsidR="00D76256" w:rsidRPr="001A73AB">
          <w:rPr>
            <w:rStyle w:val="Hyperlink"/>
          </w:rPr>
          <w:t>Solution for injection</w:t>
        </w:r>
        <w:r w:rsidR="00D76256">
          <w:rPr>
            <w:webHidden/>
          </w:rPr>
          <w:tab/>
        </w:r>
        <w:r w:rsidR="00D76256">
          <w:rPr>
            <w:webHidden/>
          </w:rPr>
          <w:fldChar w:fldCharType="begin"/>
        </w:r>
        <w:r w:rsidR="00D76256">
          <w:rPr>
            <w:webHidden/>
          </w:rPr>
          <w:instrText xml:space="preserve"> PAGEREF _Toc158818250 \h </w:instrText>
        </w:r>
        <w:r w:rsidR="00D76256">
          <w:rPr>
            <w:webHidden/>
          </w:rPr>
        </w:r>
        <w:r w:rsidR="00D76256">
          <w:rPr>
            <w:webHidden/>
          </w:rPr>
          <w:fldChar w:fldCharType="separate"/>
        </w:r>
        <w:r w:rsidR="00A75CD4">
          <w:rPr>
            <w:webHidden/>
          </w:rPr>
          <w:t>13</w:t>
        </w:r>
        <w:r w:rsidR="00D76256">
          <w:rPr>
            <w:webHidden/>
          </w:rPr>
          <w:fldChar w:fldCharType="end"/>
        </w:r>
      </w:hyperlink>
    </w:p>
    <w:p w14:paraId="04BB54A7" w14:textId="18B4BDAA"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51" w:history="1">
        <w:r w:rsidR="00D76256" w:rsidRPr="001A73AB">
          <w:rPr>
            <w:rStyle w:val="Hyperlink"/>
          </w:rPr>
          <w:t>Intramammary preparation</w:t>
        </w:r>
        <w:r w:rsidR="00D76256">
          <w:rPr>
            <w:webHidden/>
          </w:rPr>
          <w:tab/>
        </w:r>
        <w:r w:rsidR="00D76256">
          <w:rPr>
            <w:webHidden/>
          </w:rPr>
          <w:fldChar w:fldCharType="begin"/>
        </w:r>
        <w:r w:rsidR="00D76256">
          <w:rPr>
            <w:webHidden/>
          </w:rPr>
          <w:instrText xml:space="preserve"> PAGEREF _Toc158818251 \h </w:instrText>
        </w:r>
        <w:r w:rsidR="00D76256">
          <w:rPr>
            <w:webHidden/>
          </w:rPr>
        </w:r>
        <w:r w:rsidR="00D76256">
          <w:rPr>
            <w:webHidden/>
          </w:rPr>
          <w:fldChar w:fldCharType="separate"/>
        </w:r>
        <w:r w:rsidR="00A75CD4">
          <w:rPr>
            <w:webHidden/>
          </w:rPr>
          <w:t>13</w:t>
        </w:r>
        <w:r w:rsidR="00D76256">
          <w:rPr>
            <w:webHidden/>
          </w:rPr>
          <w:fldChar w:fldCharType="end"/>
        </w:r>
      </w:hyperlink>
    </w:p>
    <w:p w14:paraId="21AB48F0" w14:textId="7A1C5896"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52" w:history="1">
        <w:r w:rsidR="00D76256" w:rsidRPr="001A73AB">
          <w:rPr>
            <w:rStyle w:val="Hyperlink"/>
          </w:rPr>
          <w:t>Recommendations</w:t>
        </w:r>
        <w:r w:rsidR="00D76256">
          <w:rPr>
            <w:webHidden/>
          </w:rPr>
          <w:tab/>
        </w:r>
        <w:r w:rsidR="00D76256">
          <w:rPr>
            <w:webHidden/>
          </w:rPr>
          <w:fldChar w:fldCharType="begin"/>
        </w:r>
        <w:r w:rsidR="00D76256">
          <w:rPr>
            <w:webHidden/>
          </w:rPr>
          <w:instrText xml:space="preserve"> PAGEREF _Toc158818252 \h </w:instrText>
        </w:r>
        <w:r w:rsidR="00D76256">
          <w:rPr>
            <w:webHidden/>
          </w:rPr>
        </w:r>
        <w:r w:rsidR="00D76256">
          <w:rPr>
            <w:webHidden/>
          </w:rPr>
          <w:fldChar w:fldCharType="separate"/>
        </w:r>
        <w:r w:rsidR="00A75CD4">
          <w:rPr>
            <w:webHidden/>
          </w:rPr>
          <w:t>14</w:t>
        </w:r>
        <w:r w:rsidR="00D76256">
          <w:rPr>
            <w:webHidden/>
          </w:rPr>
          <w:fldChar w:fldCharType="end"/>
        </w:r>
      </w:hyperlink>
    </w:p>
    <w:p w14:paraId="4319D07E" w14:textId="31AD5969"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53" w:history="1">
        <w:r w:rsidR="00D76256" w:rsidRPr="001A73AB">
          <w:rPr>
            <w:rStyle w:val="Hyperlink"/>
          </w:rPr>
          <w:t>First aid instructions</w:t>
        </w:r>
        <w:r w:rsidR="00D76256">
          <w:rPr>
            <w:webHidden/>
          </w:rPr>
          <w:tab/>
        </w:r>
        <w:r w:rsidR="00D76256">
          <w:rPr>
            <w:webHidden/>
          </w:rPr>
          <w:fldChar w:fldCharType="begin"/>
        </w:r>
        <w:r w:rsidR="00D76256">
          <w:rPr>
            <w:webHidden/>
          </w:rPr>
          <w:instrText xml:space="preserve"> PAGEREF _Toc158818253 \h </w:instrText>
        </w:r>
        <w:r w:rsidR="00D76256">
          <w:rPr>
            <w:webHidden/>
          </w:rPr>
        </w:r>
        <w:r w:rsidR="00D76256">
          <w:rPr>
            <w:webHidden/>
          </w:rPr>
          <w:fldChar w:fldCharType="separate"/>
        </w:r>
        <w:r w:rsidR="00A75CD4">
          <w:rPr>
            <w:webHidden/>
          </w:rPr>
          <w:t>14</w:t>
        </w:r>
        <w:r w:rsidR="00D76256">
          <w:rPr>
            <w:webHidden/>
          </w:rPr>
          <w:fldChar w:fldCharType="end"/>
        </w:r>
      </w:hyperlink>
    </w:p>
    <w:p w14:paraId="5060392E" w14:textId="13D64A7E"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54" w:history="1">
        <w:r w:rsidR="00D76256" w:rsidRPr="001A73AB">
          <w:rPr>
            <w:rStyle w:val="Hyperlink"/>
          </w:rPr>
          <w:t>Safety directions –</w:t>
        </w:r>
        <w:r w:rsidR="00D76256">
          <w:rPr>
            <w:webHidden/>
          </w:rPr>
          <w:tab/>
        </w:r>
        <w:r w:rsidR="00D76256">
          <w:rPr>
            <w:webHidden/>
          </w:rPr>
          <w:fldChar w:fldCharType="begin"/>
        </w:r>
        <w:r w:rsidR="00D76256">
          <w:rPr>
            <w:webHidden/>
          </w:rPr>
          <w:instrText xml:space="preserve"> PAGEREF _Toc158818254 \h </w:instrText>
        </w:r>
        <w:r w:rsidR="00D76256">
          <w:rPr>
            <w:webHidden/>
          </w:rPr>
        </w:r>
        <w:r w:rsidR="00D76256">
          <w:rPr>
            <w:webHidden/>
          </w:rPr>
          <w:fldChar w:fldCharType="separate"/>
        </w:r>
        <w:r w:rsidR="00A75CD4">
          <w:rPr>
            <w:webHidden/>
          </w:rPr>
          <w:t>14</w:t>
        </w:r>
        <w:r w:rsidR="00D76256">
          <w:rPr>
            <w:webHidden/>
          </w:rPr>
          <w:fldChar w:fldCharType="end"/>
        </w:r>
      </w:hyperlink>
    </w:p>
    <w:p w14:paraId="167E7786" w14:textId="23870450"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55" w:history="1">
        <w:r w:rsidR="00D76256" w:rsidRPr="001A73AB">
          <w:rPr>
            <w:rStyle w:val="Hyperlink"/>
          </w:rPr>
          <w:t>Oral (liquid), oral (tablet), injectable and intramammary formulations</w:t>
        </w:r>
        <w:r w:rsidR="00D76256">
          <w:rPr>
            <w:webHidden/>
          </w:rPr>
          <w:tab/>
        </w:r>
        <w:r w:rsidR="00D76256">
          <w:rPr>
            <w:webHidden/>
          </w:rPr>
          <w:fldChar w:fldCharType="begin"/>
        </w:r>
        <w:r w:rsidR="00D76256">
          <w:rPr>
            <w:webHidden/>
          </w:rPr>
          <w:instrText xml:space="preserve"> PAGEREF _Toc158818255 \h </w:instrText>
        </w:r>
        <w:r w:rsidR="00D76256">
          <w:rPr>
            <w:webHidden/>
          </w:rPr>
        </w:r>
        <w:r w:rsidR="00D76256">
          <w:rPr>
            <w:webHidden/>
          </w:rPr>
          <w:fldChar w:fldCharType="separate"/>
        </w:r>
        <w:r w:rsidR="00A75CD4">
          <w:rPr>
            <w:webHidden/>
          </w:rPr>
          <w:t>14</w:t>
        </w:r>
        <w:r w:rsidR="00D76256">
          <w:rPr>
            <w:webHidden/>
          </w:rPr>
          <w:fldChar w:fldCharType="end"/>
        </w:r>
      </w:hyperlink>
    </w:p>
    <w:p w14:paraId="0CBC130B" w14:textId="2DF89F3E"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56" w:history="1">
        <w:r w:rsidR="00D76256" w:rsidRPr="001A73AB">
          <w:rPr>
            <w:rStyle w:val="Hyperlink"/>
          </w:rPr>
          <w:t>Residues and trade</w:t>
        </w:r>
        <w:r w:rsidR="00D76256">
          <w:rPr>
            <w:webHidden/>
          </w:rPr>
          <w:tab/>
        </w:r>
        <w:r w:rsidR="00D76256">
          <w:rPr>
            <w:webHidden/>
          </w:rPr>
          <w:fldChar w:fldCharType="begin"/>
        </w:r>
        <w:r w:rsidR="00D76256">
          <w:rPr>
            <w:webHidden/>
          </w:rPr>
          <w:instrText xml:space="preserve"> PAGEREF _Toc158818256 \h </w:instrText>
        </w:r>
        <w:r w:rsidR="00D76256">
          <w:rPr>
            <w:webHidden/>
          </w:rPr>
        </w:r>
        <w:r w:rsidR="00D76256">
          <w:rPr>
            <w:webHidden/>
          </w:rPr>
          <w:fldChar w:fldCharType="separate"/>
        </w:r>
        <w:r w:rsidR="00A75CD4">
          <w:rPr>
            <w:webHidden/>
          </w:rPr>
          <w:t>16</w:t>
        </w:r>
        <w:r w:rsidR="00D76256">
          <w:rPr>
            <w:webHidden/>
          </w:rPr>
          <w:fldChar w:fldCharType="end"/>
        </w:r>
      </w:hyperlink>
    </w:p>
    <w:p w14:paraId="26334BCA" w14:textId="018E928A"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57" w:history="1">
        <w:r w:rsidR="00D76256" w:rsidRPr="001A73AB">
          <w:rPr>
            <w:rStyle w:val="Hyperlink"/>
          </w:rPr>
          <w:t>Current residues definition and maximum residue limits</w:t>
        </w:r>
        <w:r w:rsidR="00D76256">
          <w:rPr>
            <w:webHidden/>
          </w:rPr>
          <w:tab/>
        </w:r>
        <w:r w:rsidR="00D76256">
          <w:rPr>
            <w:webHidden/>
          </w:rPr>
          <w:fldChar w:fldCharType="begin"/>
        </w:r>
        <w:r w:rsidR="00D76256">
          <w:rPr>
            <w:webHidden/>
          </w:rPr>
          <w:instrText xml:space="preserve"> PAGEREF _Toc158818257 \h </w:instrText>
        </w:r>
        <w:r w:rsidR="00D76256">
          <w:rPr>
            <w:webHidden/>
          </w:rPr>
        </w:r>
        <w:r w:rsidR="00D76256">
          <w:rPr>
            <w:webHidden/>
          </w:rPr>
          <w:fldChar w:fldCharType="separate"/>
        </w:r>
        <w:r w:rsidR="00A75CD4">
          <w:rPr>
            <w:webHidden/>
          </w:rPr>
          <w:t>16</w:t>
        </w:r>
        <w:r w:rsidR="00D76256">
          <w:rPr>
            <w:webHidden/>
          </w:rPr>
          <w:fldChar w:fldCharType="end"/>
        </w:r>
      </w:hyperlink>
    </w:p>
    <w:p w14:paraId="18EF401A" w14:textId="539BAEE3"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58" w:history="1">
        <w:r w:rsidR="00D76256" w:rsidRPr="001A73AB">
          <w:rPr>
            <w:rStyle w:val="Hyperlink"/>
          </w:rPr>
          <w:t>Reconsideration of the residue definition for neomycin</w:t>
        </w:r>
        <w:r w:rsidR="00D76256">
          <w:rPr>
            <w:webHidden/>
          </w:rPr>
          <w:tab/>
        </w:r>
        <w:r w:rsidR="00D76256">
          <w:rPr>
            <w:webHidden/>
          </w:rPr>
          <w:fldChar w:fldCharType="begin"/>
        </w:r>
        <w:r w:rsidR="00D76256">
          <w:rPr>
            <w:webHidden/>
          </w:rPr>
          <w:instrText xml:space="preserve"> PAGEREF _Toc158818258 \h </w:instrText>
        </w:r>
        <w:r w:rsidR="00D76256">
          <w:rPr>
            <w:webHidden/>
          </w:rPr>
        </w:r>
        <w:r w:rsidR="00D76256">
          <w:rPr>
            <w:webHidden/>
          </w:rPr>
          <w:fldChar w:fldCharType="separate"/>
        </w:r>
        <w:r w:rsidR="00A75CD4">
          <w:rPr>
            <w:webHidden/>
          </w:rPr>
          <w:t>16</w:t>
        </w:r>
        <w:r w:rsidR="00D76256">
          <w:rPr>
            <w:webHidden/>
          </w:rPr>
          <w:fldChar w:fldCharType="end"/>
        </w:r>
      </w:hyperlink>
    </w:p>
    <w:p w14:paraId="2D7AF65F" w14:textId="582EF5B6"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59" w:history="1">
        <w:r w:rsidR="00D76256" w:rsidRPr="001A73AB">
          <w:rPr>
            <w:rStyle w:val="Hyperlink"/>
          </w:rPr>
          <w:t>Residues risk assessment</w:t>
        </w:r>
        <w:r w:rsidR="00D76256">
          <w:rPr>
            <w:webHidden/>
          </w:rPr>
          <w:tab/>
        </w:r>
        <w:r w:rsidR="00D76256">
          <w:rPr>
            <w:webHidden/>
          </w:rPr>
          <w:fldChar w:fldCharType="begin"/>
        </w:r>
        <w:r w:rsidR="00D76256">
          <w:rPr>
            <w:webHidden/>
          </w:rPr>
          <w:instrText xml:space="preserve"> PAGEREF _Toc158818259 \h </w:instrText>
        </w:r>
        <w:r w:rsidR="00D76256">
          <w:rPr>
            <w:webHidden/>
          </w:rPr>
        </w:r>
        <w:r w:rsidR="00D76256">
          <w:rPr>
            <w:webHidden/>
          </w:rPr>
          <w:fldChar w:fldCharType="separate"/>
        </w:r>
        <w:r w:rsidR="00A75CD4">
          <w:rPr>
            <w:webHidden/>
          </w:rPr>
          <w:t>17</w:t>
        </w:r>
        <w:r w:rsidR="00D76256">
          <w:rPr>
            <w:webHidden/>
          </w:rPr>
          <w:fldChar w:fldCharType="end"/>
        </w:r>
      </w:hyperlink>
    </w:p>
    <w:p w14:paraId="614A5494" w14:textId="22B90AAD"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60" w:history="1">
        <w:r w:rsidR="00D76256" w:rsidRPr="001A73AB">
          <w:rPr>
            <w:rStyle w:val="Hyperlink"/>
          </w:rPr>
          <w:t>Solution for injection</w:t>
        </w:r>
        <w:r w:rsidR="00D76256">
          <w:rPr>
            <w:webHidden/>
          </w:rPr>
          <w:tab/>
        </w:r>
        <w:r w:rsidR="00D76256">
          <w:rPr>
            <w:webHidden/>
          </w:rPr>
          <w:fldChar w:fldCharType="begin"/>
        </w:r>
        <w:r w:rsidR="00D76256">
          <w:rPr>
            <w:webHidden/>
          </w:rPr>
          <w:instrText xml:space="preserve"> PAGEREF _Toc158818260 \h </w:instrText>
        </w:r>
        <w:r w:rsidR="00D76256">
          <w:rPr>
            <w:webHidden/>
          </w:rPr>
        </w:r>
        <w:r w:rsidR="00D76256">
          <w:rPr>
            <w:webHidden/>
          </w:rPr>
          <w:fldChar w:fldCharType="separate"/>
        </w:r>
        <w:r w:rsidR="00A75CD4">
          <w:rPr>
            <w:webHidden/>
          </w:rPr>
          <w:t>17</w:t>
        </w:r>
        <w:r w:rsidR="00D76256">
          <w:rPr>
            <w:webHidden/>
          </w:rPr>
          <w:fldChar w:fldCharType="end"/>
        </w:r>
      </w:hyperlink>
    </w:p>
    <w:p w14:paraId="7B9BA933" w14:textId="09EDF76E"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61" w:history="1">
        <w:r w:rsidR="00D76256" w:rsidRPr="001A73AB">
          <w:rPr>
            <w:rStyle w:val="Hyperlink"/>
          </w:rPr>
          <w:t>Feed additive powder formulation</w:t>
        </w:r>
        <w:r w:rsidR="00D76256">
          <w:rPr>
            <w:webHidden/>
          </w:rPr>
          <w:tab/>
        </w:r>
        <w:r w:rsidR="00D76256">
          <w:rPr>
            <w:webHidden/>
          </w:rPr>
          <w:fldChar w:fldCharType="begin"/>
        </w:r>
        <w:r w:rsidR="00D76256">
          <w:rPr>
            <w:webHidden/>
          </w:rPr>
          <w:instrText xml:space="preserve"> PAGEREF _Toc158818261 \h </w:instrText>
        </w:r>
        <w:r w:rsidR="00D76256">
          <w:rPr>
            <w:webHidden/>
          </w:rPr>
        </w:r>
        <w:r w:rsidR="00D76256">
          <w:rPr>
            <w:webHidden/>
          </w:rPr>
          <w:fldChar w:fldCharType="separate"/>
        </w:r>
        <w:r w:rsidR="00A75CD4">
          <w:rPr>
            <w:webHidden/>
          </w:rPr>
          <w:t>24</w:t>
        </w:r>
        <w:r w:rsidR="00D76256">
          <w:rPr>
            <w:webHidden/>
          </w:rPr>
          <w:fldChar w:fldCharType="end"/>
        </w:r>
      </w:hyperlink>
    </w:p>
    <w:p w14:paraId="1DB6F7E6" w14:textId="0FD2061E"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62" w:history="1">
        <w:r w:rsidR="00D76256" w:rsidRPr="001A73AB">
          <w:rPr>
            <w:rStyle w:val="Hyperlink"/>
          </w:rPr>
          <w:t>Oral suspension formulations</w:t>
        </w:r>
        <w:r w:rsidR="00D76256">
          <w:rPr>
            <w:webHidden/>
          </w:rPr>
          <w:tab/>
        </w:r>
        <w:r w:rsidR="00D76256">
          <w:rPr>
            <w:webHidden/>
          </w:rPr>
          <w:fldChar w:fldCharType="begin"/>
        </w:r>
        <w:r w:rsidR="00D76256">
          <w:rPr>
            <w:webHidden/>
          </w:rPr>
          <w:instrText xml:space="preserve"> PAGEREF _Toc158818262 \h </w:instrText>
        </w:r>
        <w:r w:rsidR="00D76256">
          <w:rPr>
            <w:webHidden/>
          </w:rPr>
        </w:r>
        <w:r w:rsidR="00D76256">
          <w:rPr>
            <w:webHidden/>
          </w:rPr>
          <w:fldChar w:fldCharType="separate"/>
        </w:r>
        <w:r w:rsidR="00A75CD4">
          <w:rPr>
            <w:webHidden/>
          </w:rPr>
          <w:t>26</w:t>
        </w:r>
        <w:r w:rsidR="00D76256">
          <w:rPr>
            <w:webHidden/>
          </w:rPr>
          <w:fldChar w:fldCharType="end"/>
        </w:r>
      </w:hyperlink>
    </w:p>
    <w:p w14:paraId="0F50FB77" w14:textId="750C32A9"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63" w:history="1">
        <w:r w:rsidR="00D76256" w:rsidRPr="001A73AB">
          <w:rPr>
            <w:rStyle w:val="Hyperlink"/>
          </w:rPr>
          <w:t>Oral solution as water additive</w:t>
        </w:r>
        <w:r w:rsidR="00D76256">
          <w:rPr>
            <w:webHidden/>
          </w:rPr>
          <w:tab/>
        </w:r>
        <w:r w:rsidR="00D76256">
          <w:rPr>
            <w:webHidden/>
          </w:rPr>
          <w:fldChar w:fldCharType="begin"/>
        </w:r>
        <w:r w:rsidR="00D76256">
          <w:rPr>
            <w:webHidden/>
          </w:rPr>
          <w:instrText xml:space="preserve"> PAGEREF _Toc158818263 \h </w:instrText>
        </w:r>
        <w:r w:rsidR="00D76256">
          <w:rPr>
            <w:webHidden/>
          </w:rPr>
        </w:r>
        <w:r w:rsidR="00D76256">
          <w:rPr>
            <w:webHidden/>
          </w:rPr>
          <w:fldChar w:fldCharType="separate"/>
        </w:r>
        <w:r w:rsidR="00A75CD4">
          <w:rPr>
            <w:webHidden/>
          </w:rPr>
          <w:t>26</w:t>
        </w:r>
        <w:r w:rsidR="00D76256">
          <w:rPr>
            <w:webHidden/>
          </w:rPr>
          <w:fldChar w:fldCharType="end"/>
        </w:r>
      </w:hyperlink>
    </w:p>
    <w:p w14:paraId="30CBAD98" w14:textId="5CF932AC"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64" w:history="1">
        <w:r w:rsidR="00D76256" w:rsidRPr="001A73AB">
          <w:rPr>
            <w:rStyle w:val="Hyperlink"/>
          </w:rPr>
          <w:t>Oral tablet formulation</w:t>
        </w:r>
        <w:r w:rsidR="00D76256">
          <w:rPr>
            <w:webHidden/>
          </w:rPr>
          <w:tab/>
        </w:r>
        <w:r w:rsidR="00D76256">
          <w:rPr>
            <w:webHidden/>
          </w:rPr>
          <w:fldChar w:fldCharType="begin"/>
        </w:r>
        <w:r w:rsidR="00D76256">
          <w:rPr>
            <w:webHidden/>
          </w:rPr>
          <w:instrText xml:space="preserve"> PAGEREF _Toc158818264 \h </w:instrText>
        </w:r>
        <w:r w:rsidR="00D76256">
          <w:rPr>
            <w:webHidden/>
          </w:rPr>
        </w:r>
        <w:r w:rsidR="00D76256">
          <w:rPr>
            <w:webHidden/>
          </w:rPr>
          <w:fldChar w:fldCharType="separate"/>
        </w:r>
        <w:r w:rsidR="00A75CD4">
          <w:rPr>
            <w:webHidden/>
          </w:rPr>
          <w:t>27</w:t>
        </w:r>
        <w:r w:rsidR="00D76256">
          <w:rPr>
            <w:webHidden/>
          </w:rPr>
          <w:fldChar w:fldCharType="end"/>
        </w:r>
      </w:hyperlink>
    </w:p>
    <w:p w14:paraId="10CF5DE3" w14:textId="7FDA7120"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65" w:history="1">
        <w:r w:rsidR="00D76256" w:rsidRPr="001A73AB">
          <w:rPr>
            <w:rStyle w:val="Hyperlink"/>
          </w:rPr>
          <w:t>Intramammary preparations</w:t>
        </w:r>
        <w:r w:rsidR="00D76256">
          <w:rPr>
            <w:webHidden/>
          </w:rPr>
          <w:tab/>
        </w:r>
        <w:r w:rsidR="00D76256">
          <w:rPr>
            <w:webHidden/>
          </w:rPr>
          <w:fldChar w:fldCharType="begin"/>
        </w:r>
        <w:r w:rsidR="00D76256">
          <w:rPr>
            <w:webHidden/>
          </w:rPr>
          <w:instrText xml:space="preserve"> PAGEREF _Toc158818265 \h </w:instrText>
        </w:r>
        <w:r w:rsidR="00D76256">
          <w:rPr>
            <w:webHidden/>
          </w:rPr>
        </w:r>
        <w:r w:rsidR="00D76256">
          <w:rPr>
            <w:webHidden/>
          </w:rPr>
          <w:fldChar w:fldCharType="separate"/>
        </w:r>
        <w:r w:rsidR="00A75CD4">
          <w:rPr>
            <w:webHidden/>
          </w:rPr>
          <w:t>27</w:t>
        </w:r>
        <w:r w:rsidR="00D76256">
          <w:rPr>
            <w:webHidden/>
          </w:rPr>
          <w:fldChar w:fldCharType="end"/>
        </w:r>
      </w:hyperlink>
    </w:p>
    <w:p w14:paraId="7E5193BE" w14:textId="0B02D6C9"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66" w:history="1">
        <w:r w:rsidR="00D76256" w:rsidRPr="001A73AB">
          <w:rPr>
            <w:rStyle w:val="Hyperlink"/>
          </w:rPr>
          <w:t>Trade considerations</w:t>
        </w:r>
        <w:r w:rsidR="00D76256">
          <w:rPr>
            <w:webHidden/>
          </w:rPr>
          <w:tab/>
        </w:r>
        <w:r w:rsidR="00D76256">
          <w:rPr>
            <w:webHidden/>
          </w:rPr>
          <w:fldChar w:fldCharType="begin"/>
        </w:r>
        <w:r w:rsidR="00D76256">
          <w:rPr>
            <w:webHidden/>
          </w:rPr>
          <w:instrText xml:space="preserve"> PAGEREF _Toc158818266 \h </w:instrText>
        </w:r>
        <w:r w:rsidR="00D76256">
          <w:rPr>
            <w:webHidden/>
          </w:rPr>
        </w:r>
        <w:r w:rsidR="00D76256">
          <w:rPr>
            <w:webHidden/>
          </w:rPr>
          <w:fldChar w:fldCharType="separate"/>
        </w:r>
        <w:r w:rsidR="00A75CD4">
          <w:rPr>
            <w:webHidden/>
          </w:rPr>
          <w:t>29</w:t>
        </w:r>
        <w:r w:rsidR="00D76256">
          <w:rPr>
            <w:webHidden/>
          </w:rPr>
          <w:fldChar w:fldCharType="end"/>
        </w:r>
      </w:hyperlink>
    </w:p>
    <w:p w14:paraId="1A9DEEC4" w14:textId="3B1AF4EE"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67" w:history="1">
        <w:r w:rsidR="00D76256" w:rsidRPr="001A73AB">
          <w:rPr>
            <w:rStyle w:val="Hyperlink"/>
          </w:rPr>
          <w:t>Dietary exposure assessment</w:t>
        </w:r>
        <w:r w:rsidR="00D76256">
          <w:rPr>
            <w:webHidden/>
          </w:rPr>
          <w:tab/>
        </w:r>
        <w:r w:rsidR="00D76256">
          <w:rPr>
            <w:webHidden/>
          </w:rPr>
          <w:fldChar w:fldCharType="begin"/>
        </w:r>
        <w:r w:rsidR="00D76256">
          <w:rPr>
            <w:webHidden/>
          </w:rPr>
          <w:instrText xml:space="preserve"> PAGEREF _Toc158818267 \h </w:instrText>
        </w:r>
        <w:r w:rsidR="00D76256">
          <w:rPr>
            <w:webHidden/>
          </w:rPr>
        </w:r>
        <w:r w:rsidR="00D76256">
          <w:rPr>
            <w:webHidden/>
          </w:rPr>
          <w:fldChar w:fldCharType="separate"/>
        </w:r>
        <w:r w:rsidR="00A75CD4">
          <w:rPr>
            <w:webHidden/>
          </w:rPr>
          <w:t>31</w:t>
        </w:r>
        <w:r w:rsidR="00D76256">
          <w:rPr>
            <w:webHidden/>
          </w:rPr>
          <w:fldChar w:fldCharType="end"/>
        </w:r>
      </w:hyperlink>
    </w:p>
    <w:p w14:paraId="37DD89BB" w14:textId="0AEB54A5"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68" w:history="1">
        <w:r w:rsidR="00D76256" w:rsidRPr="001A73AB">
          <w:rPr>
            <w:rStyle w:val="Hyperlink"/>
          </w:rPr>
          <w:t>JECFA estimated dietary intake</w:t>
        </w:r>
        <w:r w:rsidR="00D76256">
          <w:rPr>
            <w:webHidden/>
          </w:rPr>
          <w:tab/>
        </w:r>
        <w:r w:rsidR="00D76256">
          <w:rPr>
            <w:webHidden/>
          </w:rPr>
          <w:fldChar w:fldCharType="begin"/>
        </w:r>
        <w:r w:rsidR="00D76256">
          <w:rPr>
            <w:webHidden/>
          </w:rPr>
          <w:instrText xml:space="preserve"> PAGEREF _Toc158818268 \h </w:instrText>
        </w:r>
        <w:r w:rsidR="00D76256">
          <w:rPr>
            <w:webHidden/>
          </w:rPr>
        </w:r>
        <w:r w:rsidR="00D76256">
          <w:rPr>
            <w:webHidden/>
          </w:rPr>
          <w:fldChar w:fldCharType="separate"/>
        </w:r>
        <w:r w:rsidR="00A75CD4">
          <w:rPr>
            <w:webHidden/>
          </w:rPr>
          <w:t>31</w:t>
        </w:r>
        <w:r w:rsidR="00D76256">
          <w:rPr>
            <w:webHidden/>
          </w:rPr>
          <w:fldChar w:fldCharType="end"/>
        </w:r>
      </w:hyperlink>
    </w:p>
    <w:p w14:paraId="48F98B12" w14:textId="04B484A1"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69" w:history="1">
        <w:r w:rsidR="00D76256" w:rsidRPr="001A73AB">
          <w:rPr>
            <w:rStyle w:val="Hyperlink"/>
          </w:rPr>
          <w:t>Chronic Dietary Exposure Assessment</w:t>
        </w:r>
        <w:r w:rsidR="00D76256">
          <w:rPr>
            <w:webHidden/>
          </w:rPr>
          <w:tab/>
        </w:r>
        <w:r w:rsidR="00D76256">
          <w:rPr>
            <w:webHidden/>
          </w:rPr>
          <w:fldChar w:fldCharType="begin"/>
        </w:r>
        <w:r w:rsidR="00D76256">
          <w:rPr>
            <w:webHidden/>
          </w:rPr>
          <w:instrText xml:space="preserve"> PAGEREF _Toc158818269 \h </w:instrText>
        </w:r>
        <w:r w:rsidR="00D76256">
          <w:rPr>
            <w:webHidden/>
          </w:rPr>
        </w:r>
        <w:r w:rsidR="00D76256">
          <w:rPr>
            <w:webHidden/>
          </w:rPr>
          <w:fldChar w:fldCharType="separate"/>
        </w:r>
        <w:r w:rsidR="00A75CD4">
          <w:rPr>
            <w:webHidden/>
          </w:rPr>
          <w:t>32</w:t>
        </w:r>
        <w:r w:rsidR="00D76256">
          <w:rPr>
            <w:webHidden/>
          </w:rPr>
          <w:fldChar w:fldCharType="end"/>
        </w:r>
      </w:hyperlink>
    </w:p>
    <w:p w14:paraId="28591DF6" w14:textId="61FD2CEF"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70" w:history="1">
        <w:r w:rsidR="00D76256" w:rsidRPr="001A73AB">
          <w:rPr>
            <w:rStyle w:val="Hyperlink"/>
          </w:rPr>
          <w:t>Acute dietary exposure</w:t>
        </w:r>
        <w:r w:rsidR="00D76256">
          <w:rPr>
            <w:webHidden/>
          </w:rPr>
          <w:tab/>
        </w:r>
        <w:r w:rsidR="00D76256">
          <w:rPr>
            <w:webHidden/>
          </w:rPr>
          <w:fldChar w:fldCharType="begin"/>
        </w:r>
        <w:r w:rsidR="00D76256">
          <w:rPr>
            <w:webHidden/>
          </w:rPr>
          <w:instrText xml:space="preserve"> PAGEREF _Toc158818270 \h </w:instrText>
        </w:r>
        <w:r w:rsidR="00D76256">
          <w:rPr>
            <w:webHidden/>
          </w:rPr>
        </w:r>
        <w:r w:rsidR="00D76256">
          <w:rPr>
            <w:webHidden/>
          </w:rPr>
          <w:fldChar w:fldCharType="separate"/>
        </w:r>
        <w:r w:rsidR="00A75CD4">
          <w:rPr>
            <w:webHidden/>
          </w:rPr>
          <w:t>32</w:t>
        </w:r>
        <w:r w:rsidR="00D76256">
          <w:rPr>
            <w:webHidden/>
          </w:rPr>
          <w:fldChar w:fldCharType="end"/>
        </w:r>
      </w:hyperlink>
    </w:p>
    <w:p w14:paraId="7DDF39D5" w14:textId="62802776"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71" w:history="1">
        <w:r w:rsidR="00D76256" w:rsidRPr="001A73AB">
          <w:rPr>
            <w:rStyle w:val="Hyperlink"/>
          </w:rPr>
          <w:t>Residues and Trade recommendations</w:t>
        </w:r>
        <w:r w:rsidR="00D76256">
          <w:rPr>
            <w:webHidden/>
          </w:rPr>
          <w:tab/>
        </w:r>
        <w:r w:rsidR="00D76256">
          <w:rPr>
            <w:webHidden/>
          </w:rPr>
          <w:fldChar w:fldCharType="begin"/>
        </w:r>
        <w:r w:rsidR="00D76256">
          <w:rPr>
            <w:webHidden/>
          </w:rPr>
          <w:instrText xml:space="preserve"> PAGEREF _Toc158818271 \h </w:instrText>
        </w:r>
        <w:r w:rsidR="00D76256">
          <w:rPr>
            <w:webHidden/>
          </w:rPr>
        </w:r>
        <w:r w:rsidR="00D76256">
          <w:rPr>
            <w:webHidden/>
          </w:rPr>
          <w:fldChar w:fldCharType="separate"/>
        </w:r>
        <w:r w:rsidR="00A75CD4">
          <w:rPr>
            <w:webHidden/>
          </w:rPr>
          <w:t>33</w:t>
        </w:r>
        <w:r w:rsidR="00D76256">
          <w:rPr>
            <w:webHidden/>
          </w:rPr>
          <w:fldChar w:fldCharType="end"/>
        </w:r>
      </w:hyperlink>
    </w:p>
    <w:p w14:paraId="77BAADEA" w14:textId="0C3A5D03"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72" w:history="1">
        <w:r w:rsidR="00D76256" w:rsidRPr="001A73AB">
          <w:rPr>
            <w:rStyle w:val="Hyperlink"/>
          </w:rPr>
          <w:t>Uses supported from a residues and trade perspective</w:t>
        </w:r>
        <w:r w:rsidR="00D76256">
          <w:rPr>
            <w:webHidden/>
          </w:rPr>
          <w:tab/>
        </w:r>
        <w:r w:rsidR="00D76256">
          <w:rPr>
            <w:webHidden/>
          </w:rPr>
          <w:fldChar w:fldCharType="begin"/>
        </w:r>
        <w:r w:rsidR="00D76256">
          <w:rPr>
            <w:webHidden/>
          </w:rPr>
          <w:instrText xml:space="preserve"> PAGEREF _Toc158818272 \h </w:instrText>
        </w:r>
        <w:r w:rsidR="00D76256">
          <w:rPr>
            <w:webHidden/>
          </w:rPr>
        </w:r>
        <w:r w:rsidR="00D76256">
          <w:rPr>
            <w:webHidden/>
          </w:rPr>
          <w:fldChar w:fldCharType="separate"/>
        </w:r>
        <w:r w:rsidR="00A75CD4">
          <w:rPr>
            <w:webHidden/>
          </w:rPr>
          <w:t>33</w:t>
        </w:r>
        <w:r w:rsidR="00D76256">
          <w:rPr>
            <w:webHidden/>
          </w:rPr>
          <w:fldChar w:fldCharType="end"/>
        </w:r>
      </w:hyperlink>
    </w:p>
    <w:p w14:paraId="4FAEEEDB" w14:textId="7745911E"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73" w:history="1">
        <w:r w:rsidR="00D76256" w:rsidRPr="001A73AB">
          <w:rPr>
            <w:rStyle w:val="Hyperlink"/>
          </w:rPr>
          <w:t>Uses NOT supported from a residues and trade perspective</w:t>
        </w:r>
        <w:r w:rsidR="00D76256">
          <w:rPr>
            <w:webHidden/>
          </w:rPr>
          <w:tab/>
        </w:r>
        <w:r w:rsidR="00D76256">
          <w:rPr>
            <w:webHidden/>
          </w:rPr>
          <w:fldChar w:fldCharType="begin"/>
        </w:r>
        <w:r w:rsidR="00D76256">
          <w:rPr>
            <w:webHidden/>
          </w:rPr>
          <w:instrText xml:space="preserve"> PAGEREF _Toc158818273 \h </w:instrText>
        </w:r>
        <w:r w:rsidR="00D76256">
          <w:rPr>
            <w:webHidden/>
          </w:rPr>
        </w:r>
        <w:r w:rsidR="00D76256">
          <w:rPr>
            <w:webHidden/>
          </w:rPr>
          <w:fldChar w:fldCharType="separate"/>
        </w:r>
        <w:r w:rsidR="00A75CD4">
          <w:rPr>
            <w:webHidden/>
          </w:rPr>
          <w:t>33</w:t>
        </w:r>
        <w:r w:rsidR="00D76256">
          <w:rPr>
            <w:webHidden/>
          </w:rPr>
          <w:fldChar w:fldCharType="end"/>
        </w:r>
      </w:hyperlink>
    </w:p>
    <w:p w14:paraId="050E235A" w14:textId="3AEEA7D0"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74" w:history="1">
        <w:r w:rsidR="00D76256" w:rsidRPr="001A73AB">
          <w:rPr>
            <w:rStyle w:val="Hyperlink"/>
          </w:rPr>
          <w:t>Proposed Amendments to the Agricultural and Veterinary Chemicals (MRL Standard for Residues of Chemical Products) Instrument 2023</w:t>
        </w:r>
        <w:r w:rsidR="00D76256">
          <w:rPr>
            <w:webHidden/>
          </w:rPr>
          <w:tab/>
        </w:r>
        <w:r w:rsidR="00D76256">
          <w:rPr>
            <w:webHidden/>
          </w:rPr>
          <w:fldChar w:fldCharType="begin"/>
        </w:r>
        <w:r w:rsidR="00D76256">
          <w:rPr>
            <w:webHidden/>
          </w:rPr>
          <w:instrText xml:space="preserve"> PAGEREF _Toc158818274 \h </w:instrText>
        </w:r>
        <w:r w:rsidR="00D76256">
          <w:rPr>
            <w:webHidden/>
          </w:rPr>
        </w:r>
        <w:r w:rsidR="00D76256">
          <w:rPr>
            <w:webHidden/>
          </w:rPr>
          <w:fldChar w:fldCharType="separate"/>
        </w:r>
        <w:r w:rsidR="00A75CD4">
          <w:rPr>
            <w:webHidden/>
          </w:rPr>
          <w:t>34</w:t>
        </w:r>
        <w:r w:rsidR="00D76256">
          <w:rPr>
            <w:webHidden/>
          </w:rPr>
          <w:fldChar w:fldCharType="end"/>
        </w:r>
      </w:hyperlink>
    </w:p>
    <w:p w14:paraId="0A6ED45E" w14:textId="10E363D8"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75" w:history="1">
        <w:r w:rsidR="00D76256" w:rsidRPr="001A73AB">
          <w:rPr>
            <w:rStyle w:val="Hyperlink"/>
          </w:rPr>
          <w:t>Environmental safety</w:t>
        </w:r>
        <w:r w:rsidR="00D76256">
          <w:rPr>
            <w:webHidden/>
          </w:rPr>
          <w:tab/>
        </w:r>
        <w:r w:rsidR="00D76256">
          <w:rPr>
            <w:webHidden/>
          </w:rPr>
          <w:fldChar w:fldCharType="begin"/>
        </w:r>
        <w:r w:rsidR="00D76256">
          <w:rPr>
            <w:webHidden/>
          </w:rPr>
          <w:instrText xml:space="preserve"> PAGEREF _Toc158818275 \h </w:instrText>
        </w:r>
        <w:r w:rsidR="00D76256">
          <w:rPr>
            <w:webHidden/>
          </w:rPr>
        </w:r>
        <w:r w:rsidR="00D76256">
          <w:rPr>
            <w:webHidden/>
          </w:rPr>
          <w:fldChar w:fldCharType="separate"/>
        </w:r>
        <w:r w:rsidR="00A75CD4">
          <w:rPr>
            <w:webHidden/>
          </w:rPr>
          <w:t>36</w:t>
        </w:r>
        <w:r w:rsidR="00D76256">
          <w:rPr>
            <w:webHidden/>
          </w:rPr>
          <w:fldChar w:fldCharType="end"/>
        </w:r>
      </w:hyperlink>
    </w:p>
    <w:p w14:paraId="58D5D51E" w14:textId="2DF79815"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76" w:history="1">
        <w:r w:rsidR="00D76256" w:rsidRPr="001A73AB">
          <w:rPr>
            <w:rStyle w:val="Hyperlink"/>
          </w:rPr>
          <w:t>Recommendations</w:t>
        </w:r>
        <w:r w:rsidR="00D76256">
          <w:rPr>
            <w:webHidden/>
          </w:rPr>
          <w:tab/>
        </w:r>
        <w:r w:rsidR="00D76256">
          <w:rPr>
            <w:webHidden/>
          </w:rPr>
          <w:fldChar w:fldCharType="begin"/>
        </w:r>
        <w:r w:rsidR="00D76256">
          <w:rPr>
            <w:webHidden/>
          </w:rPr>
          <w:instrText xml:space="preserve"> PAGEREF _Toc158818276 \h </w:instrText>
        </w:r>
        <w:r w:rsidR="00D76256">
          <w:rPr>
            <w:webHidden/>
          </w:rPr>
        </w:r>
        <w:r w:rsidR="00D76256">
          <w:rPr>
            <w:webHidden/>
          </w:rPr>
          <w:fldChar w:fldCharType="separate"/>
        </w:r>
        <w:r w:rsidR="00A75CD4">
          <w:rPr>
            <w:webHidden/>
          </w:rPr>
          <w:t>36</w:t>
        </w:r>
        <w:r w:rsidR="00D76256">
          <w:rPr>
            <w:webHidden/>
          </w:rPr>
          <w:fldChar w:fldCharType="end"/>
        </w:r>
      </w:hyperlink>
    </w:p>
    <w:p w14:paraId="1E5DB7DE" w14:textId="19755322"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77" w:history="1">
        <w:r w:rsidR="00D76256" w:rsidRPr="001A73AB">
          <w:rPr>
            <w:rStyle w:val="Hyperlink"/>
          </w:rPr>
          <w:t>Environmental protection statement</w:t>
        </w:r>
        <w:r w:rsidR="00D76256">
          <w:rPr>
            <w:webHidden/>
          </w:rPr>
          <w:tab/>
        </w:r>
        <w:r w:rsidR="00D76256">
          <w:rPr>
            <w:webHidden/>
          </w:rPr>
          <w:fldChar w:fldCharType="begin"/>
        </w:r>
        <w:r w:rsidR="00D76256">
          <w:rPr>
            <w:webHidden/>
          </w:rPr>
          <w:instrText xml:space="preserve"> PAGEREF _Toc158818277 \h </w:instrText>
        </w:r>
        <w:r w:rsidR="00D76256">
          <w:rPr>
            <w:webHidden/>
          </w:rPr>
        </w:r>
        <w:r w:rsidR="00D76256">
          <w:rPr>
            <w:webHidden/>
          </w:rPr>
          <w:fldChar w:fldCharType="separate"/>
        </w:r>
        <w:r w:rsidR="00A75CD4">
          <w:rPr>
            <w:webHidden/>
          </w:rPr>
          <w:t>36</w:t>
        </w:r>
        <w:r w:rsidR="00D76256">
          <w:rPr>
            <w:webHidden/>
          </w:rPr>
          <w:fldChar w:fldCharType="end"/>
        </w:r>
      </w:hyperlink>
    </w:p>
    <w:p w14:paraId="0C637C92" w14:textId="1D3BBFEA"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78" w:history="1">
        <w:r w:rsidR="00D76256" w:rsidRPr="001A73AB">
          <w:rPr>
            <w:rStyle w:val="Hyperlink"/>
          </w:rPr>
          <w:t>Disposal statements</w:t>
        </w:r>
        <w:r w:rsidR="00D76256">
          <w:rPr>
            <w:webHidden/>
          </w:rPr>
          <w:tab/>
        </w:r>
        <w:r w:rsidR="00D76256">
          <w:rPr>
            <w:webHidden/>
          </w:rPr>
          <w:fldChar w:fldCharType="begin"/>
        </w:r>
        <w:r w:rsidR="00D76256">
          <w:rPr>
            <w:webHidden/>
          </w:rPr>
          <w:instrText xml:space="preserve"> PAGEREF _Toc158818278 \h </w:instrText>
        </w:r>
        <w:r w:rsidR="00D76256">
          <w:rPr>
            <w:webHidden/>
          </w:rPr>
        </w:r>
        <w:r w:rsidR="00D76256">
          <w:rPr>
            <w:webHidden/>
          </w:rPr>
          <w:fldChar w:fldCharType="separate"/>
        </w:r>
        <w:r w:rsidR="00A75CD4">
          <w:rPr>
            <w:webHidden/>
          </w:rPr>
          <w:t>36</w:t>
        </w:r>
        <w:r w:rsidR="00D76256">
          <w:rPr>
            <w:webHidden/>
          </w:rPr>
          <w:fldChar w:fldCharType="end"/>
        </w:r>
      </w:hyperlink>
    </w:p>
    <w:p w14:paraId="5FAE9400" w14:textId="25777AF6"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79" w:history="1">
        <w:r w:rsidR="00D76256" w:rsidRPr="001A73AB">
          <w:rPr>
            <w:rStyle w:val="Hyperlink"/>
          </w:rPr>
          <w:t>Target animal safety</w:t>
        </w:r>
        <w:r w:rsidR="00D76256">
          <w:rPr>
            <w:webHidden/>
          </w:rPr>
          <w:tab/>
        </w:r>
        <w:r w:rsidR="00D76256">
          <w:rPr>
            <w:webHidden/>
          </w:rPr>
          <w:fldChar w:fldCharType="begin"/>
        </w:r>
        <w:r w:rsidR="00D76256">
          <w:rPr>
            <w:webHidden/>
          </w:rPr>
          <w:instrText xml:space="preserve"> PAGEREF _Toc158818279 \h </w:instrText>
        </w:r>
        <w:r w:rsidR="00D76256">
          <w:rPr>
            <w:webHidden/>
          </w:rPr>
        </w:r>
        <w:r w:rsidR="00D76256">
          <w:rPr>
            <w:webHidden/>
          </w:rPr>
          <w:fldChar w:fldCharType="separate"/>
        </w:r>
        <w:r w:rsidR="00A75CD4">
          <w:rPr>
            <w:webHidden/>
          </w:rPr>
          <w:t>38</w:t>
        </w:r>
        <w:r w:rsidR="00D76256">
          <w:rPr>
            <w:webHidden/>
          </w:rPr>
          <w:fldChar w:fldCharType="end"/>
        </w:r>
      </w:hyperlink>
    </w:p>
    <w:p w14:paraId="4770AF39" w14:textId="7DE804B5"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80" w:history="1">
        <w:r w:rsidR="00D76256" w:rsidRPr="001A73AB">
          <w:rPr>
            <w:rStyle w:val="Hyperlink"/>
          </w:rPr>
          <w:t>Conclusions and recommendations</w:t>
        </w:r>
        <w:r w:rsidR="00D76256">
          <w:rPr>
            <w:webHidden/>
          </w:rPr>
          <w:tab/>
        </w:r>
        <w:r w:rsidR="00D76256">
          <w:rPr>
            <w:webHidden/>
          </w:rPr>
          <w:fldChar w:fldCharType="begin"/>
        </w:r>
        <w:r w:rsidR="00D76256">
          <w:rPr>
            <w:webHidden/>
          </w:rPr>
          <w:instrText xml:space="preserve"> PAGEREF _Toc158818280 \h </w:instrText>
        </w:r>
        <w:r w:rsidR="00D76256">
          <w:rPr>
            <w:webHidden/>
          </w:rPr>
        </w:r>
        <w:r w:rsidR="00D76256">
          <w:rPr>
            <w:webHidden/>
          </w:rPr>
          <w:fldChar w:fldCharType="separate"/>
        </w:r>
        <w:r w:rsidR="00A75CD4">
          <w:rPr>
            <w:webHidden/>
          </w:rPr>
          <w:t>39</w:t>
        </w:r>
        <w:r w:rsidR="00D76256">
          <w:rPr>
            <w:webHidden/>
          </w:rPr>
          <w:fldChar w:fldCharType="end"/>
        </w:r>
      </w:hyperlink>
    </w:p>
    <w:p w14:paraId="48FEF4C6" w14:textId="0C7B926A" w:rsidR="00D7625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58818281" w:history="1">
        <w:r w:rsidR="00D76256" w:rsidRPr="001A73AB">
          <w:rPr>
            <w:rStyle w:val="Hyperlink"/>
          </w:rPr>
          <w:t>Label recommendations</w:t>
        </w:r>
        <w:r w:rsidR="00D76256">
          <w:rPr>
            <w:webHidden/>
          </w:rPr>
          <w:tab/>
        </w:r>
        <w:r w:rsidR="00D76256">
          <w:rPr>
            <w:webHidden/>
          </w:rPr>
          <w:fldChar w:fldCharType="begin"/>
        </w:r>
        <w:r w:rsidR="00D76256">
          <w:rPr>
            <w:webHidden/>
          </w:rPr>
          <w:instrText xml:space="preserve"> PAGEREF _Toc158818281 \h </w:instrText>
        </w:r>
        <w:r w:rsidR="00D76256">
          <w:rPr>
            <w:webHidden/>
          </w:rPr>
        </w:r>
        <w:r w:rsidR="00D76256">
          <w:rPr>
            <w:webHidden/>
          </w:rPr>
          <w:fldChar w:fldCharType="separate"/>
        </w:r>
        <w:r w:rsidR="00A75CD4">
          <w:rPr>
            <w:webHidden/>
          </w:rPr>
          <w:t>39</w:t>
        </w:r>
        <w:r w:rsidR="00D76256">
          <w:rPr>
            <w:webHidden/>
          </w:rPr>
          <w:fldChar w:fldCharType="end"/>
        </w:r>
      </w:hyperlink>
    </w:p>
    <w:p w14:paraId="78012C50" w14:textId="2845FAF0"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82" w:history="1">
        <w:r w:rsidR="00D76256" w:rsidRPr="001A73AB">
          <w:rPr>
            <w:rStyle w:val="Hyperlink"/>
          </w:rPr>
          <w:t>Efficacy</w:t>
        </w:r>
        <w:r w:rsidR="00D76256">
          <w:rPr>
            <w:webHidden/>
          </w:rPr>
          <w:tab/>
        </w:r>
        <w:r w:rsidR="00D76256">
          <w:rPr>
            <w:webHidden/>
          </w:rPr>
          <w:fldChar w:fldCharType="begin"/>
        </w:r>
        <w:r w:rsidR="00D76256">
          <w:rPr>
            <w:webHidden/>
          </w:rPr>
          <w:instrText xml:space="preserve"> PAGEREF _Toc158818282 \h </w:instrText>
        </w:r>
        <w:r w:rsidR="00D76256">
          <w:rPr>
            <w:webHidden/>
          </w:rPr>
        </w:r>
        <w:r w:rsidR="00D76256">
          <w:rPr>
            <w:webHidden/>
          </w:rPr>
          <w:fldChar w:fldCharType="separate"/>
        </w:r>
        <w:r w:rsidR="00A75CD4">
          <w:rPr>
            <w:webHidden/>
          </w:rPr>
          <w:t>41</w:t>
        </w:r>
        <w:r w:rsidR="00D76256">
          <w:rPr>
            <w:webHidden/>
          </w:rPr>
          <w:fldChar w:fldCharType="end"/>
        </w:r>
      </w:hyperlink>
    </w:p>
    <w:p w14:paraId="600DF7D7" w14:textId="04FD8723"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83" w:history="1">
        <w:r w:rsidR="00D76256" w:rsidRPr="001A73AB">
          <w:rPr>
            <w:rStyle w:val="Hyperlink"/>
          </w:rPr>
          <w:t>Antimicrobial resistance</w:t>
        </w:r>
        <w:r w:rsidR="00D76256">
          <w:rPr>
            <w:webHidden/>
          </w:rPr>
          <w:tab/>
        </w:r>
        <w:r w:rsidR="00D76256">
          <w:rPr>
            <w:webHidden/>
          </w:rPr>
          <w:fldChar w:fldCharType="begin"/>
        </w:r>
        <w:r w:rsidR="00D76256">
          <w:rPr>
            <w:webHidden/>
          </w:rPr>
          <w:instrText xml:space="preserve"> PAGEREF _Toc158818283 \h </w:instrText>
        </w:r>
        <w:r w:rsidR="00D76256">
          <w:rPr>
            <w:webHidden/>
          </w:rPr>
        </w:r>
        <w:r w:rsidR="00D76256">
          <w:rPr>
            <w:webHidden/>
          </w:rPr>
          <w:fldChar w:fldCharType="separate"/>
        </w:r>
        <w:r w:rsidR="00A75CD4">
          <w:rPr>
            <w:webHidden/>
          </w:rPr>
          <w:t>42</w:t>
        </w:r>
        <w:r w:rsidR="00D76256">
          <w:rPr>
            <w:webHidden/>
          </w:rPr>
          <w:fldChar w:fldCharType="end"/>
        </w:r>
      </w:hyperlink>
    </w:p>
    <w:p w14:paraId="12E9D9D6" w14:textId="6DD9F477"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84" w:history="1">
        <w:r w:rsidR="00D76256" w:rsidRPr="001A73AB">
          <w:rPr>
            <w:rStyle w:val="Hyperlink"/>
          </w:rPr>
          <w:t>Global perspective</w:t>
        </w:r>
        <w:r w:rsidR="00D76256">
          <w:rPr>
            <w:webHidden/>
          </w:rPr>
          <w:tab/>
        </w:r>
        <w:r w:rsidR="00D76256">
          <w:rPr>
            <w:webHidden/>
          </w:rPr>
          <w:fldChar w:fldCharType="begin"/>
        </w:r>
        <w:r w:rsidR="00D76256">
          <w:rPr>
            <w:webHidden/>
          </w:rPr>
          <w:instrText xml:space="preserve"> PAGEREF _Toc158818284 \h </w:instrText>
        </w:r>
        <w:r w:rsidR="00D76256">
          <w:rPr>
            <w:webHidden/>
          </w:rPr>
        </w:r>
        <w:r w:rsidR="00D76256">
          <w:rPr>
            <w:webHidden/>
          </w:rPr>
          <w:fldChar w:fldCharType="separate"/>
        </w:r>
        <w:r w:rsidR="00A75CD4">
          <w:rPr>
            <w:webHidden/>
          </w:rPr>
          <w:t>42</w:t>
        </w:r>
        <w:r w:rsidR="00D76256">
          <w:rPr>
            <w:webHidden/>
          </w:rPr>
          <w:fldChar w:fldCharType="end"/>
        </w:r>
      </w:hyperlink>
    </w:p>
    <w:p w14:paraId="30569B58" w14:textId="3E9524AD"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85" w:history="1">
        <w:r w:rsidR="00D76256" w:rsidRPr="001A73AB">
          <w:rPr>
            <w:rStyle w:val="Hyperlink"/>
          </w:rPr>
          <w:t>Australian situation</w:t>
        </w:r>
        <w:r w:rsidR="00D76256">
          <w:rPr>
            <w:webHidden/>
          </w:rPr>
          <w:tab/>
        </w:r>
        <w:r w:rsidR="00D76256">
          <w:rPr>
            <w:webHidden/>
          </w:rPr>
          <w:fldChar w:fldCharType="begin"/>
        </w:r>
        <w:r w:rsidR="00D76256">
          <w:rPr>
            <w:webHidden/>
          </w:rPr>
          <w:instrText xml:space="preserve"> PAGEREF _Toc158818285 \h </w:instrText>
        </w:r>
        <w:r w:rsidR="00D76256">
          <w:rPr>
            <w:webHidden/>
          </w:rPr>
        </w:r>
        <w:r w:rsidR="00D76256">
          <w:rPr>
            <w:webHidden/>
          </w:rPr>
          <w:fldChar w:fldCharType="separate"/>
        </w:r>
        <w:r w:rsidR="00A75CD4">
          <w:rPr>
            <w:webHidden/>
          </w:rPr>
          <w:t>42</w:t>
        </w:r>
        <w:r w:rsidR="00D76256">
          <w:rPr>
            <w:webHidden/>
          </w:rPr>
          <w:fldChar w:fldCharType="end"/>
        </w:r>
      </w:hyperlink>
    </w:p>
    <w:p w14:paraId="05924614" w14:textId="5188638D" w:rsidR="00D76256"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8818286" w:history="1">
        <w:r w:rsidR="00D76256" w:rsidRPr="001A73AB">
          <w:rPr>
            <w:rStyle w:val="Hyperlink"/>
          </w:rPr>
          <w:t>Recommendations</w:t>
        </w:r>
        <w:r w:rsidR="00D76256">
          <w:rPr>
            <w:webHidden/>
          </w:rPr>
          <w:tab/>
        </w:r>
        <w:r w:rsidR="00D76256">
          <w:rPr>
            <w:webHidden/>
          </w:rPr>
          <w:fldChar w:fldCharType="begin"/>
        </w:r>
        <w:r w:rsidR="00D76256">
          <w:rPr>
            <w:webHidden/>
          </w:rPr>
          <w:instrText xml:space="preserve"> PAGEREF _Toc158818286 \h </w:instrText>
        </w:r>
        <w:r w:rsidR="00D76256">
          <w:rPr>
            <w:webHidden/>
          </w:rPr>
        </w:r>
        <w:r w:rsidR="00D76256">
          <w:rPr>
            <w:webHidden/>
          </w:rPr>
          <w:fldChar w:fldCharType="separate"/>
        </w:r>
        <w:r w:rsidR="00A75CD4">
          <w:rPr>
            <w:webHidden/>
          </w:rPr>
          <w:t>43</w:t>
        </w:r>
        <w:r w:rsidR="00D76256">
          <w:rPr>
            <w:webHidden/>
          </w:rPr>
          <w:fldChar w:fldCharType="end"/>
        </w:r>
      </w:hyperlink>
    </w:p>
    <w:p w14:paraId="57972F34" w14:textId="16D87ED4"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87" w:history="1">
        <w:r w:rsidR="00D76256" w:rsidRPr="001A73AB">
          <w:rPr>
            <w:rStyle w:val="Hyperlink"/>
          </w:rPr>
          <w:t>Appendix A – Summary of proposed changes</w:t>
        </w:r>
        <w:r w:rsidR="00D76256">
          <w:rPr>
            <w:webHidden/>
          </w:rPr>
          <w:tab/>
        </w:r>
        <w:r w:rsidR="00D76256">
          <w:rPr>
            <w:webHidden/>
          </w:rPr>
          <w:fldChar w:fldCharType="begin"/>
        </w:r>
        <w:r w:rsidR="00D76256">
          <w:rPr>
            <w:webHidden/>
          </w:rPr>
          <w:instrText xml:space="preserve"> PAGEREF _Toc158818287 \h </w:instrText>
        </w:r>
        <w:r w:rsidR="00D76256">
          <w:rPr>
            <w:webHidden/>
          </w:rPr>
        </w:r>
        <w:r w:rsidR="00D76256">
          <w:rPr>
            <w:webHidden/>
          </w:rPr>
          <w:fldChar w:fldCharType="separate"/>
        </w:r>
        <w:r w:rsidR="00A75CD4">
          <w:rPr>
            <w:webHidden/>
          </w:rPr>
          <w:t>46</w:t>
        </w:r>
        <w:r w:rsidR="00D76256">
          <w:rPr>
            <w:webHidden/>
          </w:rPr>
          <w:fldChar w:fldCharType="end"/>
        </w:r>
      </w:hyperlink>
    </w:p>
    <w:p w14:paraId="5DFAB1BC" w14:textId="5C432BFE"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88" w:history="1">
        <w:r w:rsidR="00D76256" w:rsidRPr="001A73AB">
          <w:rPr>
            <w:rStyle w:val="Hyperlink"/>
          </w:rPr>
          <w:t>Acronyms and abbreviations</w:t>
        </w:r>
        <w:r w:rsidR="00D76256">
          <w:rPr>
            <w:webHidden/>
          </w:rPr>
          <w:tab/>
        </w:r>
        <w:r w:rsidR="00D76256">
          <w:rPr>
            <w:webHidden/>
          </w:rPr>
          <w:fldChar w:fldCharType="begin"/>
        </w:r>
        <w:r w:rsidR="00D76256">
          <w:rPr>
            <w:webHidden/>
          </w:rPr>
          <w:instrText xml:space="preserve"> PAGEREF _Toc158818288 \h </w:instrText>
        </w:r>
        <w:r w:rsidR="00D76256">
          <w:rPr>
            <w:webHidden/>
          </w:rPr>
        </w:r>
        <w:r w:rsidR="00D76256">
          <w:rPr>
            <w:webHidden/>
          </w:rPr>
          <w:fldChar w:fldCharType="separate"/>
        </w:r>
        <w:r w:rsidR="00A75CD4">
          <w:rPr>
            <w:webHidden/>
          </w:rPr>
          <w:t>48</w:t>
        </w:r>
        <w:r w:rsidR="00D76256">
          <w:rPr>
            <w:webHidden/>
          </w:rPr>
          <w:fldChar w:fldCharType="end"/>
        </w:r>
      </w:hyperlink>
    </w:p>
    <w:p w14:paraId="75815CF3" w14:textId="2C797926" w:rsidR="00D76256"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8818289" w:history="1">
        <w:r w:rsidR="00D76256" w:rsidRPr="001A73AB">
          <w:rPr>
            <w:rStyle w:val="Hyperlink"/>
          </w:rPr>
          <w:t>References</w:t>
        </w:r>
        <w:r w:rsidR="00D76256">
          <w:rPr>
            <w:webHidden/>
          </w:rPr>
          <w:tab/>
        </w:r>
        <w:r w:rsidR="00D76256">
          <w:rPr>
            <w:webHidden/>
          </w:rPr>
          <w:fldChar w:fldCharType="begin"/>
        </w:r>
        <w:r w:rsidR="00D76256">
          <w:rPr>
            <w:webHidden/>
          </w:rPr>
          <w:instrText xml:space="preserve"> PAGEREF _Toc158818289 \h </w:instrText>
        </w:r>
        <w:r w:rsidR="00D76256">
          <w:rPr>
            <w:webHidden/>
          </w:rPr>
        </w:r>
        <w:r w:rsidR="00D76256">
          <w:rPr>
            <w:webHidden/>
          </w:rPr>
          <w:fldChar w:fldCharType="separate"/>
        </w:r>
        <w:r w:rsidR="00A75CD4">
          <w:rPr>
            <w:webHidden/>
          </w:rPr>
          <w:t>49</w:t>
        </w:r>
        <w:r w:rsidR="00D76256">
          <w:rPr>
            <w:webHidden/>
          </w:rPr>
          <w:fldChar w:fldCharType="end"/>
        </w:r>
      </w:hyperlink>
    </w:p>
    <w:p w14:paraId="077FC300" w14:textId="7ED7C671" w:rsidR="00EB2BC3" w:rsidRDefault="00B05454" w:rsidP="00853764">
      <w:pPr>
        <w:pStyle w:val="APVMAText"/>
        <w:rPr>
          <w:noProof/>
        </w:rPr>
      </w:pPr>
      <w:r>
        <w:fldChar w:fldCharType="end"/>
      </w:r>
      <w:r w:rsidR="00EB2BC3">
        <w:br w:type="page"/>
      </w:r>
    </w:p>
    <w:p w14:paraId="31BCE68B" w14:textId="5FF6509F" w:rsidR="007963D0" w:rsidRDefault="00B05454" w:rsidP="00CC1827">
      <w:pPr>
        <w:pStyle w:val="TOCH1"/>
      </w:pPr>
      <w:r w:rsidRPr="00FB0015">
        <w:lastRenderedPageBreak/>
        <w:t>List of tables</w:t>
      </w:r>
    </w:p>
    <w:p w14:paraId="61BC6788" w14:textId="32BDBCA4" w:rsidR="00D76256" w:rsidRDefault="00B05454">
      <w:pPr>
        <w:pStyle w:val="TableofFigures"/>
        <w:rPr>
          <w:rFonts w:asciiTheme="minorHAnsi" w:eastAsiaTheme="minorEastAsia" w:hAnsiTheme="minorHAnsi" w:cstheme="minorBidi"/>
          <w:color w:val="auto"/>
          <w:kern w:val="2"/>
          <w:sz w:val="22"/>
          <w:szCs w:val="22"/>
          <w:lang w:eastAsia="en-AU"/>
          <w14:ligatures w14:val="standardContextual"/>
        </w:rPr>
      </w:pPr>
      <w:r>
        <w:rPr>
          <w:rFonts w:ascii="Franklin Gothic Medium" w:hAnsi="Franklin Gothic Medium"/>
          <w:bCs/>
          <w:color w:val="00747A" w:themeColor="background2"/>
          <w:sz w:val="32"/>
          <w:szCs w:val="20"/>
        </w:rPr>
        <w:fldChar w:fldCharType="begin"/>
      </w:r>
      <w:r>
        <w:rPr>
          <w:color w:val="00747A" w:themeColor="background2"/>
        </w:rPr>
        <w:instrText xml:space="preserve"> TOC \h \z \c "Table" </w:instrText>
      </w:r>
      <w:r>
        <w:rPr>
          <w:rFonts w:ascii="Franklin Gothic Medium" w:hAnsi="Franklin Gothic Medium"/>
          <w:bCs/>
          <w:color w:val="00747A" w:themeColor="background2"/>
          <w:sz w:val="32"/>
          <w:szCs w:val="20"/>
        </w:rPr>
        <w:fldChar w:fldCharType="separate"/>
      </w:r>
      <w:hyperlink w:anchor="_Toc158818290" w:history="1">
        <w:r w:rsidR="00D76256" w:rsidRPr="00DA7838">
          <w:rPr>
            <w:rStyle w:val="Hyperlink"/>
          </w:rPr>
          <w:t>Table 1:</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Nomenclature and structural formula of the active constituent neomycin</w:t>
        </w:r>
        <w:r w:rsidR="00D76256">
          <w:rPr>
            <w:webHidden/>
          </w:rPr>
          <w:tab/>
        </w:r>
        <w:r w:rsidR="00D76256">
          <w:rPr>
            <w:webHidden/>
          </w:rPr>
          <w:fldChar w:fldCharType="begin"/>
        </w:r>
        <w:r w:rsidR="00D76256">
          <w:rPr>
            <w:webHidden/>
          </w:rPr>
          <w:instrText xml:space="preserve"> PAGEREF _Toc158818290 \h </w:instrText>
        </w:r>
        <w:r w:rsidR="00D76256">
          <w:rPr>
            <w:webHidden/>
          </w:rPr>
        </w:r>
        <w:r w:rsidR="00D76256">
          <w:rPr>
            <w:webHidden/>
          </w:rPr>
          <w:fldChar w:fldCharType="separate"/>
        </w:r>
        <w:r w:rsidR="00A75CD4">
          <w:rPr>
            <w:webHidden/>
          </w:rPr>
          <w:t>7</w:t>
        </w:r>
        <w:r w:rsidR="00D76256">
          <w:rPr>
            <w:webHidden/>
          </w:rPr>
          <w:fldChar w:fldCharType="end"/>
        </w:r>
      </w:hyperlink>
    </w:p>
    <w:p w14:paraId="13DCB396" w14:textId="34B0AF28"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1" w:history="1">
        <w:r w:rsidR="00D76256" w:rsidRPr="00DA7838">
          <w:rPr>
            <w:rStyle w:val="Hyperlink"/>
          </w:rPr>
          <w:t>Table 2:</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Key physicochemical properties of the active constituent neomycin</w:t>
        </w:r>
        <w:r w:rsidR="00D76256">
          <w:rPr>
            <w:webHidden/>
          </w:rPr>
          <w:tab/>
        </w:r>
        <w:r w:rsidR="00D76256">
          <w:rPr>
            <w:webHidden/>
          </w:rPr>
          <w:fldChar w:fldCharType="begin"/>
        </w:r>
        <w:r w:rsidR="00D76256">
          <w:rPr>
            <w:webHidden/>
          </w:rPr>
          <w:instrText xml:space="preserve"> PAGEREF _Toc158818291 \h </w:instrText>
        </w:r>
        <w:r w:rsidR="00D76256">
          <w:rPr>
            <w:webHidden/>
          </w:rPr>
        </w:r>
        <w:r w:rsidR="00D76256">
          <w:rPr>
            <w:webHidden/>
          </w:rPr>
          <w:fldChar w:fldCharType="separate"/>
        </w:r>
        <w:r w:rsidR="00A75CD4">
          <w:rPr>
            <w:webHidden/>
          </w:rPr>
          <w:t>8</w:t>
        </w:r>
        <w:r w:rsidR="00D76256">
          <w:rPr>
            <w:webHidden/>
          </w:rPr>
          <w:fldChar w:fldCharType="end"/>
        </w:r>
      </w:hyperlink>
    </w:p>
    <w:p w14:paraId="14E2398B" w14:textId="1C04634D"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2" w:history="1">
        <w:r w:rsidR="00D76256" w:rsidRPr="00DA7838">
          <w:rPr>
            <w:rStyle w:val="Hyperlink"/>
          </w:rPr>
          <w:t>Table 3:</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Currently registered products containing neomycin within scope of the reconsideration</w:t>
        </w:r>
        <w:r w:rsidR="00D76256">
          <w:rPr>
            <w:webHidden/>
          </w:rPr>
          <w:tab/>
        </w:r>
        <w:r w:rsidR="00D76256">
          <w:rPr>
            <w:webHidden/>
          </w:rPr>
          <w:fldChar w:fldCharType="begin"/>
        </w:r>
        <w:r w:rsidR="00D76256">
          <w:rPr>
            <w:webHidden/>
          </w:rPr>
          <w:instrText xml:space="preserve"> PAGEREF _Toc158818292 \h </w:instrText>
        </w:r>
        <w:r w:rsidR="00D76256">
          <w:rPr>
            <w:webHidden/>
          </w:rPr>
        </w:r>
        <w:r w:rsidR="00D76256">
          <w:rPr>
            <w:webHidden/>
          </w:rPr>
          <w:fldChar w:fldCharType="separate"/>
        </w:r>
        <w:r w:rsidR="00A75CD4">
          <w:rPr>
            <w:webHidden/>
          </w:rPr>
          <w:t>9</w:t>
        </w:r>
        <w:r w:rsidR="00D76256">
          <w:rPr>
            <w:webHidden/>
          </w:rPr>
          <w:fldChar w:fldCharType="end"/>
        </w:r>
      </w:hyperlink>
    </w:p>
    <w:p w14:paraId="45C637E0" w14:textId="2793D9A8"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3" w:history="1">
        <w:r w:rsidR="00D76256" w:rsidRPr="00DA7838">
          <w:rPr>
            <w:rStyle w:val="Hyperlink"/>
          </w:rPr>
          <w:t>Table 4:</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Scheduling of neomycin in the Poisons Standard</w:t>
        </w:r>
        <w:r w:rsidR="00D76256">
          <w:rPr>
            <w:webHidden/>
          </w:rPr>
          <w:tab/>
        </w:r>
        <w:r w:rsidR="00D76256">
          <w:rPr>
            <w:webHidden/>
          </w:rPr>
          <w:fldChar w:fldCharType="begin"/>
        </w:r>
        <w:r w:rsidR="00D76256">
          <w:rPr>
            <w:webHidden/>
          </w:rPr>
          <w:instrText xml:space="preserve"> PAGEREF _Toc158818293 \h </w:instrText>
        </w:r>
        <w:r w:rsidR="00D76256">
          <w:rPr>
            <w:webHidden/>
          </w:rPr>
        </w:r>
        <w:r w:rsidR="00D76256">
          <w:rPr>
            <w:webHidden/>
          </w:rPr>
          <w:fldChar w:fldCharType="separate"/>
        </w:r>
        <w:r w:rsidR="00A75CD4">
          <w:rPr>
            <w:webHidden/>
          </w:rPr>
          <w:t>11</w:t>
        </w:r>
        <w:r w:rsidR="00D76256">
          <w:rPr>
            <w:webHidden/>
          </w:rPr>
          <w:fldChar w:fldCharType="end"/>
        </w:r>
      </w:hyperlink>
    </w:p>
    <w:p w14:paraId="605A76EC" w14:textId="39BA7EE6"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4" w:history="1">
        <w:r w:rsidR="00D76256" w:rsidRPr="00DA7838">
          <w:rPr>
            <w:rStyle w:val="Hyperlink"/>
          </w:rPr>
          <w:t>Table 5:</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FAISD Handbook – existing entry</w:t>
        </w:r>
        <w:r w:rsidR="00D76256">
          <w:rPr>
            <w:webHidden/>
          </w:rPr>
          <w:tab/>
        </w:r>
        <w:r w:rsidR="00D76256">
          <w:rPr>
            <w:webHidden/>
          </w:rPr>
          <w:fldChar w:fldCharType="begin"/>
        </w:r>
        <w:r w:rsidR="00D76256">
          <w:rPr>
            <w:webHidden/>
          </w:rPr>
          <w:instrText xml:space="preserve"> PAGEREF _Toc158818294 \h </w:instrText>
        </w:r>
        <w:r w:rsidR="00D76256">
          <w:rPr>
            <w:webHidden/>
          </w:rPr>
        </w:r>
        <w:r w:rsidR="00D76256">
          <w:rPr>
            <w:webHidden/>
          </w:rPr>
          <w:fldChar w:fldCharType="separate"/>
        </w:r>
        <w:r w:rsidR="00A75CD4">
          <w:rPr>
            <w:webHidden/>
          </w:rPr>
          <w:t>14</w:t>
        </w:r>
        <w:r w:rsidR="00D76256">
          <w:rPr>
            <w:webHidden/>
          </w:rPr>
          <w:fldChar w:fldCharType="end"/>
        </w:r>
      </w:hyperlink>
    </w:p>
    <w:p w14:paraId="099120D1" w14:textId="03136E68"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5" w:history="1">
        <w:r w:rsidR="00D76256" w:rsidRPr="00DA7838">
          <w:rPr>
            <w:rStyle w:val="Hyperlink"/>
          </w:rPr>
          <w:t>Table 6:</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FAISD Handbook – new entry</w:t>
        </w:r>
        <w:r w:rsidR="00D76256">
          <w:rPr>
            <w:webHidden/>
          </w:rPr>
          <w:tab/>
        </w:r>
        <w:r w:rsidR="00D76256">
          <w:rPr>
            <w:webHidden/>
          </w:rPr>
          <w:fldChar w:fldCharType="begin"/>
        </w:r>
        <w:r w:rsidR="00D76256">
          <w:rPr>
            <w:webHidden/>
          </w:rPr>
          <w:instrText xml:space="preserve"> PAGEREF _Toc158818295 \h </w:instrText>
        </w:r>
        <w:r w:rsidR="00D76256">
          <w:rPr>
            <w:webHidden/>
          </w:rPr>
        </w:r>
        <w:r w:rsidR="00D76256">
          <w:rPr>
            <w:webHidden/>
          </w:rPr>
          <w:fldChar w:fldCharType="separate"/>
        </w:r>
        <w:r w:rsidR="00A75CD4">
          <w:rPr>
            <w:webHidden/>
          </w:rPr>
          <w:t>14</w:t>
        </w:r>
        <w:r w:rsidR="00D76256">
          <w:rPr>
            <w:webHidden/>
          </w:rPr>
          <w:fldChar w:fldCharType="end"/>
        </w:r>
      </w:hyperlink>
    </w:p>
    <w:p w14:paraId="1FA4A6AD" w14:textId="7A5767E8"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6" w:history="1">
        <w:r w:rsidR="00D76256" w:rsidRPr="00DA7838">
          <w:rPr>
            <w:rStyle w:val="Hyperlink"/>
          </w:rPr>
          <w:t>Table 7:</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FAISD Handbook – new entry</w:t>
        </w:r>
        <w:r w:rsidR="00D76256">
          <w:rPr>
            <w:webHidden/>
          </w:rPr>
          <w:tab/>
        </w:r>
        <w:r w:rsidR="00D76256">
          <w:rPr>
            <w:webHidden/>
          </w:rPr>
          <w:fldChar w:fldCharType="begin"/>
        </w:r>
        <w:r w:rsidR="00D76256">
          <w:rPr>
            <w:webHidden/>
          </w:rPr>
          <w:instrText xml:space="preserve"> PAGEREF _Toc158818296 \h </w:instrText>
        </w:r>
        <w:r w:rsidR="00D76256">
          <w:rPr>
            <w:webHidden/>
          </w:rPr>
        </w:r>
        <w:r w:rsidR="00D76256">
          <w:rPr>
            <w:webHidden/>
          </w:rPr>
          <w:fldChar w:fldCharType="separate"/>
        </w:r>
        <w:r w:rsidR="00A75CD4">
          <w:rPr>
            <w:webHidden/>
          </w:rPr>
          <w:t>14</w:t>
        </w:r>
        <w:r w:rsidR="00D76256">
          <w:rPr>
            <w:webHidden/>
          </w:rPr>
          <w:fldChar w:fldCharType="end"/>
        </w:r>
      </w:hyperlink>
    </w:p>
    <w:p w14:paraId="0A9B0FE5" w14:textId="02C0886A"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7" w:history="1">
        <w:r w:rsidR="00D76256" w:rsidRPr="00DA7838">
          <w:rPr>
            <w:rStyle w:val="Hyperlink"/>
          </w:rPr>
          <w:t>Table 8:</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FAISD Handbook – new entry</w:t>
        </w:r>
        <w:r w:rsidR="00D76256">
          <w:rPr>
            <w:webHidden/>
          </w:rPr>
          <w:tab/>
        </w:r>
        <w:r w:rsidR="00D76256">
          <w:rPr>
            <w:webHidden/>
          </w:rPr>
          <w:fldChar w:fldCharType="begin"/>
        </w:r>
        <w:r w:rsidR="00D76256">
          <w:rPr>
            <w:webHidden/>
          </w:rPr>
          <w:instrText xml:space="preserve"> PAGEREF _Toc158818297 \h </w:instrText>
        </w:r>
        <w:r w:rsidR="00D76256">
          <w:rPr>
            <w:webHidden/>
          </w:rPr>
        </w:r>
        <w:r w:rsidR="00D76256">
          <w:rPr>
            <w:webHidden/>
          </w:rPr>
          <w:fldChar w:fldCharType="separate"/>
        </w:r>
        <w:r w:rsidR="00A75CD4">
          <w:rPr>
            <w:webHidden/>
          </w:rPr>
          <w:t>15</w:t>
        </w:r>
        <w:r w:rsidR="00D76256">
          <w:rPr>
            <w:webHidden/>
          </w:rPr>
          <w:fldChar w:fldCharType="end"/>
        </w:r>
      </w:hyperlink>
    </w:p>
    <w:p w14:paraId="79BD7DE2" w14:textId="7768282D"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8" w:history="1">
        <w:r w:rsidR="00D76256" w:rsidRPr="00DA7838">
          <w:rPr>
            <w:rStyle w:val="Hyperlink"/>
          </w:rPr>
          <w:t>Table 9:</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FAISD Handbook – new entry</w:t>
        </w:r>
        <w:r w:rsidR="00D76256">
          <w:rPr>
            <w:webHidden/>
          </w:rPr>
          <w:tab/>
        </w:r>
        <w:r w:rsidR="00D76256">
          <w:rPr>
            <w:webHidden/>
          </w:rPr>
          <w:fldChar w:fldCharType="begin"/>
        </w:r>
        <w:r w:rsidR="00D76256">
          <w:rPr>
            <w:webHidden/>
          </w:rPr>
          <w:instrText xml:space="preserve"> PAGEREF _Toc158818298 \h </w:instrText>
        </w:r>
        <w:r w:rsidR="00D76256">
          <w:rPr>
            <w:webHidden/>
          </w:rPr>
        </w:r>
        <w:r w:rsidR="00D76256">
          <w:rPr>
            <w:webHidden/>
          </w:rPr>
          <w:fldChar w:fldCharType="separate"/>
        </w:r>
        <w:r w:rsidR="00A75CD4">
          <w:rPr>
            <w:webHidden/>
          </w:rPr>
          <w:t>15</w:t>
        </w:r>
        <w:r w:rsidR="00D76256">
          <w:rPr>
            <w:webHidden/>
          </w:rPr>
          <w:fldChar w:fldCharType="end"/>
        </w:r>
      </w:hyperlink>
    </w:p>
    <w:p w14:paraId="7593420E" w14:textId="5D026A48"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299" w:history="1">
        <w:r w:rsidR="00D76256" w:rsidRPr="00DA7838">
          <w:rPr>
            <w:rStyle w:val="Hyperlink"/>
          </w:rPr>
          <w:t>Table 10:</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Entries for neomycin in Table 1 of the MRL Standard</w:t>
        </w:r>
        <w:r w:rsidR="00D76256">
          <w:rPr>
            <w:webHidden/>
          </w:rPr>
          <w:tab/>
        </w:r>
        <w:r w:rsidR="00D76256">
          <w:rPr>
            <w:webHidden/>
          </w:rPr>
          <w:fldChar w:fldCharType="begin"/>
        </w:r>
        <w:r w:rsidR="00D76256">
          <w:rPr>
            <w:webHidden/>
          </w:rPr>
          <w:instrText xml:space="preserve"> PAGEREF _Toc158818299 \h </w:instrText>
        </w:r>
        <w:r w:rsidR="00D76256">
          <w:rPr>
            <w:webHidden/>
          </w:rPr>
        </w:r>
        <w:r w:rsidR="00D76256">
          <w:rPr>
            <w:webHidden/>
          </w:rPr>
          <w:fldChar w:fldCharType="separate"/>
        </w:r>
        <w:r w:rsidR="00A75CD4">
          <w:rPr>
            <w:webHidden/>
          </w:rPr>
          <w:t>16</w:t>
        </w:r>
        <w:r w:rsidR="00D76256">
          <w:rPr>
            <w:webHidden/>
          </w:rPr>
          <w:fldChar w:fldCharType="end"/>
        </w:r>
      </w:hyperlink>
    </w:p>
    <w:p w14:paraId="2D5A1623" w14:textId="59987F84"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300" w:history="1">
        <w:r w:rsidR="00D76256" w:rsidRPr="00DA7838">
          <w:rPr>
            <w:rStyle w:val="Hyperlink"/>
          </w:rPr>
          <w:t>Table 11:</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Supported MRLs for neomycin in cattle tissues</w:t>
        </w:r>
        <w:r w:rsidR="00D76256">
          <w:rPr>
            <w:webHidden/>
          </w:rPr>
          <w:tab/>
        </w:r>
        <w:r w:rsidR="00D76256">
          <w:rPr>
            <w:webHidden/>
          </w:rPr>
          <w:fldChar w:fldCharType="begin"/>
        </w:r>
        <w:r w:rsidR="00D76256">
          <w:rPr>
            <w:webHidden/>
          </w:rPr>
          <w:instrText xml:space="preserve"> PAGEREF _Toc158818300 \h </w:instrText>
        </w:r>
        <w:r w:rsidR="00D76256">
          <w:rPr>
            <w:webHidden/>
          </w:rPr>
        </w:r>
        <w:r w:rsidR="00D76256">
          <w:rPr>
            <w:webHidden/>
          </w:rPr>
          <w:fldChar w:fldCharType="separate"/>
        </w:r>
        <w:r w:rsidR="00A75CD4">
          <w:rPr>
            <w:webHidden/>
          </w:rPr>
          <w:t>19</w:t>
        </w:r>
        <w:r w:rsidR="00D76256">
          <w:rPr>
            <w:webHidden/>
          </w:rPr>
          <w:fldChar w:fldCharType="end"/>
        </w:r>
      </w:hyperlink>
    </w:p>
    <w:p w14:paraId="74100AB6" w14:textId="7E3F27D8"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301" w:history="1">
        <w:r w:rsidR="00D76256" w:rsidRPr="00DA7838">
          <w:rPr>
            <w:rStyle w:val="Hyperlink"/>
          </w:rPr>
          <w:t>Table 12:</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The supported MRLs for neomycin in sheep</w:t>
        </w:r>
        <w:r w:rsidR="00D76256">
          <w:rPr>
            <w:webHidden/>
          </w:rPr>
          <w:tab/>
        </w:r>
        <w:r w:rsidR="00D76256">
          <w:rPr>
            <w:webHidden/>
          </w:rPr>
          <w:fldChar w:fldCharType="begin"/>
        </w:r>
        <w:r w:rsidR="00D76256">
          <w:rPr>
            <w:webHidden/>
          </w:rPr>
          <w:instrText xml:space="preserve"> PAGEREF _Toc158818301 \h </w:instrText>
        </w:r>
        <w:r w:rsidR="00D76256">
          <w:rPr>
            <w:webHidden/>
          </w:rPr>
        </w:r>
        <w:r w:rsidR="00D76256">
          <w:rPr>
            <w:webHidden/>
          </w:rPr>
          <w:fldChar w:fldCharType="separate"/>
        </w:r>
        <w:r w:rsidR="00A75CD4">
          <w:rPr>
            <w:webHidden/>
          </w:rPr>
          <w:t>21</w:t>
        </w:r>
        <w:r w:rsidR="00D76256">
          <w:rPr>
            <w:webHidden/>
          </w:rPr>
          <w:fldChar w:fldCharType="end"/>
        </w:r>
      </w:hyperlink>
    </w:p>
    <w:p w14:paraId="2677EBB1" w14:textId="0F2FDAA6"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302" w:history="1">
        <w:r w:rsidR="00D76256" w:rsidRPr="00DA7838">
          <w:rPr>
            <w:rStyle w:val="Hyperlink"/>
          </w:rPr>
          <w:t>Table 13:</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The supported MRLs for neomycin in pig tissues</w:t>
        </w:r>
        <w:r w:rsidR="00D76256">
          <w:rPr>
            <w:webHidden/>
          </w:rPr>
          <w:tab/>
        </w:r>
        <w:r w:rsidR="00D76256">
          <w:rPr>
            <w:webHidden/>
          </w:rPr>
          <w:fldChar w:fldCharType="begin"/>
        </w:r>
        <w:r w:rsidR="00D76256">
          <w:rPr>
            <w:webHidden/>
          </w:rPr>
          <w:instrText xml:space="preserve"> PAGEREF _Toc158818302 \h </w:instrText>
        </w:r>
        <w:r w:rsidR="00D76256">
          <w:rPr>
            <w:webHidden/>
          </w:rPr>
        </w:r>
        <w:r w:rsidR="00D76256">
          <w:rPr>
            <w:webHidden/>
          </w:rPr>
          <w:fldChar w:fldCharType="separate"/>
        </w:r>
        <w:r w:rsidR="00A75CD4">
          <w:rPr>
            <w:webHidden/>
          </w:rPr>
          <w:t>23</w:t>
        </w:r>
        <w:r w:rsidR="00D76256">
          <w:rPr>
            <w:webHidden/>
          </w:rPr>
          <w:fldChar w:fldCharType="end"/>
        </w:r>
      </w:hyperlink>
    </w:p>
    <w:p w14:paraId="6199BDA4" w14:textId="7246F9E7"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303" w:history="1">
        <w:r w:rsidR="00D76256" w:rsidRPr="00DA7838">
          <w:rPr>
            <w:rStyle w:val="Hyperlink"/>
          </w:rPr>
          <w:t>Table 14:</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Neomycin MRLs in some of Australia’s major trading markets for animal commodities</w:t>
        </w:r>
        <w:r w:rsidR="00D76256">
          <w:rPr>
            <w:webHidden/>
          </w:rPr>
          <w:tab/>
        </w:r>
        <w:r w:rsidR="00D76256">
          <w:rPr>
            <w:webHidden/>
          </w:rPr>
          <w:fldChar w:fldCharType="begin"/>
        </w:r>
        <w:r w:rsidR="00D76256">
          <w:rPr>
            <w:webHidden/>
          </w:rPr>
          <w:instrText xml:space="preserve"> PAGEREF _Toc158818303 \h </w:instrText>
        </w:r>
        <w:r w:rsidR="00D76256">
          <w:rPr>
            <w:webHidden/>
          </w:rPr>
        </w:r>
        <w:r w:rsidR="00D76256">
          <w:rPr>
            <w:webHidden/>
          </w:rPr>
          <w:fldChar w:fldCharType="separate"/>
        </w:r>
        <w:r w:rsidR="00A75CD4">
          <w:rPr>
            <w:webHidden/>
          </w:rPr>
          <w:t>29</w:t>
        </w:r>
        <w:r w:rsidR="00D76256">
          <w:rPr>
            <w:webHidden/>
          </w:rPr>
          <w:fldChar w:fldCharType="end"/>
        </w:r>
      </w:hyperlink>
    </w:p>
    <w:p w14:paraId="620D1C56" w14:textId="7243CABC"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304" w:history="1">
        <w:r w:rsidR="00D76256" w:rsidRPr="00DA7838">
          <w:rPr>
            <w:rStyle w:val="Hyperlink"/>
          </w:rPr>
          <w:t>Table 15:</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Neomycin MRLs in some of Australia’s major trading markets for animal commodities</w:t>
        </w:r>
        <w:r w:rsidR="00D76256">
          <w:rPr>
            <w:webHidden/>
          </w:rPr>
          <w:tab/>
        </w:r>
        <w:r w:rsidR="00D76256">
          <w:rPr>
            <w:webHidden/>
          </w:rPr>
          <w:fldChar w:fldCharType="begin"/>
        </w:r>
        <w:r w:rsidR="00D76256">
          <w:rPr>
            <w:webHidden/>
          </w:rPr>
          <w:instrText xml:space="preserve"> PAGEREF _Toc158818304 \h </w:instrText>
        </w:r>
        <w:r w:rsidR="00D76256">
          <w:rPr>
            <w:webHidden/>
          </w:rPr>
        </w:r>
        <w:r w:rsidR="00D76256">
          <w:rPr>
            <w:webHidden/>
          </w:rPr>
          <w:fldChar w:fldCharType="separate"/>
        </w:r>
        <w:r w:rsidR="00A75CD4">
          <w:rPr>
            <w:webHidden/>
          </w:rPr>
          <w:t>31</w:t>
        </w:r>
        <w:r w:rsidR="00D76256">
          <w:rPr>
            <w:webHidden/>
          </w:rPr>
          <w:fldChar w:fldCharType="end"/>
        </w:r>
      </w:hyperlink>
    </w:p>
    <w:p w14:paraId="2C04EE54" w14:textId="0CCDCF49"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305" w:history="1">
        <w:r w:rsidR="00D76256" w:rsidRPr="00DA7838">
          <w:rPr>
            <w:rStyle w:val="Hyperlink"/>
          </w:rPr>
          <w:t>Table 16:</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Estimated daily intake for neomycin residues</w:t>
        </w:r>
        <w:r w:rsidR="00D76256">
          <w:rPr>
            <w:webHidden/>
          </w:rPr>
          <w:tab/>
        </w:r>
        <w:r w:rsidR="00D76256">
          <w:rPr>
            <w:webHidden/>
          </w:rPr>
          <w:fldChar w:fldCharType="begin"/>
        </w:r>
        <w:r w:rsidR="00D76256">
          <w:rPr>
            <w:webHidden/>
          </w:rPr>
          <w:instrText xml:space="preserve"> PAGEREF _Toc158818305 \h </w:instrText>
        </w:r>
        <w:r w:rsidR="00D76256">
          <w:rPr>
            <w:webHidden/>
          </w:rPr>
        </w:r>
        <w:r w:rsidR="00D76256">
          <w:rPr>
            <w:webHidden/>
          </w:rPr>
          <w:fldChar w:fldCharType="separate"/>
        </w:r>
        <w:r w:rsidR="00A75CD4">
          <w:rPr>
            <w:webHidden/>
          </w:rPr>
          <w:t>32</w:t>
        </w:r>
        <w:r w:rsidR="00D76256">
          <w:rPr>
            <w:webHidden/>
          </w:rPr>
          <w:fldChar w:fldCharType="end"/>
        </w:r>
      </w:hyperlink>
    </w:p>
    <w:p w14:paraId="5437D33F" w14:textId="65E160BF"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306" w:history="1">
        <w:r w:rsidR="00D76256" w:rsidRPr="00DA7838">
          <w:rPr>
            <w:rStyle w:val="Hyperlink"/>
          </w:rPr>
          <w:t>Table 17:</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Amendments to Table 1 of the Agricultural and Veterinary Chemicals (MRL Standard for Residues of Chemical Products) Instrument 2023</w:t>
        </w:r>
        <w:r w:rsidR="00D76256">
          <w:rPr>
            <w:webHidden/>
          </w:rPr>
          <w:tab/>
        </w:r>
        <w:r w:rsidR="00D76256">
          <w:rPr>
            <w:webHidden/>
          </w:rPr>
          <w:fldChar w:fldCharType="begin"/>
        </w:r>
        <w:r w:rsidR="00D76256">
          <w:rPr>
            <w:webHidden/>
          </w:rPr>
          <w:instrText xml:space="preserve"> PAGEREF _Toc158818306 \h </w:instrText>
        </w:r>
        <w:r w:rsidR="00D76256">
          <w:rPr>
            <w:webHidden/>
          </w:rPr>
        </w:r>
        <w:r w:rsidR="00D76256">
          <w:rPr>
            <w:webHidden/>
          </w:rPr>
          <w:fldChar w:fldCharType="separate"/>
        </w:r>
        <w:r w:rsidR="00A75CD4">
          <w:rPr>
            <w:webHidden/>
          </w:rPr>
          <w:t>34</w:t>
        </w:r>
        <w:r w:rsidR="00D76256">
          <w:rPr>
            <w:webHidden/>
          </w:rPr>
          <w:fldChar w:fldCharType="end"/>
        </w:r>
      </w:hyperlink>
    </w:p>
    <w:p w14:paraId="7CB003B5" w14:textId="25101F4D" w:rsidR="00D76256" w:rsidRDefault="00000000">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8818307" w:history="1">
        <w:r w:rsidR="00D76256" w:rsidRPr="00DA7838">
          <w:rPr>
            <w:rStyle w:val="Hyperlink"/>
          </w:rPr>
          <w:t>Table 18:</w:t>
        </w:r>
        <w:r w:rsidR="00D76256">
          <w:rPr>
            <w:rFonts w:asciiTheme="minorHAnsi" w:eastAsiaTheme="minorEastAsia" w:hAnsiTheme="minorHAnsi" w:cstheme="minorBidi"/>
            <w:color w:val="auto"/>
            <w:kern w:val="2"/>
            <w:sz w:val="22"/>
            <w:szCs w:val="22"/>
            <w:lang w:eastAsia="en-AU"/>
            <w14:ligatures w14:val="standardContextual"/>
          </w:rPr>
          <w:tab/>
        </w:r>
        <w:r w:rsidR="00D76256" w:rsidRPr="00DA7838">
          <w:rPr>
            <w:rStyle w:val="Hyperlink"/>
          </w:rPr>
          <w:t>Amendments to Table 3 of the Agricultural and Veterinary Chemicals (MRL Standard for Residues of Chemical Products) Instrument 2023</w:t>
        </w:r>
        <w:r w:rsidR="00D76256">
          <w:rPr>
            <w:webHidden/>
          </w:rPr>
          <w:tab/>
        </w:r>
        <w:r w:rsidR="00D76256">
          <w:rPr>
            <w:webHidden/>
          </w:rPr>
          <w:fldChar w:fldCharType="begin"/>
        </w:r>
        <w:r w:rsidR="00D76256">
          <w:rPr>
            <w:webHidden/>
          </w:rPr>
          <w:instrText xml:space="preserve"> PAGEREF _Toc158818307 \h </w:instrText>
        </w:r>
        <w:r w:rsidR="00D76256">
          <w:rPr>
            <w:webHidden/>
          </w:rPr>
        </w:r>
        <w:r w:rsidR="00D76256">
          <w:rPr>
            <w:webHidden/>
          </w:rPr>
          <w:fldChar w:fldCharType="separate"/>
        </w:r>
        <w:r w:rsidR="00A75CD4">
          <w:rPr>
            <w:webHidden/>
          </w:rPr>
          <w:t>35</w:t>
        </w:r>
        <w:r w:rsidR="00D76256">
          <w:rPr>
            <w:webHidden/>
          </w:rPr>
          <w:fldChar w:fldCharType="end"/>
        </w:r>
      </w:hyperlink>
    </w:p>
    <w:p w14:paraId="642BE59F" w14:textId="078B1F35" w:rsidR="002A3239" w:rsidRDefault="00B05454" w:rsidP="00B05454">
      <w:pPr>
        <w:pStyle w:val="NormalText"/>
        <w:rPr>
          <w:noProof/>
        </w:rPr>
        <w:sectPr w:rsidR="002A3239" w:rsidSect="00DF3A52">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03150232" w14:textId="0245AE8D" w:rsidR="002E20AC" w:rsidRPr="00853764" w:rsidRDefault="002E20AC" w:rsidP="00853764">
      <w:pPr>
        <w:pStyle w:val="PreliminariesH1"/>
      </w:pPr>
      <w:bookmarkStart w:id="1" w:name="_Toc234063054"/>
      <w:bookmarkStart w:id="2" w:name="_Toc414373831"/>
      <w:bookmarkStart w:id="3" w:name="_Toc135232585"/>
      <w:bookmarkStart w:id="4" w:name="_Toc158818229"/>
      <w:r w:rsidRPr="00853764">
        <w:lastRenderedPageBreak/>
        <w:t>Preface</w:t>
      </w:r>
      <w:bookmarkEnd w:id="1"/>
      <w:bookmarkEnd w:id="2"/>
      <w:bookmarkEnd w:id="3"/>
      <w:bookmarkEnd w:id="4"/>
    </w:p>
    <w:p w14:paraId="11FC054B" w14:textId="77777777" w:rsidR="008A3F33" w:rsidRPr="00C43350" w:rsidRDefault="008A3F33" w:rsidP="00C43350">
      <w:pPr>
        <w:pStyle w:val="APVMAText"/>
      </w:pPr>
      <w:r w:rsidRPr="00C43350">
        <w:t xml:space="preserve">The Australian Pesticides and Veterinary Medicines Authority (APVMA) is an independent statutory authority with responsibility for the regulation of agricultural and veterinary chemicals in Australia. Its statutory powers are provided in the Agricultural and Veterinary Chemicals Code (the Code), which is scheduled to the </w:t>
      </w:r>
      <w:r w:rsidRPr="00C43350">
        <w:rPr>
          <w:i/>
          <w:iCs/>
        </w:rPr>
        <w:t>Agricultural and Veterinary Chemicals Code Act 1994</w:t>
      </w:r>
      <w:r w:rsidRPr="00C43350">
        <w:t>.</w:t>
      </w:r>
    </w:p>
    <w:p w14:paraId="77765B48" w14:textId="77777777" w:rsidR="000E0323" w:rsidRPr="00C43350" w:rsidRDefault="000E0323" w:rsidP="00C43350">
      <w:pPr>
        <w:pStyle w:val="APVMAText"/>
      </w:pPr>
      <w:r w:rsidRPr="00C43350">
        <w:t xml:space="preserve">The APVMA has legislated powers to reconsider the approval of an active constituent, registration of a chemical product or approval of a label at any time after it has been registered. The reconsideration process is outlined in sections 29 to 34 of Part 2, Division 4 of the </w:t>
      </w:r>
      <w:proofErr w:type="spellStart"/>
      <w:r w:rsidRPr="00C43350">
        <w:t>Agvet</w:t>
      </w:r>
      <w:proofErr w:type="spellEnd"/>
      <w:r w:rsidRPr="00C43350">
        <w:t xml:space="preserve"> Codes. The Code provides for the suspension and cancellation of approvals and registrations if it appears to the APVMA that the criteria for approval or registration are not, or are no longer, satisfied (s 41 and s 44 of Part 2, Division 5).</w:t>
      </w:r>
    </w:p>
    <w:p w14:paraId="1298D4A4" w14:textId="77777777" w:rsidR="000E0323" w:rsidRPr="00C43350" w:rsidRDefault="000E0323" w:rsidP="00C43350">
      <w:pPr>
        <w:pStyle w:val="APVMAText"/>
      </w:pPr>
      <w:r w:rsidRPr="00C43350">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0C22583F" w14:textId="77777777" w:rsidR="000E0323" w:rsidRPr="00C43350" w:rsidRDefault="000E0323" w:rsidP="00C43350">
      <w:pPr>
        <w:pStyle w:val="APVMAText"/>
      </w:pPr>
      <w:r w:rsidRPr="00C43350">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5801EE30" w14:textId="012093DA" w:rsidR="002E20AC" w:rsidRPr="00C43350" w:rsidRDefault="008A3F33" w:rsidP="00C43350">
      <w:pPr>
        <w:pStyle w:val="PreliminariesH2"/>
      </w:pPr>
      <w:bookmarkStart w:id="5" w:name="_Toc158818230"/>
      <w:bookmarkStart w:id="6" w:name="_Hlk148426672"/>
      <w:r w:rsidRPr="00C43350">
        <w:t>About this document</w:t>
      </w:r>
      <w:bookmarkEnd w:id="5"/>
    </w:p>
    <w:bookmarkEnd w:id="6"/>
    <w:p w14:paraId="7BB0E96C" w14:textId="632FCD76" w:rsidR="008A3F33" w:rsidRPr="00C43350" w:rsidRDefault="008A3F33" w:rsidP="00C43350">
      <w:pPr>
        <w:pStyle w:val="APVMAText"/>
      </w:pPr>
      <w:r w:rsidRPr="00C43350">
        <w:t xml:space="preserve">This Technical Report is intended to provide an overview of the assessments that have been conducted by the APVMA and of the specialist advice received from </w:t>
      </w:r>
      <w:r w:rsidR="000E0323" w:rsidRPr="00C43350">
        <w:t xml:space="preserve">external experts and </w:t>
      </w:r>
      <w:r w:rsidRPr="00C43350">
        <w:t>advisory agencies. It has been deliberately presented in a manner that is likely to be informative to the widest possible audience, thereby encouraging public comment.</w:t>
      </w:r>
    </w:p>
    <w:p w14:paraId="4CF7D1F7" w14:textId="320AA95B" w:rsidR="008A3F33" w:rsidRPr="00C43350" w:rsidRDefault="008A3F33" w:rsidP="00C43350">
      <w:pPr>
        <w:pStyle w:val="APVMAText"/>
      </w:pPr>
      <w:r w:rsidRPr="00C43350">
        <w:t xml:space="preserve">This document contains a summary of the assessment reports generated </w:t>
      </w:r>
      <w:proofErr w:type="gramStart"/>
      <w:r w:rsidRPr="00C43350">
        <w:t>in the course of</w:t>
      </w:r>
      <w:proofErr w:type="gramEnd"/>
      <w:r w:rsidRPr="00C43350">
        <w:t xml:space="preserve"> the chemical review of an active ingredient, including the registered product and approved labels. The document provides a summary of the APVMA’s assessment, which may include details of</w:t>
      </w:r>
      <w:r w:rsidR="00801280">
        <w:t xml:space="preserve"> the</w:t>
      </w:r>
      <w:r w:rsidRPr="00C43350">
        <w:t>:</w:t>
      </w:r>
    </w:p>
    <w:p w14:paraId="5A3EC2C7" w14:textId="4E8888AB" w:rsidR="008A3F33" w:rsidRPr="00C43350" w:rsidRDefault="008A3F33" w:rsidP="00C43350">
      <w:pPr>
        <w:pStyle w:val="Bullet1"/>
      </w:pPr>
      <w:r w:rsidRPr="00C43350">
        <w:t>chemistry of the active constituent</w:t>
      </w:r>
    </w:p>
    <w:p w14:paraId="34C32229" w14:textId="29E3E65E" w:rsidR="008A3F33" w:rsidRPr="00C43350" w:rsidRDefault="008A3F33" w:rsidP="00C43350">
      <w:pPr>
        <w:pStyle w:val="Bullet1"/>
      </w:pPr>
      <w:r w:rsidRPr="00C43350">
        <w:t>toxicology of both the active constituent and product</w:t>
      </w:r>
    </w:p>
    <w:p w14:paraId="3D025EE1" w14:textId="1934A903" w:rsidR="008A3F33" w:rsidRPr="00C43350" w:rsidRDefault="008A3F33" w:rsidP="00C43350">
      <w:pPr>
        <w:pStyle w:val="Bullet1"/>
      </w:pPr>
      <w:r w:rsidRPr="00C43350">
        <w:t xml:space="preserve">residues and trade assessment </w:t>
      </w:r>
    </w:p>
    <w:p w14:paraId="1EFEAB5E" w14:textId="50A695ED" w:rsidR="008A3F33" w:rsidRPr="00C43350" w:rsidRDefault="008A3F33" w:rsidP="00C43350">
      <w:pPr>
        <w:pStyle w:val="Bullet1"/>
      </w:pPr>
      <w:r w:rsidRPr="00C43350">
        <w:t xml:space="preserve">occupational exposure aspects </w:t>
      </w:r>
    </w:p>
    <w:p w14:paraId="2B00EF85" w14:textId="76C009CD" w:rsidR="008A3F33" w:rsidRPr="00C43350" w:rsidRDefault="008A3F33" w:rsidP="00C43350">
      <w:pPr>
        <w:pStyle w:val="Bullet1"/>
      </w:pPr>
      <w:r w:rsidRPr="00C43350">
        <w:t xml:space="preserve">environmental fate, toxicity, potential </w:t>
      </w:r>
      <w:proofErr w:type="gramStart"/>
      <w:r w:rsidRPr="00C43350">
        <w:t>exposure</w:t>
      </w:r>
      <w:proofErr w:type="gramEnd"/>
      <w:r w:rsidRPr="00C43350">
        <w:t xml:space="preserve"> and hazard</w:t>
      </w:r>
    </w:p>
    <w:p w14:paraId="63C0EF80" w14:textId="59108C75" w:rsidR="008A3F33" w:rsidRPr="00C43350" w:rsidRDefault="008A3F33" w:rsidP="00C43350">
      <w:pPr>
        <w:pStyle w:val="Bullet1"/>
      </w:pPr>
      <w:r w:rsidRPr="00C43350">
        <w:t>efficacy and target crop or animal safety</w:t>
      </w:r>
      <w:r w:rsidR="00B102FF">
        <w:t>.</w:t>
      </w:r>
    </w:p>
    <w:p w14:paraId="0B0CD1ED" w14:textId="6FB46F8A" w:rsidR="008A3F33" w:rsidRDefault="008A3F33" w:rsidP="00C43350">
      <w:pPr>
        <w:pStyle w:val="PreliminariesH2"/>
      </w:pPr>
      <w:bookmarkStart w:id="7" w:name="_Toc158818231"/>
      <w:r>
        <w:lastRenderedPageBreak/>
        <w:t>Further information</w:t>
      </w:r>
      <w:bookmarkEnd w:id="7"/>
    </w:p>
    <w:p w14:paraId="78EB9166" w14:textId="5BD19901" w:rsidR="008A3F33" w:rsidRPr="00C43350" w:rsidRDefault="008A3F33" w:rsidP="00C43350">
      <w:pPr>
        <w:pStyle w:val="APVMAText"/>
      </w:pPr>
      <w:r w:rsidRPr="00C43350">
        <w:t xml:space="preserve">Further information can be obtained via the contact details provided below. More details on the chemical review process can be found on the APVMA website: </w:t>
      </w:r>
      <w:hyperlink r:id="rId21" w:history="1">
        <w:r w:rsidRPr="00FE6AAC">
          <w:rPr>
            <w:rStyle w:val="Hyperlink"/>
          </w:rPr>
          <w:t>www.apvma.gov.au</w:t>
        </w:r>
      </w:hyperlink>
    </w:p>
    <w:p w14:paraId="0035FD14" w14:textId="77777777" w:rsidR="008A3F33" w:rsidRDefault="008A3F33" w:rsidP="00853764">
      <w:pPr>
        <w:pStyle w:val="PreliminariesH3"/>
      </w:pPr>
      <w:bookmarkStart w:id="8" w:name="_Toc18413948"/>
      <w:bookmarkStart w:id="9" w:name="_Toc144468298"/>
      <w:bookmarkStart w:id="10" w:name="_Toc158818232"/>
      <w:r w:rsidRPr="008A3F33">
        <w:t>Contact details</w:t>
      </w:r>
      <w:bookmarkEnd w:id="8"/>
      <w:bookmarkEnd w:id="9"/>
      <w:bookmarkEnd w:id="10"/>
    </w:p>
    <w:p w14:paraId="323AA808" w14:textId="0B79BD30" w:rsidR="008A3F33" w:rsidRPr="00C43350" w:rsidRDefault="008A3F33" w:rsidP="00C43350">
      <w:pPr>
        <w:pStyle w:val="APVMAAddress"/>
        <w:spacing w:before="240"/>
        <w:ind w:left="0"/>
      </w:pPr>
      <w:r w:rsidRPr="00C43350">
        <w:t>Chemical Review Team</w:t>
      </w:r>
      <w:r w:rsidRPr="00C43350">
        <w:br/>
        <w:t>Australian Pesticides and Veterinary Medicines Authority</w:t>
      </w:r>
    </w:p>
    <w:p w14:paraId="379975A3" w14:textId="77777777" w:rsidR="00C43350" w:rsidRDefault="008A3F33" w:rsidP="00C43350">
      <w:pPr>
        <w:pStyle w:val="APVMAAddress"/>
        <w:ind w:left="0"/>
      </w:pPr>
      <w:r w:rsidRPr="00C43350">
        <w:t>GPO Box 3262</w:t>
      </w:r>
      <w:r w:rsidRPr="00C43350">
        <w:br/>
        <w:t>Sydney NSW 2001</w:t>
      </w:r>
    </w:p>
    <w:p w14:paraId="0304CBEE" w14:textId="491A9F0D" w:rsidR="002E20AC" w:rsidRDefault="00C43350" w:rsidP="0070626B">
      <w:pPr>
        <w:pStyle w:val="APVMAAddress"/>
        <w:ind w:left="0"/>
        <w:rPr>
          <w:bCs w:val="0"/>
        </w:rPr>
        <w:sectPr w:rsidR="002E20AC" w:rsidSect="00DF3A52">
          <w:headerReference w:type="even" r:id="rId22"/>
          <w:headerReference w:type="default" r:id="rId23"/>
          <w:pgSz w:w="11906" w:h="16838" w:code="9"/>
          <w:pgMar w:top="2835" w:right="1134" w:bottom="1134" w:left="1134" w:header="1701" w:footer="680" w:gutter="0"/>
          <w:pgNumType w:start="1"/>
          <w:cols w:space="708"/>
          <w:docGrid w:linePitch="360"/>
        </w:sectPr>
      </w:pPr>
      <w:r w:rsidRPr="00C43350">
        <w:rPr>
          <w:b/>
          <w:bCs w:val="0"/>
        </w:rPr>
        <w:t>Email:</w:t>
      </w:r>
      <w:r w:rsidRPr="00C43350">
        <w:t xml:space="preserve"> </w:t>
      </w:r>
      <w:hyperlink r:id="rId24" w:history="1">
        <w:r w:rsidRPr="00FE6AAC">
          <w:rPr>
            <w:rStyle w:val="Hyperlink"/>
          </w:rPr>
          <w:t>chemicalreview@apvma.gov.au</w:t>
        </w:r>
      </w:hyperlink>
      <w:r w:rsidR="008A3F33" w:rsidRPr="00C43350">
        <w:br/>
      </w:r>
      <w:r w:rsidRPr="00C43350">
        <w:rPr>
          <w:b/>
          <w:bCs w:val="0"/>
        </w:rPr>
        <w:t>P</w:t>
      </w:r>
      <w:r w:rsidR="008A3F33" w:rsidRPr="00C43350">
        <w:rPr>
          <w:b/>
          <w:bCs w:val="0"/>
        </w:rPr>
        <w:t>hone:</w:t>
      </w:r>
      <w:r w:rsidR="008A3F33" w:rsidRPr="00C43350">
        <w:t xml:space="preserve"> +61 2 6770 2400</w:t>
      </w:r>
    </w:p>
    <w:p w14:paraId="6A1014FE" w14:textId="630885C5" w:rsidR="002E20AC" w:rsidRPr="00C43350" w:rsidRDefault="008A3F33" w:rsidP="00C43350">
      <w:pPr>
        <w:pStyle w:val="Heading1"/>
      </w:pPr>
      <w:bookmarkStart w:id="11" w:name="_Toc158818233"/>
      <w:r w:rsidRPr="00C43350">
        <w:lastRenderedPageBreak/>
        <w:t>Introduction</w:t>
      </w:r>
      <w:bookmarkEnd w:id="11"/>
    </w:p>
    <w:p w14:paraId="3FE5CF1A" w14:textId="1776CCDF" w:rsidR="005D5931" w:rsidRPr="00C43350" w:rsidRDefault="005D5931" w:rsidP="00C43350">
      <w:pPr>
        <w:pStyle w:val="APVMAText"/>
      </w:pPr>
      <w:r w:rsidRPr="00C43350">
        <w:t xml:space="preserve">Neomycin is an aminoglycoside antibiotic that displays bactericidal activity. It is contained in a variety of veterinary preparations for use in companion and food-producing animals. These products are used primarily to treat, prevent and/or control bacterial infections caused by various gram-negative bacteria sensitive to neomycin. </w:t>
      </w:r>
      <w:bookmarkStart w:id="12" w:name="_Hlk109998991"/>
      <w:r w:rsidRPr="00C43350">
        <w:t xml:space="preserve">The registration of neomycin was nominated for reconsideration due to concerns relating to residues violations in food-producing animals treated with oral, intramammary and injectable preparations of neomycin, and </w:t>
      </w:r>
      <w:r w:rsidR="00696BD7" w:rsidRPr="00C43350">
        <w:t xml:space="preserve">concerns relating to </w:t>
      </w:r>
      <w:r w:rsidRPr="00C43350">
        <w:t xml:space="preserve">target animal safety. </w:t>
      </w:r>
      <w:bookmarkEnd w:id="12"/>
      <w:r w:rsidRPr="00C43350">
        <w:t xml:space="preserve">No residue or animal safety concerns were identified for topical formulations containing neomycin, </w:t>
      </w:r>
      <w:r w:rsidR="00696BD7" w:rsidRPr="00C43350">
        <w:t xml:space="preserve">or for </w:t>
      </w:r>
      <w:r w:rsidRPr="00C43350">
        <w:t>small animal vaccines and semen extender powder preparations that contain neomycin as a preservative.</w:t>
      </w:r>
    </w:p>
    <w:p w14:paraId="48F84DF5" w14:textId="17217F74" w:rsidR="002E20AC" w:rsidRPr="00C43350" w:rsidRDefault="008A3F33" w:rsidP="00C43350">
      <w:pPr>
        <w:pStyle w:val="Heading2"/>
      </w:pPr>
      <w:bookmarkStart w:id="13" w:name="_Toc158818234"/>
      <w:r w:rsidRPr="00C43350">
        <w:t>Purpose of review</w:t>
      </w:r>
      <w:bookmarkEnd w:id="13"/>
    </w:p>
    <w:p w14:paraId="1C67F9B2" w14:textId="439E32B2" w:rsidR="000E0323" w:rsidRPr="00C43350" w:rsidRDefault="000E0323" w:rsidP="00C43350">
      <w:pPr>
        <w:pStyle w:val="APVMAText"/>
      </w:pPr>
      <w:r w:rsidRPr="00C43350">
        <w:t>The scope of the neomycin review is limited to the registrations and labels of products containing neomycin which are oral, intramammary and injectable preparations and includes the following aspects of product registrations and label approvals:</w:t>
      </w:r>
    </w:p>
    <w:p w14:paraId="33328D03" w14:textId="2E58F44A" w:rsidR="000E0323" w:rsidRPr="00C43350" w:rsidRDefault="000E0323" w:rsidP="00C43350">
      <w:pPr>
        <w:pStyle w:val="Bullet1"/>
      </w:pPr>
      <w:r w:rsidRPr="00C43350">
        <w:t xml:space="preserve">Residues and </w:t>
      </w:r>
      <w:r w:rsidR="00853764">
        <w:t>T</w:t>
      </w:r>
      <w:r w:rsidR="00853764" w:rsidRPr="00C43350">
        <w:t>rade</w:t>
      </w:r>
      <w:r w:rsidRPr="00C43350">
        <w:t>:</w:t>
      </w:r>
    </w:p>
    <w:p w14:paraId="35586F60" w14:textId="2B8DD0C0" w:rsidR="000E0323" w:rsidRPr="00C43350" w:rsidRDefault="000E0323" w:rsidP="00C43350">
      <w:pPr>
        <w:pStyle w:val="Bullet2"/>
      </w:pPr>
      <w:r w:rsidRPr="00C43350">
        <w:t>Residues in treated animal</w:t>
      </w:r>
      <w:r w:rsidR="00696BD7" w:rsidRPr="00C43350">
        <w:t>s</w:t>
      </w:r>
      <w:r w:rsidRPr="00C43350">
        <w:t xml:space="preserve"> arising from application in accordance with label instructions</w:t>
      </w:r>
    </w:p>
    <w:p w14:paraId="1CB59410" w14:textId="4CA7BED5" w:rsidR="000E0323" w:rsidRPr="00C43350" w:rsidRDefault="000E0323" w:rsidP="00C43350">
      <w:pPr>
        <w:pStyle w:val="Bullet2"/>
      </w:pPr>
      <w:r w:rsidRPr="00C43350">
        <w:t>Establishment of appropriate maximum residue limits (MRLs) for supported uses</w:t>
      </w:r>
    </w:p>
    <w:p w14:paraId="33F97C38" w14:textId="4F5FD489" w:rsidR="000E0323" w:rsidRPr="00C43350" w:rsidRDefault="000E0323" w:rsidP="00C43350">
      <w:pPr>
        <w:pStyle w:val="Bullet2"/>
      </w:pPr>
      <w:r w:rsidRPr="00C43350">
        <w:t xml:space="preserve">Risks to international trade resulting from the use of neomycin </w:t>
      </w:r>
      <w:r w:rsidR="009A2650" w:rsidRPr="00C43350">
        <w:t>in animal species producing</w:t>
      </w:r>
      <w:r w:rsidRPr="00C43350">
        <w:t xml:space="preserve"> major export commodities</w:t>
      </w:r>
    </w:p>
    <w:p w14:paraId="0775D4CE" w14:textId="4C0434A4" w:rsidR="000E0323" w:rsidRPr="00C43350" w:rsidRDefault="000E0323" w:rsidP="00C43350">
      <w:pPr>
        <w:pStyle w:val="Bullet1"/>
      </w:pPr>
      <w:bookmarkStart w:id="14" w:name="_Hlk154048926"/>
      <w:r w:rsidRPr="00C43350">
        <w:t xml:space="preserve">Target </w:t>
      </w:r>
      <w:r w:rsidR="00853764">
        <w:t>a</w:t>
      </w:r>
      <w:r w:rsidRPr="00C43350">
        <w:t xml:space="preserve">nimal </w:t>
      </w:r>
      <w:r w:rsidR="00853764">
        <w:t>s</w:t>
      </w:r>
      <w:r w:rsidRPr="00C43350">
        <w:t>afety</w:t>
      </w:r>
    </w:p>
    <w:bookmarkEnd w:id="14"/>
    <w:p w14:paraId="095A5B2A" w14:textId="205FC237" w:rsidR="000E0323" w:rsidRPr="00C43350" w:rsidRDefault="00031F04" w:rsidP="00C43350">
      <w:pPr>
        <w:pStyle w:val="Bullet2"/>
      </w:pPr>
      <w:r>
        <w:t>T</w:t>
      </w:r>
      <w:r w:rsidRPr="00C43350">
        <w:t xml:space="preserve">he </w:t>
      </w:r>
      <w:r w:rsidR="000E0323" w:rsidRPr="00C43350">
        <w:t>potential for use of the products to result in deleterious effects on target animals</w:t>
      </w:r>
    </w:p>
    <w:p w14:paraId="6A680FAE" w14:textId="0713EA0D" w:rsidR="000E0323" w:rsidRPr="00C43350" w:rsidRDefault="00031F04" w:rsidP="00C43350">
      <w:pPr>
        <w:pStyle w:val="Bullet2"/>
      </w:pPr>
      <w:r>
        <w:t>W</w:t>
      </w:r>
      <w:r w:rsidRPr="00C43350">
        <w:t xml:space="preserve">hether </w:t>
      </w:r>
      <w:r w:rsidR="000E0323" w:rsidRPr="00C43350">
        <w:t>labels include adequate instructions and warning statements</w:t>
      </w:r>
    </w:p>
    <w:p w14:paraId="766BC7B0" w14:textId="532B1115" w:rsidR="000E0323" w:rsidRPr="00C43350" w:rsidRDefault="000E0323" w:rsidP="00C43350">
      <w:pPr>
        <w:pStyle w:val="APVMAText"/>
      </w:pPr>
      <w:r w:rsidRPr="00C43350">
        <w:t>The APVMA has also considered information pertaining to the chemistry (</w:t>
      </w:r>
      <w:r w:rsidR="00085C5F" w:rsidRPr="00C43350">
        <w:t xml:space="preserve">of the </w:t>
      </w:r>
      <w:r w:rsidRPr="00C43350">
        <w:t>active and products), toxicology (health-based guidance values and poison scheduling), worker health and safety (exposure during handling and application and establishment of appropriate first aid instructions and safety directions) and whether mitigation is required to reduce risk to the environment through use of the products.</w:t>
      </w:r>
    </w:p>
    <w:p w14:paraId="7ECFC4DC" w14:textId="77777777" w:rsidR="00B102FF" w:rsidRDefault="000E0323" w:rsidP="00B102FF">
      <w:pPr>
        <w:pStyle w:val="APVMAText"/>
      </w:pPr>
      <w:r w:rsidRPr="00C43350">
        <w:t xml:space="preserve">In addition to the above assessments, neomycin labels were reviewed for consistency with current APVMA policies and guidelines, including the </w:t>
      </w:r>
      <w:hyperlink r:id="rId25" w:history="1">
        <w:r w:rsidRPr="00FE6AAC">
          <w:rPr>
            <w:rStyle w:val="Hyperlink"/>
          </w:rPr>
          <w:t>Veterinary Labelling Code</w:t>
        </w:r>
      </w:hyperlink>
      <w:r w:rsidR="00085C5F" w:rsidRPr="00C43350">
        <w:t>.</w:t>
      </w:r>
      <w:r w:rsidR="00B102FF">
        <w:br w:type="page"/>
      </w:r>
    </w:p>
    <w:p w14:paraId="66FF7059" w14:textId="71E1CF04" w:rsidR="005D5931" w:rsidRPr="00C43350" w:rsidRDefault="005D5931" w:rsidP="00B102FF">
      <w:pPr>
        <w:pStyle w:val="Heading2"/>
      </w:pPr>
      <w:bookmarkStart w:id="15" w:name="_Toc158818235"/>
      <w:r w:rsidRPr="00C43350">
        <w:lastRenderedPageBreak/>
        <w:t>Product claims and use patterns</w:t>
      </w:r>
      <w:bookmarkEnd w:id="15"/>
    </w:p>
    <w:p w14:paraId="1DF2D00C" w14:textId="2A250924" w:rsidR="005D5931" w:rsidRPr="00C43350" w:rsidRDefault="005D5931" w:rsidP="00C43350">
      <w:pPr>
        <w:pStyle w:val="APVMAText"/>
      </w:pPr>
      <w:r w:rsidRPr="00C43350">
        <w:t>There are currently 3</w:t>
      </w:r>
      <w:r w:rsidR="00314512" w:rsidRPr="00C43350">
        <w:t>1</w:t>
      </w:r>
      <w:r w:rsidRPr="00C43350">
        <w:t xml:space="preserve"> products registered for use in Australia that contain </w:t>
      </w:r>
      <w:r w:rsidR="00696BD7" w:rsidRPr="00C43350">
        <w:t>n</w:t>
      </w:r>
      <w:r w:rsidRPr="00C43350">
        <w:t>eomycin</w:t>
      </w:r>
      <w:r w:rsidR="00314512" w:rsidRPr="00C43350">
        <w:t>.</w:t>
      </w:r>
      <w:r w:rsidRPr="00C43350">
        <w:t xml:space="preserve"> </w:t>
      </w:r>
      <w:r w:rsidR="00A300C3" w:rsidRPr="00C43350">
        <w:t>However, only 9</w:t>
      </w:r>
      <w:r w:rsidR="00644AD6">
        <w:t> </w:t>
      </w:r>
      <w:r w:rsidR="00A300C3" w:rsidRPr="00C43350">
        <w:t xml:space="preserve">registered products fall within the scope of the reconsideration, including </w:t>
      </w:r>
      <w:r w:rsidRPr="00C43350">
        <w:t>oral, intramammary or injectable antibiotic formulations containing neomycin. The remaining 2</w:t>
      </w:r>
      <w:r w:rsidR="00314512" w:rsidRPr="00C43350">
        <w:t>2</w:t>
      </w:r>
      <w:r w:rsidRPr="00C43350">
        <w:t xml:space="preserve"> products</w:t>
      </w:r>
      <w:r w:rsidR="000E0323" w:rsidRPr="00C43350">
        <w:t xml:space="preserve"> </w:t>
      </w:r>
      <w:r w:rsidRPr="00C43350">
        <w:t>are not within the scope of this review.</w:t>
      </w:r>
    </w:p>
    <w:p w14:paraId="07242A4A" w14:textId="75DC212C" w:rsidR="005D5931" w:rsidRPr="00C43350" w:rsidRDefault="005D5931" w:rsidP="00C43350">
      <w:pPr>
        <w:pStyle w:val="APVMAText"/>
      </w:pPr>
      <w:r w:rsidRPr="00C43350">
        <w:t>Oral antibiotic formulations that contain neomycin include feed additive powders, water soluble powders, solid dose tablets and oral suspensions</w:t>
      </w:r>
      <w:r w:rsidR="00696BD7" w:rsidRPr="00C43350">
        <w:t>. They</w:t>
      </w:r>
      <w:r w:rsidR="000E0323" w:rsidRPr="00C43350">
        <w:t xml:space="preserve"> </w:t>
      </w:r>
      <w:r w:rsidRPr="00C43350">
        <w:t>are used primarily to</w:t>
      </w:r>
      <w:r w:rsidR="000E0323" w:rsidRPr="00C43350">
        <w:t xml:space="preserve"> treat</w:t>
      </w:r>
      <w:r w:rsidRPr="00C43350">
        <w:t xml:space="preserve"> bacterial enteritis in food </w:t>
      </w:r>
      <w:r w:rsidR="00085C5F" w:rsidRPr="00C43350">
        <w:t xml:space="preserve">producing </w:t>
      </w:r>
      <w:r w:rsidRPr="00C43350">
        <w:t>and companion animals</w:t>
      </w:r>
      <w:r w:rsidR="00696BD7" w:rsidRPr="00C43350">
        <w:t xml:space="preserve">, and </w:t>
      </w:r>
      <w:r w:rsidR="000E0323" w:rsidRPr="00C43350">
        <w:t xml:space="preserve">are approved for use in cattle, calves, poultry, horses, </w:t>
      </w:r>
      <w:proofErr w:type="gramStart"/>
      <w:r w:rsidR="000E0323" w:rsidRPr="00C43350">
        <w:t>cats</w:t>
      </w:r>
      <w:proofErr w:type="gramEnd"/>
      <w:r w:rsidR="000E0323" w:rsidRPr="00C43350">
        <w:t xml:space="preserve"> and dogs. </w:t>
      </w:r>
      <w:r w:rsidRPr="00C43350">
        <w:t>Intramammary antibiotic formulations containing neomycin are used for the treatment of mastitis in lactating cattle</w:t>
      </w:r>
      <w:r w:rsidR="000E0323" w:rsidRPr="00C43350">
        <w:t>. I</w:t>
      </w:r>
      <w:r w:rsidRPr="00C43350">
        <w:t xml:space="preserve">njectable neomycin products are approved for the control of neomycin sensitive organisms in horses, cattle, pigs, </w:t>
      </w:r>
      <w:proofErr w:type="gramStart"/>
      <w:r w:rsidRPr="00C43350">
        <w:t>dogs</w:t>
      </w:r>
      <w:proofErr w:type="gramEnd"/>
      <w:r w:rsidRPr="00C43350">
        <w:t xml:space="preserve"> and cats.</w:t>
      </w:r>
    </w:p>
    <w:p w14:paraId="1C85B275" w14:textId="1C3A6089" w:rsidR="008A3F33" w:rsidRPr="00C43350" w:rsidRDefault="008A3F33" w:rsidP="00C43350">
      <w:pPr>
        <w:pStyle w:val="Heading2"/>
      </w:pPr>
      <w:bookmarkStart w:id="16" w:name="_Toc144468301"/>
      <w:bookmarkStart w:id="17" w:name="_Toc158818236"/>
      <w:bookmarkStart w:id="18" w:name="_Hlk148426907"/>
      <w:r w:rsidRPr="00C43350">
        <w:t>Mode of action</w:t>
      </w:r>
      <w:bookmarkEnd w:id="16"/>
      <w:bookmarkEnd w:id="17"/>
    </w:p>
    <w:p w14:paraId="171463EA" w14:textId="019FEF76" w:rsidR="005D5931" w:rsidRPr="00C43350" w:rsidRDefault="005D5931" w:rsidP="00C43350">
      <w:pPr>
        <w:pStyle w:val="APVMAText"/>
      </w:pPr>
      <w:r w:rsidRPr="00C43350">
        <w:t>Aminoglycoside antibiotics, such as neomycin, are predominately active against aerobic gram-negative bacteria in a concentration-dependant manner, with significant post-antibiotic effect. Neomycin inhibits bacterial protein synthesis through irreversible binding to the 30 S ribosomal subunit of susceptible bacteria. Aminoglycosides have little or no action against anaerobic bacteria, as they require oxygen to cross the cell membrane</w:t>
      </w:r>
      <w:r w:rsidR="007963D0" w:rsidRPr="00C43350">
        <w:t xml:space="preserve"> (</w:t>
      </w:r>
      <w:r w:rsidR="0058391D" w:rsidRPr="00C43350">
        <w:t>Mercer 2022</w:t>
      </w:r>
      <w:r w:rsidR="007963D0" w:rsidRPr="00C43350">
        <w:t>, Reeves 2011)</w:t>
      </w:r>
      <w:r w:rsidRPr="00C43350">
        <w:t xml:space="preserve">. Neomycin is known to be active against strains of gram-negative bacteria (excluding </w:t>
      </w:r>
      <w:r w:rsidRPr="00C43350">
        <w:rPr>
          <w:i/>
          <w:iCs/>
        </w:rPr>
        <w:t>Pseudomonas</w:t>
      </w:r>
      <w:r w:rsidRPr="00C43350">
        <w:t xml:space="preserve"> spp.), such as </w:t>
      </w:r>
      <w:proofErr w:type="gramStart"/>
      <w:r w:rsidRPr="00C43350">
        <w:t>E.coli</w:t>
      </w:r>
      <w:proofErr w:type="gramEnd"/>
      <w:r w:rsidRPr="00C43350">
        <w:t xml:space="preserve">, </w:t>
      </w:r>
      <w:r w:rsidRPr="00C43350">
        <w:rPr>
          <w:i/>
          <w:iCs/>
        </w:rPr>
        <w:t>Salmonella</w:t>
      </w:r>
      <w:r w:rsidRPr="00C43350">
        <w:t xml:space="preserve"> and </w:t>
      </w:r>
      <w:r w:rsidRPr="00C43350">
        <w:rPr>
          <w:i/>
          <w:iCs/>
        </w:rPr>
        <w:t>Klebsiella</w:t>
      </w:r>
      <w:r w:rsidRPr="00C43350">
        <w:t xml:space="preserve"> spp. and many strains of Staphylococcus aureus although treatment of staphylococci should be in conjunction with synergistic antibiotics, such as β-lactams</w:t>
      </w:r>
      <w:r w:rsidR="007963D0" w:rsidRPr="00C43350">
        <w:t xml:space="preserve"> (EMA 2002, Plumb 2002, Renshaw </w:t>
      </w:r>
      <w:r w:rsidR="007963D0" w:rsidRPr="00B102FF">
        <w:rPr>
          <w:i/>
          <w:iCs/>
        </w:rPr>
        <w:t>et al</w:t>
      </w:r>
      <w:r w:rsidR="007963D0" w:rsidRPr="00C43350">
        <w:t>. 2003)</w:t>
      </w:r>
      <w:r w:rsidRPr="00C43350">
        <w:t>.</w:t>
      </w:r>
    </w:p>
    <w:p w14:paraId="0650651B" w14:textId="2D283337" w:rsidR="00C43350" w:rsidRDefault="005D5931" w:rsidP="00C43350">
      <w:pPr>
        <w:pStyle w:val="APVMAText"/>
      </w:pPr>
      <w:r w:rsidRPr="00C43350">
        <w:t>Aminoglycosides exert their antibacterial activity by interfering with protein synthesis at the membrane-associated bacterial ribosome</w:t>
      </w:r>
      <w:r w:rsidR="009A2650" w:rsidRPr="00C43350">
        <w:t xml:space="preserve"> </w:t>
      </w:r>
      <w:r w:rsidR="007963D0" w:rsidRPr="00C43350">
        <w:t>(Riviere &amp; Spoo 2001)</w:t>
      </w:r>
      <w:r w:rsidRPr="00C43350">
        <w:t>. This is achieved by irreversibly binding to one or more receptor proteins on the 30S subunit of the bacterial ribosome and subsequently interfering with the mRNA translation process, ultimately resulting in the production of a non-functional protein</w:t>
      </w:r>
      <w:r w:rsidR="007963D0" w:rsidRPr="00C43350">
        <w:t xml:space="preserve"> (EMA 2002, Reeves 2011)</w:t>
      </w:r>
      <w:r w:rsidRPr="00C43350">
        <w:t>. For neomycin to reach the ribosomal binding site of gram-negative bacteria, it must cross the bacterial cell wall and then the cell membrane. Initially, neomycin diffuses across the cell wall by competitive displacement of bridging divalent cations (such as Mg</w:t>
      </w:r>
      <w:r w:rsidRPr="00B102FF">
        <w:rPr>
          <w:vertAlign w:val="superscript"/>
        </w:rPr>
        <w:t>2+</w:t>
      </w:r>
      <w:r w:rsidRPr="00C43350">
        <w:t xml:space="preserve"> or Ca</w:t>
      </w:r>
      <w:r w:rsidRPr="00B102FF">
        <w:rPr>
          <w:vertAlign w:val="superscript"/>
        </w:rPr>
        <w:t>2+</w:t>
      </w:r>
      <w:r w:rsidRPr="00C43350">
        <w:t>) and subsequent disruption of cross-links between adjacent lipopolysaccharides. This damages the cell wall and increases permeability, which allows the aminoglycoside to enter the periplasmic space in a passive and non-energy-dependent process. From there, it is actively transported across the cytoplasmic membrane via an oxygen- and energy-dependent interaction that is dependent on electron transport.</w:t>
      </w:r>
    </w:p>
    <w:p w14:paraId="0449D244" w14:textId="378C4D32" w:rsidR="005D5931" w:rsidRPr="00C43350" w:rsidRDefault="005D5931" w:rsidP="00C43350">
      <w:pPr>
        <w:pStyle w:val="APVMAText"/>
      </w:pPr>
      <w:r w:rsidRPr="00C43350">
        <w:t>The bacterial cytoplasm is negatively charged with respect to the periplasm and external environment; thus, neomycin is transported across the cytoplasmic membrane by the membrane potential, where it is then able to interact with the ribosome and cause misreading of the mRNA. This further affects cell permeability, which allows more neomycin into the cell and leads to more cell disruption and eventually, cell death</w:t>
      </w:r>
      <w:r w:rsidR="00EB2BC3" w:rsidRPr="00C43350">
        <w:t xml:space="preserve"> </w:t>
      </w:r>
      <w:r w:rsidR="007963D0" w:rsidRPr="00C43350">
        <w:t>(Reeves 2011)</w:t>
      </w:r>
      <w:r w:rsidRPr="00C43350">
        <w:fldChar w:fldCharType="begin"/>
      </w:r>
      <w:r w:rsidRPr="00C43350">
        <w:instrText xml:space="preserve"> ADDIN EN.CITE &lt;EndNote&gt;&lt;Cite&gt;&lt;Author&gt;Reeves&lt;/Author&gt;&lt;Year&gt;2011&lt;/Year&gt;&lt;RecNum&gt;47&lt;/RecNum&gt;&lt;DisplayText&gt;(Reeves 2011; Boothe 2012)&lt;/DisplayText&gt;&lt;record&gt;&lt;rec-number&gt;47&lt;/rec-number&gt;&lt;foreign-keys&gt;&lt;key app="EN" db-id="2d5p9s227rxsr3ep0t9xav035tf9v9d9rpf2" timestamp="1450045094"&gt;47&lt;/key&gt;&lt;/foreign-keys&gt;&lt;ref-type name="Book Section"&gt;5&lt;/ref-type&gt;&lt;contributors&gt;&lt;authors&gt;&lt;author&gt;Reeves, PT&lt;/author&gt;&lt;/authors&gt;&lt;secondary-authors&gt;&lt;author&gt;Wang, J.&lt;/author&gt;&lt;author&gt;MacNeil, JD.&lt;/author&gt;&lt;author&gt;Kay, JF.&lt;/author&gt;&lt;/secondary-authors&gt;&lt;/contributors&gt;&lt;titles&gt;&lt;title&gt;Antibiotics: Groups and properties&lt;/title&gt;&lt;secondary-title&gt;Chemical analysis of antibiotic residues in food&lt;/secondary-title&gt;&lt;/titles&gt;&lt;pages&gt;1-60&lt;/pages&gt;&lt;section&gt;1&lt;/section&gt;&lt;dates&gt;&lt;year&gt;2011&lt;/year&gt;&lt;/dates&gt;&lt;pub-location&gt;Hoboken, New Jersey&lt;/pub-location&gt;&lt;publisher&gt;John Wiley &amp;amp; Sons, Inc.&lt;/publisher&gt;&lt;urls&gt;&lt;/urls&gt;&lt;/record&gt;&lt;/Cite&gt;&lt;Cite&gt;&lt;Author&gt;Boothe&lt;/Author&gt;&lt;Year&gt;2012&lt;/Year&gt;&lt;RecNum&gt;6&lt;/RecNum&gt;&lt;record&gt;&lt;rec-number&gt;6&lt;/rec-number&gt;&lt;foreign-keys&gt;&lt;key app="EN" db-id="2d5p9s227rxsr3ep0t9xav035tf9v9d9rpf2" timestamp="1449031187"&gt;6&lt;/key&gt;&lt;/foreign-keys&gt;&lt;ref-type name="Web Page"&gt;12&lt;/ref-type&gt;&lt;contributors&gt;&lt;authors&gt;&lt;author&gt;Boothe, DM&lt;/author&gt;&lt;/authors&gt;&lt;/contributors&gt;&lt;titles&gt;&lt;title&gt;Aminoglycosides&lt;/title&gt;&lt;/titles&gt;&lt;volume&gt;2016&lt;/volume&gt;&lt;number&gt;31 August&lt;/number&gt;&lt;dates&gt;&lt;year&gt;2012&lt;/year&gt;&lt;pub-dates&gt;&lt;date&gt;November 2015&lt;/date&gt;&lt;/pub-dates&gt;&lt;/dates&gt;&lt;urls&gt;&lt;related-urls&gt;&lt;url&gt;http://www.merckvetmanual.com/mvm/pharmacology/antibacterial_agents/aminoglycosides.html&lt;/url&gt;&lt;/related-urls&gt;&lt;/urls&gt;&lt;/record&gt;&lt;/Cite&gt;&lt;/EndNote&gt;</w:instrText>
      </w:r>
      <w:r w:rsidR="00000000">
        <w:fldChar w:fldCharType="separate"/>
      </w:r>
      <w:r w:rsidRPr="00C43350">
        <w:fldChar w:fldCharType="end"/>
      </w:r>
      <w:r w:rsidRPr="00C43350">
        <w:t xml:space="preserve">. The efficacy of aminoglycosides is substantially reduced in an anaerobic </w:t>
      </w:r>
      <w:r w:rsidR="00853764" w:rsidRPr="00C43350">
        <w:t>environment because</w:t>
      </w:r>
      <w:r w:rsidRPr="00C43350">
        <w:t xml:space="preserve"> the appropriate oxygen-dependent transport mechanisms described above are lacking</w:t>
      </w:r>
      <w:r w:rsidR="007963D0" w:rsidRPr="00C43350">
        <w:t xml:space="preserve"> (EMA 2002, Riviere &amp; Spoo 2001)</w:t>
      </w:r>
      <w:r w:rsidRPr="00C43350">
        <w:t>.</w:t>
      </w:r>
    </w:p>
    <w:p w14:paraId="1F142E68" w14:textId="77777777" w:rsidR="005D5931" w:rsidRDefault="005D5931" w:rsidP="00C43350">
      <w:pPr>
        <w:pStyle w:val="Heading3"/>
      </w:pPr>
      <w:bookmarkStart w:id="19" w:name="_Toc158818237"/>
      <w:r>
        <w:lastRenderedPageBreak/>
        <w:t>Concentration-dependent killing</w:t>
      </w:r>
      <w:bookmarkEnd w:id="19"/>
    </w:p>
    <w:p w14:paraId="64450BFE" w14:textId="6328EB6C" w:rsidR="005D5931" w:rsidRPr="00601037" w:rsidRDefault="005D5931" w:rsidP="00801280">
      <w:pPr>
        <w:pStyle w:val="APVMAText"/>
        <w:rPr>
          <w:lang w:val="en-US"/>
        </w:rPr>
      </w:pPr>
      <w:r>
        <w:t>Aminoglycosides are bactericidal at higher concentrations, meaning they act by killing bacterial microorganisms rather than slowing or inhibiting their reproduction. They also exhibit concentration-dependent bacterial killing, where</w:t>
      </w:r>
      <w:r>
        <w:rPr>
          <w:lang w:val="en-US"/>
        </w:rPr>
        <w:t xml:space="preserve"> the peak concentration (</w:t>
      </w:r>
      <w:bookmarkStart w:id="20" w:name="_Hlk158375707"/>
      <w:r>
        <w:rPr>
          <w:lang w:val="en-US"/>
        </w:rPr>
        <w:t>C</w:t>
      </w:r>
      <w:r>
        <w:rPr>
          <w:vertAlign w:val="subscript"/>
          <w:lang w:val="en-US"/>
        </w:rPr>
        <w:t>MAX</w:t>
      </w:r>
      <w:bookmarkEnd w:id="20"/>
      <w:r>
        <w:rPr>
          <w:lang w:val="en-US"/>
        </w:rPr>
        <w:t xml:space="preserve">) is more important in determining the efficacy of bacterial killing than time above the </w:t>
      </w:r>
      <w:r>
        <w:t>minimum inhibitory concentration (MIC)</w:t>
      </w:r>
      <w:r w:rsidR="007963D0" w:rsidRPr="007963D0">
        <w:t xml:space="preserve"> </w:t>
      </w:r>
      <w:r w:rsidR="007963D0">
        <w:t>(</w:t>
      </w:r>
      <w:r w:rsidR="007963D0" w:rsidRPr="00505DE7">
        <w:t>Freeman</w:t>
      </w:r>
      <w:r w:rsidR="007963D0">
        <w:rPr>
          <w:vertAlign w:val="superscript"/>
          <w:lang w:val="en-US"/>
        </w:rPr>
        <w:t xml:space="preserve"> </w:t>
      </w:r>
      <w:r w:rsidR="007963D0" w:rsidRPr="00B102FF">
        <w:rPr>
          <w:i/>
          <w:iCs/>
          <w:lang w:val="en-US"/>
        </w:rPr>
        <w:t>et al</w:t>
      </w:r>
      <w:r w:rsidR="007963D0">
        <w:rPr>
          <w:lang w:val="en-US"/>
        </w:rPr>
        <w:t>. 1997)</w:t>
      </w:r>
      <w:r>
        <w:rPr>
          <w:lang w:val="en-US"/>
        </w:rPr>
        <w:t xml:space="preserve">. Thus, it is more important to achieve optimal peak concentrations than to maintain drug concentrations slightly above the MIC for extended periods of time. While optimum ratios between the peak concentration and MIC have not yet been determined, the literature </w:t>
      </w:r>
      <w:r w:rsidRPr="00C43350">
        <w:rPr>
          <w:rStyle w:val="APVMATextChar"/>
        </w:rPr>
        <w:t>suggests that peak concentration</w:t>
      </w:r>
      <w:r w:rsidR="000E0323" w:rsidRPr="00C43350">
        <w:rPr>
          <w:rStyle w:val="APVMATextChar"/>
        </w:rPr>
        <w:t xml:space="preserve">, </w:t>
      </w:r>
      <w:r w:rsidRPr="00C43350">
        <w:rPr>
          <w:rStyle w:val="APVMATextChar"/>
        </w:rPr>
        <w:t xml:space="preserve">MIC ratios of 8:1 to 10:1 are necessary for optimal bactericidal activity while avoiding bacterial </w:t>
      </w:r>
      <w:r w:rsidR="007963D0" w:rsidRPr="00C43350">
        <w:rPr>
          <w:rStyle w:val="APVMATextChar"/>
        </w:rPr>
        <w:t xml:space="preserve">regrowth (Freeman </w:t>
      </w:r>
      <w:r w:rsidR="007963D0" w:rsidRPr="00B102FF">
        <w:rPr>
          <w:rStyle w:val="APVMATextChar"/>
          <w:i/>
          <w:iCs/>
        </w:rPr>
        <w:t>et al</w:t>
      </w:r>
      <w:r w:rsidR="007963D0" w:rsidRPr="00C43350">
        <w:rPr>
          <w:rStyle w:val="APVMATextChar"/>
        </w:rPr>
        <w:t xml:space="preserve">. 1997, Huth </w:t>
      </w:r>
      <w:r w:rsidR="007963D0" w:rsidRPr="00B102FF">
        <w:rPr>
          <w:rStyle w:val="APVMATextChar"/>
          <w:i/>
          <w:iCs/>
        </w:rPr>
        <w:t>et al</w:t>
      </w:r>
      <w:r w:rsidR="007963D0" w:rsidRPr="00C43350">
        <w:rPr>
          <w:rStyle w:val="APVMATextChar"/>
        </w:rPr>
        <w:t>. 2011)</w:t>
      </w:r>
      <w:r w:rsidRPr="00C43350">
        <w:rPr>
          <w:rStyle w:val="APVMATextChar"/>
        </w:rPr>
        <w:t>.</w:t>
      </w:r>
    </w:p>
    <w:p w14:paraId="47EA02AA" w14:textId="77777777" w:rsidR="005D5931" w:rsidRPr="00C43350" w:rsidRDefault="005D5931" w:rsidP="00C43350">
      <w:pPr>
        <w:pStyle w:val="Heading3"/>
      </w:pPr>
      <w:bookmarkStart w:id="21" w:name="_Toc158818238"/>
      <w:r w:rsidRPr="00C43350">
        <w:t>Post-antibiotic effect</w:t>
      </w:r>
      <w:bookmarkEnd w:id="21"/>
    </w:p>
    <w:p w14:paraId="7775031B" w14:textId="17B42F2D" w:rsidR="005D5931" w:rsidRPr="00C43350" w:rsidRDefault="005D5931" w:rsidP="00C43350">
      <w:pPr>
        <w:pStyle w:val="APVMAText"/>
      </w:pPr>
      <w:r w:rsidRPr="00C43350">
        <w:t>Aminoglycosides also exhibit a post-antibiotic effect (PAE), where bactericidal action persists after serum concentrations of neomycin drop below the MIC</w:t>
      </w:r>
      <w:r w:rsidR="007963D0" w:rsidRPr="00C43350">
        <w:t xml:space="preserve"> (Reeves 2011, Riviere &amp; Spoo 2001)</w:t>
      </w:r>
      <w:r w:rsidRPr="00C43350">
        <w:t>. The exact mechanism of PAE has not yet been determined. The PAE of aminoglycosides is dependent on the:</w:t>
      </w:r>
    </w:p>
    <w:p w14:paraId="5F050A5C" w14:textId="77777777" w:rsidR="005D5931" w:rsidRPr="00C43350" w:rsidRDefault="005D5931" w:rsidP="00C43350">
      <w:pPr>
        <w:pStyle w:val="Bullet1"/>
      </w:pPr>
      <w:r w:rsidRPr="00C43350">
        <w:t>bacterial strain and its MIC</w:t>
      </w:r>
    </w:p>
    <w:p w14:paraId="5F6B4675" w14:textId="77777777" w:rsidR="005D5931" w:rsidRPr="00C43350" w:rsidRDefault="005D5931" w:rsidP="00C43350">
      <w:pPr>
        <w:pStyle w:val="Bullet1"/>
      </w:pPr>
      <w:r w:rsidRPr="00C43350">
        <w:t>duration of exposure of bacteria to the aminoglycoside</w:t>
      </w:r>
    </w:p>
    <w:p w14:paraId="317AEAF2" w14:textId="77777777" w:rsidR="005D5931" w:rsidRPr="00C43350" w:rsidRDefault="005D5931" w:rsidP="00C43350">
      <w:pPr>
        <w:pStyle w:val="Bullet1"/>
      </w:pPr>
      <w:r w:rsidRPr="00C43350">
        <w:t>inherent potency of the aminoglycoside</w:t>
      </w:r>
    </w:p>
    <w:p w14:paraId="539403BB" w14:textId="698FE1E4" w:rsidR="005D5931" w:rsidRPr="00C43350" w:rsidRDefault="005D5931" w:rsidP="00C43350">
      <w:pPr>
        <w:pStyle w:val="Bullet1"/>
      </w:pPr>
      <w:r w:rsidRPr="00C43350">
        <w:t>concentration of the aminoglycosides (the higher the concentration, the longer the duration of the PAE).</w:t>
      </w:r>
    </w:p>
    <w:p w14:paraId="705FF126" w14:textId="05D0F45A" w:rsidR="005D5931" w:rsidRPr="00C43350" w:rsidRDefault="005D5931" w:rsidP="00C43350">
      <w:pPr>
        <w:pStyle w:val="APVMAText"/>
      </w:pPr>
      <w:r w:rsidRPr="00C43350">
        <w:t>Longer intervals between dosing (</w:t>
      </w:r>
      <w:r w:rsidR="000E0323" w:rsidRPr="00C43350">
        <w:t>e.g.</w:t>
      </w:r>
      <w:r w:rsidRPr="00C43350">
        <w:t xml:space="preserve"> once-daily dosing) that provide a drug-free period in which bacteria are not exposed to the drug appear to preserve bactericidal activity of aminoglycosides and reduce the risk of antimicrobial resistance</w:t>
      </w:r>
      <w:r w:rsidR="00031F04">
        <w:t xml:space="preserve"> (AMR)</w:t>
      </w:r>
      <w:r w:rsidRPr="00C43350">
        <w:t>, as well as toxicity</w:t>
      </w:r>
      <w:r w:rsidR="007963D0" w:rsidRPr="00C43350">
        <w:t xml:space="preserve"> (Freeman </w:t>
      </w:r>
      <w:r w:rsidR="007963D0" w:rsidRPr="00B102FF">
        <w:rPr>
          <w:i/>
          <w:iCs/>
        </w:rPr>
        <w:t>et al</w:t>
      </w:r>
      <w:r w:rsidR="007963D0" w:rsidRPr="00C43350">
        <w:t>. 1997)</w:t>
      </w:r>
      <w:r w:rsidRPr="00C43350">
        <w:fldChar w:fldCharType="begin"/>
      </w:r>
      <w:r w:rsidRPr="00C43350">
        <w:instrText xml:space="preserve"> ADDIN EN.CITE &lt;EndNote&gt;&lt;Cite&gt;&lt;Author&gt;Freeman&lt;/Author&gt;&lt;Year&gt;1997&lt;/Year&gt;&lt;RecNum&gt;54&lt;/RecNum&gt;&lt;DisplayText&gt;(Freeman et al. 1997)&lt;/DisplayText&gt;&lt;record&gt;&lt;rec-number&gt;54&lt;/rec-number&gt;&lt;foreign-keys&gt;&lt;key app="EN" db-id="2d5p9s227rxsr3ep0t9xav035tf9v9d9rpf2" timestamp="1450137678"&gt;54&lt;/key&gt;&lt;/foreign-keys&gt;&lt;ref-type name="Journal Article"&gt;17&lt;/ref-type&gt;&lt;contributors&gt;&lt;authors&gt;&lt;author&gt;Freeman, C. D.&lt;/author&gt;&lt;author&gt;Nicolau, D. P.&lt;/author&gt;&lt;author&gt;Belliveau, P. P.&lt;/author&gt;&lt;author&gt;Nightingale, C. H.&lt;/author&gt;&lt;/authors&gt;&lt;/contributors&gt;&lt;auth-address&gt;Department of Medicine, University of Missouri-Kansas City School of Medicine, 64108, USA. cfreeman@cctr.umkc.edu&lt;/auth-address&gt;&lt;titles&gt;&lt;title&gt;Once-daily dosing of aminoglycosides: review and recommendations for clinical practice&lt;/title&gt;&lt;secondary-title&gt;The Journal of Antimicrobial Chemotherapy&lt;/secondary-title&gt;&lt;alt-title&gt;The Journal of antimicrobial chemotherapy&lt;/alt-title&gt;&lt;/titles&gt;&lt;periodical&gt;&lt;full-title&gt;J Antimicrob Chemother&lt;/full-title&gt;&lt;abbr-1&gt;The Journal of antimicrobial chemotherapy&lt;/abbr-1&gt;&lt;/periodical&gt;&lt;alt-periodical&gt;&lt;full-title&gt;J Antimicrob Chemother&lt;/full-title&gt;&lt;abbr-1&gt;The Journal of antimicrobial chemotherapy&lt;/abbr-1&gt;&lt;/alt-periodical&gt;&lt;pages&gt;677-86&lt;/pages&gt;&lt;volume&gt;39&lt;/volume&gt;&lt;number&gt;6&lt;/number&gt;&lt;edition&gt;1997/06/01&lt;/edition&gt;&lt;keywords&gt;&lt;keyword&gt;Aminoglycosides&lt;/keyword&gt;&lt;keyword&gt;Animals&lt;/keyword&gt;&lt;keyword&gt;Anti-Bacterial Agents/*administration &amp;amp; dosage/adverse effects/economics&lt;/keyword&gt;&lt;keyword&gt;Bacterial Infections/*drug therapy&lt;/keyword&gt;&lt;keyword&gt;Drug Administration Schedule&lt;/keyword&gt;&lt;keyword&gt;Drug Monitoring&lt;/keyword&gt;&lt;keyword&gt;Humans&lt;/keyword&gt;&lt;keyword&gt;Practice Guidelines as Topic&lt;/keyword&gt;&lt;/keywords&gt;&lt;dates&gt;&lt;year&gt;1997&lt;/year&gt;&lt;pub-dates&gt;&lt;date&gt;Jun&lt;/date&gt;&lt;/pub-dates&gt;&lt;/dates&gt;&lt;isbn&gt;0305-7453 (Print)&amp;#xD;0305-7453&lt;/isbn&gt;&lt;accession-num&gt;9222035&lt;/accession-num&gt;&lt;urls&gt;&lt;/urls&gt;&lt;remote-database-provider&gt;Nlm&lt;/remote-database-provider&gt;&lt;language&gt;eng&lt;/language&gt;&lt;/record&gt;&lt;/Cite&gt;&lt;/EndNote&gt;</w:instrText>
      </w:r>
      <w:r w:rsidR="00000000">
        <w:fldChar w:fldCharType="separate"/>
      </w:r>
      <w:r w:rsidRPr="00C43350">
        <w:fldChar w:fldCharType="end"/>
      </w:r>
      <w:r w:rsidRPr="00C43350">
        <w:t xml:space="preserve">. Studies in animal models have shown that the degree of cochlear damage induced by aminoglycosides is more dependent on the total daily dose than the frequency with which it is administered. It has been hypothesized that extended-interval dosing may result in less saturation of cochlear cells and accumulation of aminoglycosides than more frequent </w:t>
      </w:r>
      <w:r w:rsidR="00D32FE1" w:rsidRPr="00C43350">
        <w:t>administration (</w:t>
      </w:r>
      <w:r w:rsidR="007963D0" w:rsidRPr="00C43350">
        <w:t xml:space="preserve">Freeman </w:t>
      </w:r>
      <w:r w:rsidR="007963D0" w:rsidRPr="00B102FF">
        <w:rPr>
          <w:i/>
          <w:iCs/>
        </w:rPr>
        <w:t>et al</w:t>
      </w:r>
      <w:r w:rsidR="007963D0" w:rsidRPr="00C43350">
        <w:t>. 1997)</w:t>
      </w:r>
      <w:r w:rsidRPr="00C43350">
        <w:t>.</w:t>
      </w:r>
    </w:p>
    <w:p w14:paraId="2BB3454D" w14:textId="2D8BD892" w:rsidR="005D5931" w:rsidRDefault="005D5931" w:rsidP="00853764">
      <w:pPr>
        <w:pStyle w:val="Heading3"/>
      </w:pPr>
      <w:bookmarkStart w:id="22" w:name="_Toc472596116"/>
      <w:bookmarkStart w:id="23" w:name="_Toc158818239"/>
      <w:r>
        <w:t>Pharmacokinetics</w:t>
      </w:r>
      <w:bookmarkEnd w:id="22"/>
      <w:r w:rsidR="009A2650">
        <w:t xml:space="preserve"> and metabolism</w:t>
      </w:r>
      <w:bookmarkEnd w:id="23"/>
    </w:p>
    <w:p w14:paraId="1776769D" w14:textId="77777777" w:rsidR="005D5931" w:rsidRDefault="005D5931" w:rsidP="0070626B">
      <w:pPr>
        <w:pStyle w:val="Heading4"/>
      </w:pPr>
      <w:r>
        <w:t>Absorption</w:t>
      </w:r>
    </w:p>
    <w:p w14:paraId="36B11E22" w14:textId="6605DE22" w:rsidR="005D5931" w:rsidRPr="00C43350" w:rsidRDefault="005D5931" w:rsidP="00C43350">
      <w:pPr>
        <w:pStyle w:val="APVMAText"/>
      </w:pPr>
      <w:r w:rsidRPr="00C43350">
        <w:t xml:space="preserve">Neomycin is a positively charged molecule with a high degree of polarity. This translates to very poor gastrointestinal absorption, typically less than 10%. However, substantial disruption of the intestinal mucosa, as may occur during cases of enteritis may increase gastrointestinal permeability and drug absorption. This </w:t>
      </w:r>
      <w:r w:rsidR="00696BD7" w:rsidRPr="00C43350">
        <w:t xml:space="preserve">is </w:t>
      </w:r>
      <w:r w:rsidRPr="00C43350">
        <w:t>of particular concern in animals with impaired renal function where excretion of the absorbed drug is also compromised, potentially resulting in neomycin accumulation and subsequent nephrotoxicity</w:t>
      </w:r>
      <w:r w:rsidR="00D32FE1" w:rsidRPr="00C43350">
        <w:t xml:space="preserve"> </w:t>
      </w:r>
      <w:r w:rsidR="007963D0" w:rsidRPr="00C43350">
        <w:t>(</w:t>
      </w:r>
      <w:r w:rsidR="0058391D" w:rsidRPr="00C43350">
        <w:t>Mercer 2022</w:t>
      </w:r>
      <w:r w:rsidR="007963D0" w:rsidRPr="00C43350">
        <w:t>)</w:t>
      </w:r>
      <w:r w:rsidRPr="00C43350">
        <w:t>.</w:t>
      </w:r>
    </w:p>
    <w:p w14:paraId="43DDC190" w14:textId="0A27AF80" w:rsidR="005D5931" w:rsidRPr="00C43350" w:rsidRDefault="005D5931" w:rsidP="00C43350">
      <w:pPr>
        <w:pStyle w:val="APVMAText"/>
      </w:pPr>
      <w:r w:rsidRPr="00C43350">
        <w:t xml:space="preserve">Intramuscular administration of neomycin results in fast and near complete systemic absorption. Intramammary administration of aminoglycosides such as neomycin results in effective local concentration without significant systemic absorption. However, there is some concern relating to local tissue residues </w:t>
      </w:r>
      <w:r w:rsidR="00DE7D16" w:rsidRPr="00C43350">
        <w:t xml:space="preserve">and residues in milk </w:t>
      </w:r>
      <w:r w:rsidRPr="00C43350">
        <w:t>following intramammary administration which will be addressed in this review.</w:t>
      </w:r>
    </w:p>
    <w:p w14:paraId="2D578888" w14:textId="0B6FBEF2" w:rsidR="005D5931" w:rsidRDefault="005D5931" w:rsidP="0070626B">
      <w:pPr>
        <w:pStyle w:val="Heading4"/>
      </w:pPr>
      <w:r>
        <w:lastRenderedPageBreak/>
        <w:t xml:space="preserve">Distribution, </w:t>
      </w:r>
      <w:proofErr w:type="gramStart"/>
      <w:r>
        <w:t>metabolism</w:t>
      </w:r>
      <w:proofErr w:type="gramEnd"/>
      <w:r>
        <w:t xml:space="preserve"> and excretion</w:t>
      </w:r>
    </w:p>
    <w:p w14:paraId="121D8D5F" w14:textId="55240EC5" w:rsidR="005D5931" w:rsidRPr="00C43350" w:rsidRDefault="005D5931" w:rsidP="00C43350">
      <w:pPr>
        <w:pStyle w:val="APVMAText"/>
      </w:pPr>
      <w:r w:rsidRPr="00C43350">
        <w:t xml:space="preserve">Neomycin binds weakly to plasma proteins, is poorly lipid-soluble and is highly polar at physiological </w:t>
      </w:r>
      <w:proofErr w:type="spellStart"/>
      <w:r w:rsidRPr="00C43350">
        <w:t>pH.</w:t>
      </w:r>
      <w:proofErr w:type="spellEnd"/>
      <w:r w:rsidRPr="00C43350">
        <w:t xml:space="preserve"> These characteristics generally reduce its systemic distribution and ability to cross cell membranes. However, accumulation of aminoglycosides and its metabolites is known to occur in the endolymph of the inner ear and the renal tubules.</w:t>
      </w:r>
    </w:p>
    <w:p w14:paraId="12C51F53" w14:textId="0022959E" w:rsidR="005D5931" w:rsidRPr="00C43350" w:rsidRDefault="005D5931" w:rsidP="00C43350">
      <w:pPr>
        <w:pStyle w:val="APVMAText"/>
      </w:pPr>
      <w:r w:rsidRPr="00C43350">
        <w:t>Orally administered aminoglycosides are eliminated unchanged in the faeces in healthy animals. Following parenteral administration, neomycin is excreted unchanged primarily by renal glomerular filtration, with 80</w:t>
      </w:r>
      <w:r w:rsidR="00B102FF">
        <w:t xml:space="preserve"> to </w:t>
      </w:r>
      <w:r w:rsidRPr="00C43350">
        <w:t>90% of administered neomycin excreted in the urine (within 24 hours following intramuscular administration)</w:t>
      </w:r>
      <w:r w:rsidR="007963D0" w:rsidRPr="00C43350">
        <w:t xml:space="preserve"> (Reeves 2011, Riviere &amp; Spoo 2001, Huth </w:t>
      </w:r>
      <w:r w:rsidR="007963D0" w:rsidRPr="00B102FF">
        <w:rPr>
          <w:i/>
          <w:iCs/>
        </w:rPr>
        <w:t>et al</w:t>
      </w:r>
      <w:r w:rsidR="007963D0" w:rsidRPr="00C43350">
        <w:t>. 2011)</w:t>
      </w:r>
      <w:r w:rsidRPr="00C43350">
        <w:t>.</w:t>
      </w:r>
    </w:p>
    <w:p w14:paraId="2F4F7444" w14:textId="6084DE87" w:rsidR="005D5931" w:rsidRPr="00C43350" w:rsidRDefault="005D5931" w:rsidP="00C43350">
      <w:pPr>
        <w:pStyle w:val="APVMAText"/>
      </w:pPr>
      <w:r w:rsidRPr="00C43350">
        <w:t>Glomerular filtration rates vary between species and are usually less in neonates, which are generally more sensitive to aminoglycosides</w:t>
      </w:r>
      <w:r w:rsidR="007963D0" w:rsidRPr="00C43350">
        <w:t xml:space="preserve"> (</w:t>
      </w:r>
      <w:r w:rsidR="0058391D" w:rsidRPr="00C43350">
        <w:t>Mercer</w:t>
      </w:r>
      <w:r w:rsidR="00190139" w:rsidRPr="00C43350">
        <w:t xml:space="preserve"> </w:t>
      </w:r>
      <w:r w:rsidR="0058391D" w:rsidRPr="00C43350">
        <w:t>2022</w:t>
      </w:r>
      <w:r w:rsidR="007963D0" w:rsidRPr="00C43350">
        <w:t>)</w:t>
      </w:r>
      <w:r w:rsidRPr="00C43350">
        <w:fldChar w:fldCharType="begin"/>
      </w:r>
      <w:r w:rsidRPr="00C43350">
        <w:instrText xml:space="preserve"> ADDIN EN.CITE &lt;EndNote&gt;&lt;Cite&gt;&lt;Author&gt;Boothe&lt;/Author&gt;&lt;Year&gt;2012&lt;/Year&gt;&lt;RecNum&gt;6&lt;/RecNum&gt;&lt;DisplayText&gt;(Boothe 2012)&lt;/DisplayText&gt;&lt;record&gt;&lt;rec-number&gt;6&lt;/rec-number&gt;&lt;foreign-keys&gt;&lt;key app="EN" db-id="2d5p9s227rxsr3ep0t9xav035tf9v9d9rpf2" timestamp="1449031187"&gt;6&lt;/key&gt;&lt;/foreign-keys&gt;&lt;ref-type name="Web Page"&gt;12&lt;/ref-type&gt;&lt;contributors&gt;&lt;authors&gt;&lt;author&gt;Boothe, DM&lt;/author&gt;&lt;/authors&gt;&lt;/contributors&gt;&lt;titles&gt;&lt;title&gt;Aminoglycosides&lt;/title&gt;&lt;/titles&gt;&lt;volume&gt;2016&lt;/volume&gt;&lt;number&gt;31 August&lt;/number&gt;&lt;dates&gt;&lt;year&gt;2012&lt;/year&gt;&lt;pub-dates&gt;&lt;date&gt;November 2015&lt;/date&gt;&lt;/pub-dates&gt;&lt;/dates&gt;&lt;urls&gt;&lt;related-urls&gt;&lt;url&gt;http://www.merckvetmanual.com/mvm/pharmacology/antibacterial_agents/aminoglycosides.html&lt;/url&gt;&lt;/related-urls&gt;&lt;/urls&gt;&lt;/record&gt;&lt;/Cite&gt;&lt;/EndNote&gt;</w:instrText>
      </w:r>
      <w:r w:rsidR="00000000">
        <w:fldChar w:fldCharType="separate"/>
      </w:r>
      <w:r w:rsidRPr="00C43350">
        <w:fldChar w:fldCharType="end"/>
      </w:r>
      <w:r w:rsidRPr="00C43350">
        <w:t xml:space="preserve">. Furthermore, excretion varies </w:t>
      </w:r>
      <w:proofErr w:type="gramStart"/>
      <w:r w:rsidRPr="00C43350">
        <w:t>as a result of</w:t>
      </w:r>
      <w:proofErr w:type="gramEnd"/>
      <w:r w:rsidRPr="00C43350">
        <w:t xml:space="preserve"> changes to glomerular filtration rates in association with both cardiovascular and renal function, age, </w:t>
      </w:r>
      <w:r w:rsidR="00EB2BC3" w:rsidRPr="00C43350">
        <w:t>etc.</w:t>
      </w:r>
      <w:r w:rsidRPr="00C43350">
        <w:t>, and the half-life varies in response to the volume of extracellular fluid.</w:t>
      </w:r>
    </w:p>
    <w:p w14:paraId="162C28A0" w14:textId="07E37AAA" w:rsidR="005D5931" w:rsidRPr="00C43350" w:rsidRDefault="005D5931" w:rsidP="00C43350">
      <w:pPr>
        <w:pStyle w:val="APVMAText"/>
      </w:pPr>
      <w:r w:rsidRPr="00C43350">
        <w:t xml:space="preserve">Aminoglycosides have relatively short plasma half-lives of approximately </w:t>
      </w:r>
      <w:r w:rsidR="00E36E26">
        <w:t>one</w:t>
      </w:r>
      <w:r w:rsidR="00E36E26" w:rsidRPr="00C43350">
        <w:t xml:space="preserve"> </w:t>
      </w:r>
      <w:r w:rsidRPr="00C43350">
        <w:t>hour in carnivores and 2 to 3</w:t>
      </w:r>
      <w:r w:rsidR="00644AD6">
        <w:t> </w:t>
      </w:r>
      <w:r w:rsidRPr="00C43350">
        <w:t xml:space="preserve">hours in herbivores and the elimination kinetics generally follow a </w:t>
      </w:r>
      <w:r w:rsidR="00C43350">
        <w:t>3</w:t>
      </w:r>
      <w:r w:rsidRPr="00C43350">
        <w:t xml:space="preserve">-compartment </w:t>
      </w:r>
      <w:r w:rsidR="00D32FE1" w:rsidRPr="00C43350">
        <w:t>model.</w:t>
      </w:r>
    </w:p>
    <w:p w14:paraId="371F4663" w14:textId="77777777" w:rsidR="005D5931" w:rsidRPr="00C43350" w:rsidRDefault="005D5931" w:rsidP="00C43350">
      <w:pPr>
        <w:pStyle w:val="Bullet1"/>
      </w:pPr>
      <w:r w:rsidRPr="00C43350">
        <w:t>First ‘deep’ phase: binding of drug in renal tubular cell</w:t>
      </w:r>
    </w:p>
    <w:p w14:paraId="45DC09A6" w14:textId="77777777" w:rsidR="005D5931" w:rsidRPr="00C43350" w:rsidRDefault="005D5931" w:rsidP="00C43350">
      <w:pPr>
        <w:pStyle w:val="Bullet1"/>
      </w:pPr>
      <w:r w:rsidRPr="00C43350">
        <w:t>β-phase: approximately 90% of the drug is excreted unchanged from the kidneys</w:t>
      </w:r>
    </w:p>
    <w:p w14:paraId="2F7F38E7" w14:textId="32CAF611" w:rsidR="00047811" w:rsidRDefault="005D5931" w:rsidP="00C43350">
      <w:pPr>
        <w:pStyle w:val="Bullet1"/>
        <w:sectPr w:rsidR="00047811" w:rsidSect="00DF3A52">
          <w:headerReference w:type="even" r:id="rId26"/>
          <w:headerReference w:type="default" r:id="rId27"/>
          <w:footerReference w:type="default" r:id="rId28"/>
          <w:pgSz w:w="11906" w:h="16838" w:code="9"/>
          <w:pgMar w:top="2835" w:right="1134" w:bottom="1134" w:left="1134" w:header="1701" w:footer="680" w:gutter="0"/>
          <w:cols w:space="708"/>
          <w:docGrid w:linePitch="360"/>
        </w:sectPr>
      </w:pPr>
      <w:r w:rsidRPr="00C43350">
        <w:t>Second ‘deep’ (or γ phase): remaining drug excreted over protracted period (gradual release from renal intracellular binding sites; terminal elimination half-life 20</w:t>
      </w:r>
      <w:r w:rsidR="00B102FF">
        <w:t xml:space="preserve"> to </w:t>
      </w:r>
      <w:r w:rsidRPr="00C43350">
        <w:t>200 hours)</w:t>
      </w:r>
    </w:p>
    <w:p w14:paraId="2EEDE793" w14:textId="531413A1" w:rsidR="008A3F33" w:rsidRPr="00C43350" w:rsidRDefault="008A3F33" w:rsidP="00C43350">
      <w:pPr>
        <w:pStyle w:val="Heading1"/>
      </w:pPr>
      <w:bookmarkStart w:id="24" w:name="_Toc158818240"/>
      <w:r w:rsidRPr="00C43350">
        <w:lastRenderedPageBreak/>
        <w:t>Chemistry</w:t>
      </w:r>
      <w:bookmarkEnd w:id="24"/>
    </w:p>
    <w:p w14:paraId="6031BFA8" w14:textId="667025F9" w:rsidR="00C1672F" w:rsidRPr="00C43350" w:rsidRDefault="005D5931" w:rsidP="00C43350">
      <w:pPr>
        <w:pStyle w:val="APVMAText"/>
      </w:pPr>
      <w:r w:rsidRPr="00C43350">
        <w:t xml:space="preserve">Neomycin is a mixture of </w:t>
      </w:r>
      <w:r w:rsidR="00C1672F" w:rsidRPr="00C43350">
        <w:t>compounds</w:t>
      </w:r>
      <w:r w:rsidRPr="00C43350">
        <w:t xml:space="preserve">, </w:t>
      </w:r>
      <w:r w:rsidR="00C1672F" w:rsidRPr="00C43350">
        <w:t xml:space="preserve">principally the largest component, </w:t>
      </w:r>
      <w:r w:rsidRPr="00C43350">
        <w:t>neomycin B</w:t>
      </w:r>
      <w:r w:rsidR="00C1672F" w:rsidRPr="00C43350">
        <w:t>, neomycin</w:t>
      </w:r>
      <w:r w:rsidRPr="00C43350">
        <w:t xml:space="preserve"> C</w:t>
      </w:r>
      <w:r w:rsidR="00C1672F" w:rsidRPr="00C43350">
        <w:t xml:space="preserve"> which is an isomer of neomycin B and</w:t>
      </w:r>
      <w:r w:rsidRPr="00C43350">
        <w:t xml:space="preserve"> </w:t>
      </w:r>
      <w:r w:rsidR="00C1672F" w:rsidRPr="00C43350">
        <w:t>comprises 3</w:t>
      </w:r>
      <w:r w:rsidR="00C43350">
        <w:t xml:space="preserve"> to </w:t>
      </w:r>
      <w:r w:rsidR="00C1672F" w:rsidRPr="00C43350">
        <w:t xml:space="preserve">15% of the mixture, and minor compounds, such as </w:t>
      </w:r>
      <w:r w:rsidRPr="00C43350">
        <w:t>neomycin A</w:t>
      </w:r>
      <w:r w:rsidR="00C1672F" w:rsidRPr="00C43350">
        <w:t>, which</w:t>
      </w:r>
      <w:r w:rsidRPr="00C43350">
        <w:t xml:space="preserve"> present at </w:t>
      </w:r>
      <w:r w:rsidR="00C1672F" w:rsidRPr="00C43350">
        <w:t xml:space="preserve">lower </w:t>
      </w:r>
      <w:r w:rsidRPr="00C43350">
        <w:t xml:space="preserve">levels (less than </w:t>
      </w:r>
      <w:r w:rsidR="00C1672F" w:rsidRPr="00C43350">
        <w:t>2</w:t>
      </w:r>
      <w:r w:rsidRPr="00C43350">
        <w:t xml:space="preserve">%). </w:t>
      </w:r>
      <w:r w:rsidR="00C1672F" w:rsidRPr="00C43350">
        <w:t xml:space="preserve">Neomycin is most commonly available as the </w:t>
      </w:r>
      <w:proofErr w:type="spellStart"/>
      <w:r w:rsidR="00C1672F" w:rsidRPr="00C43350">
        <w:t>sulfate</w:t>
      </w:r>
      <w:proofErr w:type="spellEnd"/>
      <w:r w:rsidR="00C1672F" w:rsidRPr="00C43350">
        <w:t xml:space="preserve"> salt.</w:t>
      </w:r>
    </w:p>
    <w:p w14:paraId="732A419D" w14:textId="0711D598" w:rsidR="00C1672F" w:rsidRPr="00C43350" w:rsidRDefault="005D5931" w:rsidP="00C43350">
      <w:pPr>
        <w:pStyle w:val="APVMAText"/>
      </w:pPr>
      <w:r w:rsidRPr="00C43350">
        <w:t>There are monograph</w:t>
      </w:r>
      <w:r w:rsidR="00C1672F" w:rsidRPr="00C43350">
        <w:t>s</w:t>
      </w:r>
      <w:r w:rsidRPr="00C43350">
        <w:t xml:space="preserve"> for neomycin </w:t>
      </w:r>
      <w:proofErr w:type="spellStart"/>
      <w:r w:rsidRPr="00C43350">
        <w:t>sul</w:t>
      </w:r>
      <w:r w:rsidR="005F775C" w:rsidRPr="00C43350">
        <w:t>f</w:t>
      </w:r>
      <w:r w:rsidRPr="00C43350">
        <w:t>ate</w:t>
      </w:r>
      <w:proofErr w:type="spellEnd"/>
      <w:r w:rsidRPr="00C43350">
        <w:t xml:space="preserve"> in the British Pharmacopeia</w:t>
      </w:r>
      <w:r w:rsidR="0045671C" w:rsidRPr="00C43350">
        <w:t xml:space="preserve"> (BP)</w:t>
      </w:r>
      <w:r w:rsidRPr="00C43350">
        <w:t xml:space="preserve"> and </w:t>
      </w:r>
      <w:r w:rsidR="00C1672F" w:rsidRPr="00C43350">
        <w:t xml:space="preserve">the </w:t>
      </w:r>
      <w:r w:rsidRPr="00C43350">
        <w:t>US Pharmacopeia</w:t>
      </w:r>
      <w:r w:rsidR="0045671C" w:rsidRPr="00C43350">
        <w:t xml:space="preserve"> (USP)</w:t>
      </w:r>
      <w:r w:rsidRPr="00C43350">
        <w:t xml:space="preserve">. The BP monograph stipulates a minimum </w:t>
      </w:r>
      <w:r w:rsidR="00C1672F" w:rsidRPr="00C43350">
        <w:t xml:space="preserve">content (potency) </w:t>
      </w:r>
      <w:r w:rsidRPr="00C43350">
        <w:t>of 680 IU/mg (dried substance), while the USP</w:t>
      </w:r>
      <w:r w:rsidR="00696BD7" w:rsidRPr="00C43350">
        <w:t xml:space="preserve"> stipulates</w:t>
      </w:r>
      <w:r w:rsidRPr="00C43350">
        <w:t xml:space="preserve"> a potency equivalent to not less than 600 µg of neomycin per mg, calculated on the dried basis. </w:t>
      </w:r>
      <w:r w:rsidR="00C1672F" w:rsidRPr="00C43350">
        <w:t xml:space="preserve">The active contents for both monographs </w:t>
      </w:r>
      <w:r w:rsidRPr="00C43350">
        <w:t>are determined using microbial assay</w:t>
      </w:r>
      <w:r w:rsidR="00C1672F" w:rsidRPr="00C43350">
        <w:t xml:space="preserve"> methods</w:t>
      </w:r>
      <w:r w:rsidRPr="00C43350">
        <w:t>.</w:t>
      </w:r>
    </w:p>
    <w:p w14:paraId="6E9DF247" w14:textId="5C267013" w:rsidR="005D5931" w:rsidRPr="00C43350" w:rsidRDefault="005D5931" w:rsidP="00C43350">
      <w:pPr>
        <w:pStyle w:val="APVMAText"/>
      </w:pPr>
      <w:r w:rsidRPr="00C43350">
        <w:t xml:space="preserve">The BP monograph </w:t>
      </w:r>
      <w:r w:rsidR="00C1672F" w:rsidRPr="00C43350">
        <w:t xml:space="preserve">for </w:t>
      </w:r>
      <w:r w:rsidRPr="00C43350">
        <w:t xml:space="preserve">neomycin </w:t>
      </w:r>
      <w:proofErr w:type="spellStart"/>
      <w:r w:rsidRPr="00C43350">
        <w:t>sul</w:t>
      </w:r>
      <w:r w:rsidR="005F775C" w:rsidRPr="00C43350">
        <w:t>f</w:t>
      </w:r>
      <w:r w:rsidRPr="00C43350">
        <w:t>ate</w:t>
      </w:r>
      <w:proofErr w:type="spellEnd"/>
      <w:r w:rsidRPr="00C43350">
        <w:t xml:space="preserve"> also </w:t>
      </w:r>
      <w:r w:rsidR="00C1672F" w:rsidRPr="00C43350">
        <w:t xml:space="preserve">specifies </w:t>
      </w:r>
      <w:r w:rsidRPr="00C43350">
        <w:t>appearance, solubility, identification, pH, specific optical rotation, related substances</w:t>
      </w:r>
      <w:r w:rsidR="00C1672F" w:rsidRPr="00C43350">
        <w:t xml:space="preserve"> (impurities)</w:t>
      </w:r>
      <w:r w:rsidRPr="00C43350">
        <w:t xml:space="preserve">, </w:t>
      </w:r>
      <w:proofErr w:type="spellStart"/>
      <w:r w:rsidRPr="00C43350">
        <w:t>sulfate</w:t>
      </w:r>
      <w:proofErr w:type="spellEnd"/>
      <w:r w:rsidRPr="00C43350">
        <w:t xml:space="preserve"> (27.0</w:t>
      </w:r>
      <w:r w:rsidR="00C43350">
        <w:t xml:space="preserve"> to </w:t>
      </w:r>
      <w:r w:rsidRPr="00C43350">
        <w:t xml:space="preserve">31.0%), loss on drying (maximum 8.0%) and </w:t>
      </w:r>
      <w:proofErr w:type="spellStart"/>
      <w:r w:rsidRPr="00C43350">
        <w:t>sulfate</w:t>
      </w:r>
      <w:r w:rsidR="00C1672F" w:rsidRPr="00C43350">
        <w:t>d</w:t>
      </w:r>
      <w:proofErr w:type="spellEnd"/>
      <w:r w:rsidRPr="00C43350">
        <w:t xml:space="preserve"> ash (maximum 1.0%). The USP monograph of neomycin </w:t>
      </w:r>
      <w:proofErr w:type="spellStart"/>
      <w:r w:rsidRPr="00C43350">
        <w:t>sulfate</w:t>
      </w:r>
      <w:proofErr w:type="spellEnd"/>
      <w:r w:rsidRPr="00C43350">
        <w:t xml:space="preserve"> also includes tests for identification, </w:t>
      </w:r>
      <w:r w:rsidR="00C1672F" w:rsidRPr="00C43350">
        <w:t xml:space="preserve">impurities, contents of neomycin A and C relative to B, </w:t>
      </w:r>
      <w:proofErr w:type="gramStart"/>
      <w:r w:rsidRPr="00C43350">
        <w:t>pH</w:t>
      </w:r>
      <w:proofErr w:type="gramEnd"/>
      <w:r w:rsidRPr="00C43350">
        <w:t xml:space="preserve"> and loss on drying with </w:t>
      </w:r>
      <w:r w:rsidR="00C1672F" w:rsidRPr="00C43350">
        <w:t xml:space="preserve">the </w:t>
      </w:r>
      <w:r w:rsidRPr="00C43350">
        <w:t xml:space="preserve">same limits as those in the BP monograph. </w:t>
      </w:r>
      <w:r w:rsidR="00C1672F" w:rsidRPr="00C43350">
        <w:t>Limits for sterility and bacterial endotoxins can additionally be specified if required.</w:t>
      </w:r>
    </w:p>
    <w:p w14:paraId="61EFAD3E" w14:textId="72102BA3" w:rsidR="008A3F33" w:rsidRDefault="008A3F33" w:rsidP="00853764">
      <w:pPr>
        <w:pStyle w:val="Heading2"/>
      </w:pPr>
      <w:bookmarkStart w:id="25" w:name="_Toc144468304"/>
      <w:bookmarkStart w:id="26" w:name="_Toc158818241"/>
      <w:r w:rsidRPr="00C43350">
        <w:t>Active constituent</w:t>
      </w:r>
      <w:bookmarkEnd w:id="25"/>
      <w:bookmarkEnd w:id="26"/>
    </w:p>
    <w:p w14:paraId="483C6FBF" w14:textId="4307B6CC" w:rsidR="00853764" w:rsidRPr="00853764" w:rsidRDefault="00853764" w:rsidP="00801280">
      <w:pPr>
        <w:pStyle w:val="APVMAText"/>
      </w:pPr>
      <w:bookmarkStart w:id="27" w:name="_Hlk158988591"/>
      <w:r>
        <w:t xml:space="preserve">Tables 1 and 2 below show the </w:t>
      </w:r>
      <w:r w:rsidR="0057686F">
        <w:t xml:space="preserve">nomenclature, structural </w:t>
      </w:r>
      <w:proofErr w:type="gramStart"/>
      <w:r w:rsidR="0057686F">
        <w:t>formula</w:t>
      </w:r>
      <w:proofErr w:type="gramEnd"/>
      <w:r w:rsidR="0057686F">
        <w:t xml:space="preserve"> and k</w:t>
      </w:r>
      <w:r w:rsidR="0057686F" w:rsidRPr="0057686F">
        <w:t xml:space="preserve">ey physicochemical properties </w:t>
      </w:r>
      <w:r>
        <w:t>of the active constituent neomycin.</w:t>
      </w:r>
    </w:p>
    <w:p w14:paraId="7B9D7FAD" w14:textId="6D3625FE" w:rsidR="008A3F33" w:rsidRPr="00C43350" w:rsidRDefault="008A3F33" w:rsidP="00C43350">
      <w:pPr>
        <w:pStyle w:val="Caption"/>
      </w:pPr>
      <w:bookmarkStart w:id="28" w:name="_Hlk148454830"/>
      <w:bookmarkStart w:id="29" w:name="_Toc158818290"/>
      <w:bookmarkStart w:id="30" w:name="_Hlk148454535"/>
      <w:bookmarkStart w:id="31" w:name="_Hlk148427878"/>
      <w:bookmarkEnd w:id="27"/>
      <w:r w:rsidRPr="00C43350">
        <w:t xml:space="preserve">Table </w:t>
      </w:r>
      <w:fldSimple w:instr=" SEQ Table \* ARABIC ">
        <w:r w:rsidR="00A75CD4">
          <w:rPr>
            <w:noProof/>
          </w:rPr>
          <w:t>1</w:t>
        </w:r>
      </w:fldSimple>
      <w:bookmarkEnd w:id="28"/>
      <w:r w:rsidRPr="00C43350">
        <w:t>:</w:t>
      </w:r>
      <w:r w:rsidRPr="00C43350">
        <w:tab/>
        <w:t xml:space="preserve">Nomenclature and structural formula of the active constituent </w:t>
      </w:r>
      <w:r w:rsidR="00C1672F" w:rsidRPr="00C43350">
        <w:t>neomycin</w:t>
      </w:r>
      <w:bookmarkEnd w:id="29"/>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046"/>
        <w:gridCol w:w="6592"/>
      </w:tblGrid>
      <w:tr w:rsidR="00FF1D67" w:rsidRPr="008A3F33" w14:paraId="33B1470B" w14:textId="77777777" w:rsidTr="00801280">
        <w:trPr>
          <w:tblHeader/>
        </w:trPr>
        <w:tc>
          <w:tcPr>
            <w:tcW w:w="1580" w:type="pct"/>
            <w:tcBorders>
              <w:bottom w:val="single" w:sz="4" w:space="0" w:color="auto"/>
            </w:tcBorders>
            <w:shd w:val="clear" w:color="auto" w:fill="5C2946"/>
          </w:tcPr>
          <w:bookmarkEnd w:id="30"/>
          <w:p w14:paraId="4E6D7777" w14:textId="7059F7F1" w:rsidR="00FF1D67" w:rsidRPr="00C43350" w:rsidRDefault="00FF1D67" w:rsidP="00C43350">
            <w:pPr>
              <w:pStyle w:val="TableHead"/>
            </w:pPr>
            <w:r w:rsidRPr="00C43350">
              <w:t>Parameter</w:t>
            </w:r>
          </w:p>
        </w:tc>
        <w:tc>
          <w:tcPr>
            <w:tcW w:w="3420" w:type="pct"/>
            <w:shd w:val="clear" w:color="auto" w:fill="5C2946"/>
          </w:tcPr>
          <w:p w14:paraId="588CFC20" w14:textId="30CDF89E" w:rsidR="00FF1D67" w:rsidRPr="00C43350" w:rsidRDefault="00FF1D67" w:rsidP="00C43350">
            <w:pPr>
              <w:pStyle w:val="TableHead"/>
            </w:pPr>
            <w:r w:rsidRPr="00C43350">
              <w:t>Nomenclature and structure</w:t>
            </w:r>
          </w:p>
        </w:tc>
      </w:tr>
      <w:bookmarkEnd w:id="31"/>
      <w:tr w:rsidR="008A3F33" w:rsidRPr="008A3F33" w14:paraId="40EE3695" w14:textId="77777777" w:rsidTr="00801280">
        <w:tc>
          <w:tcPr>
            <w:tcW w:w="1580" w:type="pct"/>
            <w:shd w:val="clear" w:color="auto" w:fill="auto"/>
          </w:tcPr>
          <w:p w14:paraId="50594035" w14:textId="3891C3F2" w:rsidR="008A3F33" w:rsidRPr="00C43350" w:rsidRDefault="008A3F33" w:rsidP="00C43350">
            <w:pPr>
              <w:pStyle w:val="TableText"/>
            </w:pPr>
            <w:r w:rsidRPr="00C43350">
              <w:t>Common name (</w:t>
            </w:r>
            <w:r w:rsidR="00C1672F" w:rsidRPr="00C43350">
              <w:t>AAN, BP, BAN</w:t>
            </w:r>
            <w:r w:rsidRPr="00C43350">
              <w:t>)</w:t>
            </w:r>
          </w:p>
        </w:tc>
        <w:tc>
          <w:tcPr>
            <w:tcW w:w="3420" w:type="pct"/>
          </w:tcPr>
          <w:p w14:paraId="0B010374" w14:textId="4D1DF9E6" w:rsidR="008A3F33" w:rsidRPr="00C43350" w:rsidRDefault="005D5931" w:rsidP="00C43350">
            <w:pPr>
              <w:pStyle w:val="TableText"/>
            </w:pPr>
            <w:r w:rsidRPr="00C43350">
              <w:t>Neomycin (</w:t>
            </w:r>
            <w:proofErr w:type="spellStart"/>
            <w:r w:rsidRPr="00C43350">
              <w:t>sulfate</w:t>
            </w:r>
            <w:proofErr w:type="spellEnd"/>
            <w:r w:rsidRPr="00C43350">
              <w:t>)</w:t>
            </w:r>
          </w:p>
        </w:tc>
      </w:tr>
      <w:tr w:rsidR="008A3F33" w:rsidRPr="008A3F33" w14:paraId="128F35A8" w14:textId="77777777" w:rsidTr="00801280">
        <w:tc>
          <w:tcPr>
            <w:tcW w:w="1580" w:type="pct"/>
            <w:shd w:val="clear" w:color="auto" w:fill="auto"/>
          </w:tcPr>
          <w:p w14:paraId="0DB0C9E0" w14:textId="4B16EE16" w:rsidR="008A3F33" w:rsidRPr="00C43350" w:rsidRDefault="008A3F33" w:rsidP="00C43350">
            <w:pPr>
              <w:pStyle w:val="TableText"/>
            </w:pPr>
            <w:r w:rsidRPr="00C43350">
              <w:t>IUPAC name</w:t>
            </w:r>
          </w:p>
        </w:tc>
        <w:tc>
          <w:tcPr>
            <w:tcW w:w="3420" w:type="pct"/>
          </w:tcPr>
          <w:p w14:paraId="523D3E63" w14:textId="6C94699E" w:rsidR="008A3F33" w:rsidRPr="00C43350" w:rsidRDefault="005D5931" w:rsidP="00C43350">
            <w:pPr>
              <w:pStyle w:val="TableText"/>
            </w:pPr>
            <w:r w:rsidRPr="00C43350">
              <w:t>(2</w:t>
            </w:r>
            <w:r w:rsidRPr="00C43350">
              <w:rPr>
                <w:i/>
                <w:iCs/>
              </w:rPr>
              <w:t>R</w:t>
            </w:r>
            <w:r w:rsidRPr="00C43350">
              <w:t>,3</w:t>
            </w:r>
            <w:r w:rsidRPr="00C43350">
              <w:rPr>
                <w:i/>
                <w:iCs/>
              </w:rPr>
              <w:t>S</w:t>
            </w:r>
            <w:r w:rsidRPr="00C43350">
              <w:t>,4</w:t>
            </w:r>
            <w:r w:rsidRPr="00C43350">
              <w:rPr>
                <w:i/>
                <w:iCs/>
              </w:rPr>
              <w:t>R</w:t>
            </w:r>
            <w:r w:rsidRPr="00C43350">
              <w:t>,5</w:t>
            </w:r>
            <w:r w:rsidRPr="00C43350">
              <w:rPr>
                <w:i/>
                <w:iCs/>
              </w:rPr>
              <w:t>R</w:t>
            </w:r>
            <w:r w:rsidRPr="00C43350">
              <w:t>,6</w:t>
            </w:r>
            <w:r w:rsidRPr="00C43350">
              <w:rPr>
                <w:i/>
                <w:iCs/>
              </w:rPr>
              <w:t>R</w:t>
            </w:r>
            <w:r w:rsidRPr="00C43350">
              <w:t>)-5-amino-2-(aminomethyl)-6-[(1</w:t>
            </w:r>
            <w:r w:rsidRPr="00C43350">
              <w:rPr>
                <w:i/>
                <w:iCs/>
              </w:rPr>
              <w:t>R</w:t>
            </w:r>
            <w:r w:rsidRPr="00C43350">
              <w:t>,2</w:t>
            </w:r>
            <w:r w:rsidRPr="00C43350">
              <w:rPr>
                <w:i/>
                <w:iCs/>
              </w:rPr>
              <w:t>R</w:t>
            </w:r>
            <w:r w:rsidRPr="00C43350">
              <w:t>,3</w:t>
            </w:r>
            <w:r w:rsidRPr="00C43350">
              <w:rPr>
                <w:i/>
                <w:iCs/>
              </w:rPr>
              <w:t>S</w:t>
            </w:r>
            <w:r w:rsidRPr="00C43350">
              <w:t>,4</w:t>
            </w:r>
            <w:r w:rsidRPr="00C43350">
              <w:rPr>
                <w:i/>
                <w:iCs/>
              </w:rPr>
              <w:t>R</w:t>
            </w:r>
            <w:r w:rsidRPr="00C43350">
              <w:t>,6</w:t>
            </w:r>
            <w:r w:rsidRPr="00C43350">
              <w:rPr>
                <w:i/>
                <w:iCs/>
              </w:rPr>
              <w:t>S</w:t>
            </w:r>
            <w:r w:rsidRPr="00C43350">
              <w:t>)-4,6-diamino-2-[(2</w:t>
            </w:r>
            <w:r w:rsidRPr="00C43350">
              <w:rPr>
                <w:i/>
                <w:iCs/>
              </w:rPr>
              <w:t>S</w:t>
            </w:r>
            <w:r w:rsidRPr="00C43350">
              <w:t>,3</w:t>
            </w:r>
            <w:r w:rsidRPr="00C43350">
              <w:rPr>
                <w:i/>
                <w:iCs/>
              </w:rPr>
              <w:t>R</w:t>
            </w:r>
            <w:r w:rsidRPr="00C43350">
              <w:t>,4</w:t>
            </w:r>
            <w:r w:rsidRPr="00C43350">
              <w:rPr>
                <w:i/>
                <w:iCs/>
              </w:rPr>
              <w:t>S</w:t>
            </w:r>
            <w:r w:rsidRPr="00C43350">
              <w:t>,5</w:t>
            </w:r>
            <w:r w:rsidRPr="00C43350">
              <w:rPr>
                <w:i/>
                <w:iCs/>
              </w:rPr>
              <w:t>R</w:t>
            </w:r>
            <w:r w:rsidRPr="00C43350">
              <w:t>)-4-[(2</w:t>
            </w:r>
            <w:r w:rsidRPr="00C43350">
              <w:rPr>
                <w:i/>
                <w:iCs/>
              </w:rPr>
              <w:t>R</w:t>
            </w:r>
            <w:r w:rsidRPr="00C43350">
              <w:t>,3</w:t>
            </w:r>
            <w:r w:rsidRPr="00C43350">
              <w:rPr>
                <w:i/>
                <w:iCs/>
              </w:rPr>
              <w:t>R</w:t>
            </w:r>
            <w:r w:rsidRPr="00C43350">
              <w:t>,4</w:t>
            </w:r>
            <w:r w:rsidRPr="00C43350">
              <w:rPr>
                <w:i/>
                <w:iCs/>
              </w:rPr>
              <w:t>R</w:t>
            </w:r>
            <w:r w:rsidRPr="00C43350">
              <w:t>,5</w:t>
            </w:r>
            <w:r w:rsidRPr="00C43350">
              <w:rPr>
                <w:i/>
                <w:iCs/>
              </w:rPr>
              <w:t>S</w:t>
            </w:r>
            <w:r w:rsidRPr="00C43350">
              <w:t>,6</w:t>
            </w:r>
            <w:r w:rsidRPr="00C43350">
              <w:rPr>
                <w:i/>
                <w:iCs/>
              </w:rPr>
              <w:t>S</w:t>
            </w:r>
            <w:r w:rsidRPr="00C43350">
              <w:t>)-3-amino-6-(aminomethyl)-4,5-dihydroxyoxan-2-yl]oxy-3-hydroxy-5-(hydroxymethyl)oxolan-2-yl]oxy-3-hydroxycyclohexyl]oxyoxane-3,4-diol;sulfuric acid</w:t>
            </w:r>
          </w:p>
        </w:tc>
      </w:tr>
      <w:tr w:rsidR="008A3F33" w:rsidRPr="008A3F33" w14:paraId="0F339839" w14:textId="77777777" w:rsidTr="00801280">
        <w:tc>
          <w:tcPr>
            <w:tcW w:w="1580" w:type="pct"/>
            <w:shd w:val="clear" w:color="auto" w:fill="auto"/>
          </w:tcPr>
          <w:p w14:paraId="1B0A31C5" w14:textId="49B88D4B" w:rsidR="008A3F33" w:rsidRPr="00C43350" w:rsidRDefault="008A3F33" w:rsidP="00C43350">
            <w:pPr>
              <w:pStyle w:val="TableText"/>
            </w:pPr>
            <w:r w:rsidRPr="00C43350">
              <w:t>CAS registry number</w:t>
            </w:r>
            <w:r w:rsidR="00C1672F" w:rsidRPr="00C43350">
              <w:t>s</w:t>
            </w:r>
          </w:p>
        </w:tc>
        <w:tc>
          <w:tcPr>
            <w:tcW w:w="3420" w:type="pct"/>
          </w:tcPr>
          <w:p w14:paraId="71240DD5" w14:textId="0ACE8708" w:rsidR="008A3F33" w:rsidRPr="00C43350" w:rsidRDefault="005D5931" w:rsidP="00C43350">
            <w:pPr>
              <w:pStyle w:val="TableText"/>
            </w:pPr>
            <w:r w:rsidRPr="00C43350">
              <w:t>1404-04-2</w:t>
            </w:r>
            <w:r w:rsidR="00C1672F" w:rsidRPr="00C43350">
              <w:t xml:space="preserve"> (neomycin), 1405-10-3 (neomycin </w:t>
            </w:r>
            <w:proofErr w:type="spellStart"/>
            <w:r w:rsidR="00C1672F" w:rsidRPr="00C43350">
              <w:t>sulfate</w:t>
            </w:r>
            <w:proofErr w:type="spellEnd"/>
            <w:r w:rsidR="00C1672F" w:rsidRPr="00C43350">
              <w:t xml:space="preserve"> – unspecified </w:t>
            </w:r>
            <w:proofErr w:type="spellStart"/>
            <w:r w:rsidR="00C1672F" w:rsidRPr="00C43350">
              <w:t>sulfate</w:t>
            </w:r>
            <w:proofErr w:type="spellEnd"/>
            <w:r w:rsidR="00C1672F" w:rsidRPr="00C43350">
              <w:t xml:space="preserve"> content), 119-04-0 (neomycin B), 25389-98-4 (neomycin B </w:t>
            </w:r>
            <w:proofErr w:type="spellStart"/>
            <w:r w:rsidR="00C1672F" w:rsidRPr="00C43350">
              <w:t>sulfate</w:t>
            </w:r>
            <w:proofErr w:type="spellEnd"/>
            <w:r w:rsidR="00C1672F" w:rsidRPr="00C43350">
              <w:t xml:space="preserve"> (1:1)), 4146-30-9 (neomycin B </w:t>
            </w:r>
            <w:proofErr w:type="spellStart"/>
            <w:r w:rsidR="00C1672F" w:rsidRPr="00C43350">
              <w:t>sulfate</w:t>
            </w:r>
            <w:proofErr w:type="spellEnd"/>
            <w:r w:rsidR="00C1672F" w:rsidRPr="00C43350">
              <w:t xml:space="preserve"> (1:3))</w:t>
            </w:r>
          </w:p>
        </w:tc>
      </w:tr>
      <w:tr w:rsidR="008A3F33" w:rsidRPr="008A3F33" w14:paraId="59EFFCD5" w14:textId="77777777" w:rsidTr="00801280">
        <w:tc>
          <w:tcPr>
            <w:tcW w:w="1580" w:type="pct"/>
            <w:shd w:val="clear" w:color="auto" w:fill="auto"/>
          </w:tcPr>
          <w:p w14:paraId="49636F4A" w14:textId="48116524" w:rsidR="008A3F33" w:rsidRPr="00C43350" w:rsidRDefault="008A3F33" w:rsidP="00C43350">
            <w:pPr>
              <w:pStyle w:val="TableText"/>
            </w:pPr>
            <w:r w:rsidRPr="00C43350">
              <w:t>Molecular formula</w:t>
            </w:r>
            <w:r w:rsidR="00E04E51" w:rsidRPr="00C43350">
              <w:t xml:space="preserve"> (unspecified </w:t>
            </w:r>
            <w:proofErr w:type="spellStart"/>
            <w:r w:rsidR="00E04E51" w:rsidRPr="00C43350">
              <w:t>sulfate</w:t>
            </w:r>
            <w:proofErr w:type="spellEnd"/>
            <w:r w:rsidR="00E04E51" w:rsidRPr="00C43350">
              <w:t xml:space="preserve"> content)</w:t>
            </w:r>
          </w:p>
        </w:tc>
        <w:tc>
          <w:tcPr>
            <w:tcW w:w="3420" w:type="pct"/>
          </w:tcPr>
          <w:p w14:paraId="06B146A6" w14:textId="1A83D063" w:rsidR="008A3F33" w:rsidRPr="00C43350" w:rsidRDefault="005D5931" w:rsidP="00C43350">
            <w:pPr>
              <w:pStyle w:val="TableText"/>
            </w:pPr>
            <w:r w:rsidRPr="00C43350">
              <w:t>C</w:t>
            </w:r>
            <w:r w:rsidRPr="00C43350">
              <w:rPr>
                <w:vertAlign w:val="subscript"/>
              </w:rPr>
              <w:t>23</w:t>
            </w:r>
            <w:r w:rsidRPr="00C43350">
              <w:t>H</w:t>
            </w:r>
            <w:r w:rsidRPr="00C43350">
              <w:rPr>
                <w:vertAlign w:val="subscript"/>
              </w:rPr>
              <w:t>46</w:t>
            </w:r>
            <w:r w:rsidRPr="00C43350">
              <w:t>N</w:t>
            </w:r>
            <w:r w:rsidRPr="00C43350">
              <w:rPr>
                <w:vertAlign w:val="subscript"/>
              </w:rPr>
              <w:t>6</w:t>
            </w:r>
            <w:r w:rsidRPr="00C43350">
              <w:t>O</w:t>
            </w:r>
            <w:proofErr w:type="gramStart"/>
            <w:r w:rsidRPr="00C43350">
              <w:rPr>
                <w:vertAlign w:val="subscript"/>
              </w:rPr>
              <w:t>13</w:t>
            </w:r>
            <w:r w:rsidRPr="00C43350">
              <w:t>,xH</w:t>
            </w:r>
            <w:proofErr w:type="gramEnd"/>
            <w:r w:rsidRPr="00C43350">
              <w:rPr>
                <w:vertAlign w:val="subscript"/>
              </w:rPr>
              <w:t>2</w:t>
            </w:r>
            <w:r w:rsidRPr="00C43350">
              <w:t>SO</w:t>
            </w:r>
            <w:r w:rsidRPr="00C43350">
              <w:rPr>
                <w:vertAlign w:val="subscript"/>
              </w:rPr>
              <w:t>4</w:t>
            </w:r>
          </w:p>
        </w:tc>
      </w:tr>
      <w:tr w:rsidR="008A3F33" w:rsidRPr="008A3F33" w14:paraId="176CD720" w14:textId="77777777" w:rsidTr="00801280">
        <w:tc>
          <w:tcPr>
            <w:tcW w:w="1580" w:type="pct"/>
            <w:shd w:val="clear" w:color="auto" w:fill="auto"/>
          </w:tcPr>
          <w:p w14:paraId="66C36FDD" w14:textId="5E61E952" w:rsidR="008A3F33" w:rsidRPr="00C43350" w:rsidRDefault="008A3F33" w:rsidP="00C43350">
            <w:pPr>
              <w:pStyle w:val="TableText"/>
            </w:pPr>
            <w:r w:rsidRPr="00C43350">
              <w:t>Molecular weight</w:t>
            </w:r>
          </w:p>
        </w:tc>
        <w:tc>
          <w:tcPr>
            <w:tcW w:w="3420" w:type="pct"/>
          </w:tcPr>
          <w:p w14:paraId="72A74E1E" w14:textId="664B14DF" w:rsidR="008A3F33" w:rsidRPr="00C43350" w:rsidRDefault="005D5931" w:rsidP="00C43350">
            <w:pPr>
              <w:pStyle w:val="TableText"/>
            </w:pPr>
            <w:r w:rsidRPr="00C43350">
              <w:t>614.</w:t>
            </w:r>
            <w:r w:rsidR="00031F04" w:rsidRPr="00C43350">
              <w:t>644</w:t>
            </w:r>
            <w:r w:rsidR="00031F04">
              <w:t> </w:t>
            </w:r>
            <w:r w:rsidRPr="00C43350">
              <w:t>g/mol (</w:t>
            </w:r>
            <w:r w:rsidR="00E04E51" w:rsidRPr="00C43350">
              <w:t xml:space="preserve">neomycin </w:t>
            </w:r>
            <w:r w:rsidRPr="00C43350">
              <w:t>base)</w:t>
            </w:r>
          </w:p>
        </w:tc>
      </w:tr>
      <w:tr w:rsidR="008A3F33" w:rsidRPr="008A3F33" w14:paraId="63D0FE5D" w14:textId="77777777" w:rsidTr="00801280">
        <w:trPr>
          <w:trHeight w:val="2805"/>
        </w:trPr>
        <w:tc>
          <w:tcPr>
            <w:tcW w:w="1580" w:type="pct"/>
            <w:shd w:val="clear" w:color="auto" w:fill="auto"/>
          </w:tcPr>
          <w:p w14:paraId="4585B4C6" w14:textId="6D40E76C" w:rsidR="008A3F33" w:rsidRPr="00C43350" w:rsidRDefault="008A3F33" w:rsidP="00C43350">
            <w:pPr>
              <w:pStyle w:val="TableText"/>
            </w:pPr>
            <w:r w:rsidRPr="00C43350">
              <w:lastRenderedPageBreak/>
              <w:t>Structural formula</w:t>
            </w:r>
            <w:r w:rsidR="00C1672F" w:rsidRPr="00C43350">
              <w:t xml:space="preserve"> (neomycin B </w:t>
            </w:r>
            <w:proofErr w:type="spellStart"/>
            <w:r w:rsidR="00C1672F" w:rsidRPr="00C43350">
              <w:t>sulfate</w:t>
            </w:r>
            <w:proofErr w:type="spellEnd"/>
            <w:r w:rsidR="00C1672F" w:rsidRPr="00C43350">
              <w:t>)</w:t>
            </w:r>
          </w:p>
        </w:tc>
        <w:tc>
          <w:tcPr>
            <w:tcW w:w="3420" w:type="pct"/>
          </w:tcPr>
          <w:p w14:paraId="3574FB14" w14:textId="404F2D83" w:rsidR="008A3F33" w:rsidRPr="00C43350" w:rsidRDefault="005D5931" w:rsidP="00C43350">
            <w:pPr>
              <w:pStyle w:val="TableText"/>
            </w:pPr>
            <w:r w:rsidRPr="00C43350">
              <w:rPr>
                <w:noProof/>
              </w:rPr>
              <w:drawing>
                <wp:anchor distT="0" distB="0" distL="114300" distR="114300" simplePos="0" relativeHeight="251668480" behindDoc="1" locked="0" layoutInCell="1" allowOverlap="1" wp14:anchorId="049CE7EB" wp14:editId="41738A9C">
                  <wp:simplePos x="0" y="0"/>
                  <wp:positionH relativeFrom="column">
                    <wp:posOffset>-55880</wp:posOffset>
                  </wp:positionH>
                  <wp:positionV relativeFrom="paragraph">
                    <wp:posOffset>28575</wp:posOffset>
                  </wp:positionV>
                  <wp:extent cx="3486150" cy="1600200"/>
                  <wp:effectExtent l="0" t="0" r="0" b="0"/>
                  <wp:wrapTight wrapText="bothSides">
                    <wp:wrapPolygon edited="0">
                      <wp:start x="0" y="0"/>
                      <wp:lineTo x="0" y="21158"/>
                      <wp:lineTo x="21397" y="21158"/>
                      <wp:lineTo x="21397" y="0"/>
                      <wp:lineTo x="0" y="0"/>
                    </wp:wrapPolygon>
                  </wp:wrapTight>
                  <wp:docPr id="1" name="Picture 1" descr="Structural formula of neomycin B sulf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uctural formula of neomycin B sulfate"/>
                          <pic:cNvPicPr/>
                        </pic:nvPicPr>
                        <pic:blipFill>
                          <a:blip r:embed="rId29">
                            <a:extLst>
                              <a:ext uri="{28A0092B-C50C-407E-A947-70E740481C1C}">
                                <a14:useLocalDpi xmlns:a14="http://schemas.microsoft.com/office/drawing/2010/main" val="0"/>
                              </a:ext>
                            </a:extLst>
                          </a:blip>
                          <a:stretch>
                            <a:fillRect/>
                          </a:stretch>
                        </pic:blipFill>
                        <pic:spPr>
                          <a:xfrm>
                            <a:off x="0" y="0"/>
                            <a:ext cx="3486150" cy="1600200"/>
                          </a:xfrm>
                          <a:prstGeom prst="rect">
                            <a:avLst/>
                          </a:prstGeom>
                        </pic:spPr>
                      </pic:pic>
                    </a:graphicData>
                  </a:graphic>
                  <wp14:sizeRelH relativeFrom="margin">
                    <wp14:pctWidth>0</wp14:pctWidth>
                  </wp14:sizeRelH>
                  <wp14:sizeRelV relativeFrom="margin">
                    <wp14:pctHeight>0</wp14:pctHeight>
                  </wp14:sizeRelV>
                </wp:anchor>
              </w:drawing>
            </w:r>
          </w:p>
        </w:tc>
      </w:tr>
      <w:tr w:rsidR="005D5931" w:rsidRPr="008A3F33" w14:paraId="468FBCD7" w14:textId="77777777" w:rsidTr="00801280">
        <w:trPr>
          <w:trHeight w:val="193"/>
        </w:trPr>
        <w:tc>
          <w:tcPr>
            <w:tcW w:w="1580" w:type="pct"/>
            <w:tcBorders>
              <w:bottom w:val="single" w:sz="4" w:space="0" w:color="auto"/>
            </w:tcBorders>
            <w:shd w:val="clear" w:color="auto" w:fill="auto"/>
          </w:tcPr>
          <w:p w14:paraId="001D6272" w14:textId="31A652BC" w:rsidR="005D5931" w:rsidRPr="00C43350" w:rsidRDefault="005D5931" w:rsidP="00C43350">
            <w:pPr>
              <w:pStyle w:val="TableText"/>
            </w:pPr>
            <w:r w:rsidRPr="00C43350">
              <w:t xml:space="preserve">Chemical </w:t>
            </w:r>
            <w:r w:rsidR="00B102FF">
              <w:t>f</w:t>
            </w:r>
            <w:r w:rsidRPr="00C43350">
              <w:t>amily</w:t>
            </w:r>
          </w:p>
        </w:tc>
        <w:tc>
          <w:tcPr>
            <w:tcW w:w="3420" w:type="pct"/>
            <w:tcBorders>
              <w:bottom w:val="single" w:sz="4" w:space="0" w:color="auto"/>
            </w:tcBorders>
          </w:tcPr>
          <w:p w14:paraId="02565F39" w14:textId="5630FFE0" w:rsidR="005D5931" w:rsidRPr="00C43350" w:rsidRDefault="005D5931" w:rsidP="00C43350">
            <w:pPr>
              <w:pStyle w:val="TableText"/>
            </w:pPr>
            <w:r w:rsidRPr="00C43350">
              <w:t>Aminoglycoside</w:t>
            </w:r>
          </w:p>
        </w:tc>
      </w:tr>
    </w:tbl>
    <w:p w14:paraId="2A62A850" w14:textId="4A6B2209" w:rsidR="008A3F33" w:rsidRPr="000379B0" w:rsidRDefault="005D5931" w:rsidP="00C43350">
      <w:pPr>
        <w:pStyle w:val="Caption"/>
      </w:pPr>
      <w:bookmarkStart w:id="32" w:name="_Toc158818291"/>
      <w:r>
        <w:t>T</w:t>
      </w:r>
      <w:r w:rsidR="000379B0" w:rsidRPr="000379B0">
        <w:t xml:space="preserve">able </w:t>
      </w:r>
      <w:fldSimple w:instr=" SEQ Table \* ARABIC ">
        <w:r w:rsidR="00A75CD4">
          <w:rPr>
            <w:noProof/>
          </w:rPr>
          <w:t>2</w:t>
        </w:r>
      </w:fldSimple>
      <w:r w:rsidR="000379B0">
        <w:t>:</w:t>
      </w:r>
      <w:r w:rsidR="009C3C7F">
        <w:tab/>
      </w:r>
      <w:r w:rsidR="000379B0" w:rsidRPr="008A3F33">
        <w:t xml:space="preserve">Key physicochemical properties of the active constituent </w:t>
      </w:r>
      <w:r w:rsidR="00E04E51">
        <w:rPr>
          <w:szCs w:val="20"/>
        </w:rPr>
        <w:t>neomycin</w:t>
      </w:r>
      <w:bookmarkEnd w:id="3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261"/>
        <w:gridCol w:w="6377"/>
      </w:tblGrid>
      <w:tr w:rsidR="00FF1D67" w:rsidRPr="008A3F33" w14:paraId="27E2414B" w14:textId="77777777" w:rsidTr="00801280">
        <w:tc>
          <w:tcPr>
            <w:tcW w:w="1692" w:type="pct"/>
            <w:shd w:val="clear" w:color="auto" w:fill="5C2946"/>
            <w:vAlign w:val="center"/>
          </w:tcPr>
          <w:p w14:paraId="5172579E" w14:textId="6EF3B6EA" w:rsidR="00FF1D67" w:rsidRPr="00C43350" w:rsidRDefault="00FF1D67" w:rsidP="00C43350">
            <w:pPr>
              <w:pStyle w:val="TableHead"/>
            </w:pPr>
            <w:r w:rsidRPr="00C43350">
              <w:t>Parameter</w:t>
            </w:r>
          </w:p>
        </w:tc>
        <w:tc>
          <w:tcPr>
            <w:tcW w:w="3308" w:type="pct"/>
            <w:shd w:val="clear" w:color="auto" w:fill="5C2946"/>
            <w:vAlign w:val="center"/>
          </w:tcPr>
          <w:p w14:paraId="2A981820" w14:textId="039BCFEF" w:rsidR="00FF1D67" w:rsidRPr="00C43350" w:rsidRDefault="00FF1D67" w:rsidP="00C43350">
            <w:pPr>
              <w:pStyle w:val="TableHead"/>
            </w:pPr>
            <w:r w:rsidRPr="00C43350">
              <w:t>Physicochemical property</w:t>
            </w:r>
          </w:p>
        </w:tc>
      </w:tr>
      <w:tr w:rsidR="008A3F33" w:rsidRPr="008A3F33" w14:paraId="5569B54C" w14:textId="77777777" w:rsidTr="00801280">
        <w:tc>
          <w:tcPr>
            <w:tcW w:w="1692" w:type="pct"/>
            <w:shd w:val="clear" w:color="auto" w:fill="auto"/>
            <w:vAlign w:val="center"/>
          </w:tcPr>
          <w:p w14:paraId="0EE563A5" w14:textId="4DDE26DB" w:rsidR="008A3F33" w:rsidRPr="00C43350" w:rsidRDefault="005D5931" w:rsidP="00C43350">
            <w:pPr>
              <w:pStyle w:val="TableText"/>
            </w:pPr>
            <w:r w:rsidRPr="00C43350">
              <w:t>Colour</w:t>
            </w:r>
          </w:p>
        </w:tc>
        <w:tc>
          <w:tcPr>
            <w:tcW w:w="3308" w:type="pct"/>
            <w:vAlign w:val="center"/>
          </w:tcPr>
          <w:p w14:paraId="70FDD88E" w14:textId="3D6BEDBD" w:rsidR="008A3F33" w:rsidRPr="00C43350" w:rsidRDefault="005D5931" w:rsidP="00C43350">
            <w:pPr>
              <w:pStyle w:val="TableText"/>
            </w:pPr>
            <w:r w:rsidRPr="00C43350">
              <w:t>White or yellowish-white, hygroscopic</w:t>
            </w:r>
          </w:p>
        </w:tc>
      </w:tr>
      <w:tr w:rsidR="008A3F33" w:rsidRPr="008A3F33" w14:paraId="4B1C580C" w14:textId="77777777" w:rsidTr="00801280">
        <w:tc>
          <w:tcPr>
            <w:tcW w:w="1692" w:type="pct"/>
            <w:shd w:val="clear" w:color="auto" w:fill="auto"/>
            <w:vAlign w:val="center"/>
          </w:tcPr>
          <w:p w14:paraId="535D0C3C" w14:textId="5D74ADA8" w:rsidR="008A3F33" w:rsidRPr="00C43350" w:rsidRDefault="005D5931" w:rsidP="00C43350">
            <w:pPr>
              <w:pStyle w:val="TableText"/>
            </w:pPr>
            <w:r w:rsidRPr="00C43350">
              <w:t xml:space="preserve">Physical </w:t>
            </w:r>
            <w:r w:rsidR="00E04E51" w:rsidRPr="00C43350">
              <w:t>state</w:t>
            </w:r>
          </w:p>
        </w:tc>
        <w:tc>
          <w:tcPr>
            <w:tcW w:w="3308" w:type="pct"/>
            <w:vAlign w:val="center"/>
          </w:tcPr>
          <w:p w14:paraId="33AB3BA8" w14:textId="5836DDA8" w:rsidR="008A3F33" w:rsidRPr="00C43350" w:rsidRDefault="005D5931" w:rsidP="00C43350">
            <w:pPr>
              <w:pStyle w:val="TableText"/>
            </w:pPr>
            <w:r w:rsidRPr="00C43350">
              <w:t>Powder</w:t>
            </w:r>
          </w:p>
        </w:tc>
      </w:tr>
      <w:tr w:rsidR="008A3F33" w:rsidRPr="008A3F33" w14:paraId="03FA1042" w14:textId="77777777" w:rsidTr="00801280">
        <w:tc>
          <w:tcPr>
            <w:tcW w:w="1692" w:type="pct"/>
            <w:shd w:val="clear" w:color="auto" w:fill="auto"/>
            <w:vAlign w:val="center"/>
          </w:tcPr>
          <w:p w14:paraId="196AB128" w14:textId="6036FFA3" w:rsidR="008A3F33" w:rsidRPr="00C43350" w:rsidRDefault="005D5931" w:rsidP="00C43350">
            <w:pPr>
              <w:pStyle w:val="TableText"/>
            </w:pPr>
            <w:r w:rsidRPr="00C43350">
              <w:t xml:space="preserve">Specific </w:t>
            </w:r>
            <w:r w:rsidR="00E04E51" w:rsidRPr="00C43350">
              <w:t>rotation</w:t>
            </w:r>
          </w:p>
        </w:tc>
        <w:tc>
          <w:tcPr>
            <w:tcW w:w="3308" w:type="pct"/>
            <w:vAlign w:val="center"/>
          </w:tcPr>
          <w:p w14:paraId="2D1B1B7B" w14:textId="234F2954" w:rsidR="008A3F33" w:rsidRPr="00C43350" w:rsidRDefault="005D5931" w:rsidP="00C43350">
            <w:pPr>
              <w:pStyle w:val="TableText"/>
            </w:pPr>
            <w:r w:rsidRPr="00C43350">
              <w:t>+53.5 to +59.0 (dried substance)</w:t>
            </w:r>
          </w:p>
        </w:tc>
      </w:tr>
      <w:tr w:rsidR="008A3F33" w:rsidRPr="008A3F33" w14:paraId="37F7FD8D" w14:textId="77777777" w:rsidTr="00801280">
        <w:tc>
          <w:tcPr>
            <w:tcW w:w="1692" w:type="pct"/>
            <w:shd w:val="clear" w:color="auto" w:fill="auto"/>
            <w:vAlign w:val="center"/>
          </w:tcPr>
          <w:p w14:paraId="2B4E6DE6" w14:textId="5C88FEB2" w:rsidR="008A3F33" w:rsidRPr="00C43350" w:rsidRDefault="005D5931" w:rsidP="00C43350">
            <w:pPr>
              <w:pStyle w:val="TableText"/>
            </w:pPr>
            <w:r w:rsidRPr="00C43350">
              <w:t>pH</w:t>
            </w:r>
          </w:p>
        </w:tc>
        <w:tc>
          <w:tcPr>
            <w:tcW w:w="3308" w:type="pct"/>
            <w:vAlign w:val="center"/>
          </w:tcPr>
          <w:p w14:paraId="7ADAD3B0" w14:textId="4720866A" w:rsidR="008A3F33" w:rsidRPr="00C43350" w:rsidRDefault="005D5931" w:rsidP="00C43350">
            <w:pPr>
              <w:pStyle w:val="TableText"/>
            </w:pPr>
            <w:r w:rsidRPr="00C43350">
              <w:t xml:space="preserve">5.0 </w:t>
            </w:r>
            <w:r w:rsidR="00B102FF">
              <w:t xml:space="preserve">to </w:t>
            </w:r>
            <w:r w:rsidRPr="00C43350">
              <w:t>7.5 in a water solution containing 33</w:t>
            </w:r>
            <w:r w:rsidR="00B102FF">
              <w:t> </w:t>
            </w:r>
            <w:r w:rsidRPr="00C43350">
              <w:t>mg of neomycin per mL</w:t>
            </w:r>
          </w:p>
        </w:tc>
      </w:tr>
      <w:tr w:rsidR="008A3F33" w:rsidRPr="008A3F33" w14:paraId="0E63CF3E" w14:textId="77777777" w:rsidTr="00801280">
        <w:tc>
          <w:tcPr>
            <w:tcW w:w="1692" w:type="pct"/>
            <w:shd w:val="clear" w:color="auto" w:fill="auto"/>
            <w:vAlign w:val="center"/>
          </w:tcPr>
          <w:p w14:paraId="3FC6D261" w14:textId="711AE675" w:rsidR="008A3F33" w:rsidRPr="00C43350" w:rsidRDefault="008A3F33" w:rsidP="00C43350">
            <w:pPr>
              <w:pStyle w:val="TableText"/>
            </w:pPr>
            <w:r w:rsidRPr="00C43350">
              <w:t>Solubility in water</w:t>
            </w:r>
          </w:p>
        </w:tc>
        <w:tc>
          <w:tcPr>
            <w:tcW w:w="3308" w:type="pct"/>
            <w:vAlign w:val="center"/>
          </w:tcPr>
          <w:p w14:paraId="4981AA01" w14:textId="54984AAA" w:rsidR="008A3F33" w:rsidRPr="00C43350" w:rsidRDefault="005D5931" w:rsidP="00C43350">
            <w:pPr>
              <w:pStyle w:val="TableText"/>
            </w:pPr>
            <w:r w:rsidRPr="00C43350">
              <w:t>Very soluble in water, very slightly soluble in alcohol, practically insoluble in acetone</w:t>
            </w:r>
          </w:p>
        </w:tc>
      </w:tr>
    </w:tbl>
    <w:p w14:paraId="515BF23F" w14:textId="04EA210C" w:rsidR="008A3F33" w:rsidRDefault="00237144" w:rsidP="00C43350">
      <w:pPr>
        <w:pStyle w:val="APVMAText"/>
      </w:pPr>
      <w:r>
        <w:t>The APVMA has confirmed</w:t>
      </w:r>
      <w:r w:rsidR="001116A2">
        <w:t xml:space="preserve"> that the</w:t>
      </w:r>
      <w:r>
        <w:t xml:space="preserve"> sources of neomycin </w:t>
      </w:r>
      <w:r w:rsidR="00AF4A94">
        <w:t xml:space="preserve">(as the </w:t>
      </w:r>
      <w:proofErr w:type="spellStart"/>
      <w:r w:rsidR="00EB2BC3">
        <w:t>sulfate</w:t>
      </w:r>
      <w:proofErr w:type="spellEnd"/>
      <w:r w:rsidR="00AF4A94">
        <w:t>)</w:t>
      </w:r>
      <w:r>
        <w:t xml:space="preserve"> </w:t>
      </w:r>
      <w:r w:rsidRPr="00665CDD">
        <w:t>as an active constituent for use in veterinary products</w:t>
      </w:r>
      <w:r>
        <w:t xml:space="preserve"> within the scope of the reconsideration comply </w:t>
      </w:r>
      <w:bookmarkStart w:id="33" w:name="_Hlk152768730"/>
      <w:r>
        <w:t xml:space="preserve">with standards set by the European </w:t>
      </w:r>
      <w:r w:rsidRPr="00665CDD">
        <w:t>Pharmacopoeia</w:t>
      </w:r>
      <w:r>
        <w:t xml:space="preserve">, </w:t>
      </w:r>
      <w:r w:rsidRPr="00665CDD">
        <w:t>British Pharmacopoeia or United States Pharmacopoeia</w:t>
      </w:r>
      <w:r>
        <w:t>.</w:t>
      </w:r>
      <w:bookmarkEnd w:id="33"/>
    </w:p>
    <w:p w14:paraId="336D69EA" w14:textId="4D0EA831" w:rsidR="000E0323" w:rsidRPr="00FF1D67" w:rsidRDefault="000E0323" w:rsidP="00853764">
      <w:pPr>
        <w:pStyle w:val="Heading2"/>
      </w:pPr>
      <w:bookmarkStart w:id="34" w:name="_Toc158818242"/>
      <w:r>
        <w:t>Products</w:t>
      </w:r>
      <w:bookmarkEnd w:id="34"/>
    </w:p>
    <w:bookmarkEnd w:id="18"/>
    <w:p w14:paraId="3E09FFCD" w14:textId="1E0CF2B1" w:rsidR="008A3F33" w:rsidRPr="00C43350" w:rsidRDefault="008A3F33" w:rsidP="00C43350">
      <w:pPr>
        <w:pStyle w:val="APVMAText"/>
      </w:pPr>
      <w:r w:rsidRPr="00C43350">
        <w:t xml:space="preserve">There are currently </w:t>
      </w:r>
      <w:r w:rsidR="00E04E51" w:rsidRPr="00C43350">
        <w:t>2</w:t>
      </w:r>
      <w:r w:rsidR="009F077C">
        <w:t>5</w:t>
      </w:r>
      <w:r w:rsidR="00E04E51" w:rsidRPr="00C43350">
        <w:t xml:space="preserve"> </w:t>
      </w:r>
      <w:r w:rsidRPr="00C43350">
        <w:t xml:space="preserve">registered products containing </w:t>
      </w:r>
      <w:r w:rsidR="005D5931" w:rsidRPr="00C43350">
        <w:t>neomycin</w:t>
      </w:r>
      <w:r w:rsidR="00E04E51" w:rsidRPr="00C43350">
        <w:t xml:space="preserve"> (</w:t>
      </w:r>
      <w:proofErr w:type="spellStart"/>
      <w:r w:rsidR="00E04E51" w:rsidRPr="00C43350">
        <w:t>sulfate</w:t>
      </w:r>
      <w:proofErr w:type="spellEnd"/>
      <w:r w:rsidR="00E04E51" w:rsidRPr="00C43350">
        <w:t xml:space="preserve">) as an active constituent, with a further </w:t>
      </w:r>
      <w:r w:rsidR="00C43350">
        <w:t>6</w:t>
      </w:r>
      <w:r w:rsidR="00C43350" w:rsidRPr="00C43350">
        <w:t xml:space="preserve"> </w:t>
      </w:r>
      <w:r w:rsidR="00E04E51" w:rsidRPr="00C43350">
        <w:t>vaccine products containing neomycin as a preservative.</w:t>
      </w:r>
      <w:r w:rsidR="005D5931" w:rsidRPr="00C43350">
        <w:t xml:space="preserve"> </w:t>
      </w:r>
      <w:r w:rsidR="00E04E51" w:rsidRPr="00C43350">
        <w:t xml:space="preserve">However, </w:t>
      </w:r>
      <w:r w:rsidR="005D5931" w:rsidRPr="00C43350">
        <w:t>only 9 registered products fall within the scope of the reconsideration (oral, injectable or intramammary products) of neomycin</w:t>
      </w:r>
      <w:r w:rsidR="00644AD6">
        <w:t>,</w:t>
      </w:r>
      <w:r w:rsidR="005D5931" w:rsidRPr="00C43350">
        <w:t xml:space="preserve"> which are listed in </w:t>
      </w:r>
      <w:r w:rsidR="005F775C" w:rsidRPr="00C43350">
        <w:t>T</w:t>
      </w:r>
      <w:r w:rsidR="005D5931" w:rsidRPr="00C43350">
        <w:t xml:space="preserve">able </w:t>
      </w:r>
      <w:r w:rsidR="00AF4A94" w:rsidRPr="00C43350">
        <w:t>3</w:t>
      </w:r>
      <w:r w:rsidR="005D5931" w:rsidRPr="00C43350">
        <w:t xml:space="preserve"> below.</w:t>
      </w:r>
    </w:p>
    <w:p w14:paraId="5376094B" w14:textId="07758560" w:rsidR="008A3F33" w:rsidRPr="00C43350" w:rsidRDefault="008A3F33" w:rsidP="00C43350">
      <w:pPr>
        <w:pStyle w:val="Caption"/>
      </w:pPr>
      <w:bookmarkStart w:id="35" w:name="_Toc158818292"/>
      <w:bookmarkStart w:id="36" w:name="_Hlk148433414"/>
      <w:r w:rsidRPr="00C43350">
        <w:lastRenderedPageBreak/>
        <w:t xml:space="preserve">Table </w:t>
      </w:r>
      <w:fldSimple w:instr=" SEQ Table \* ARABIC ">
        <w:r w:rsidR="00A75CD4">
          <w:rPr>
            <w:noProof/>
          </w:rPr>
          <w:t>3</w:t>
        </w:r>
      </w:fldSimple>
      <w:r w:rsidR="000379B0" w:rsidRPr="00C43350">
        <w:t>:</w:t>
      </w:r>
      <w:r w:rsidR="009C3C7F" w:rsidRPr="00C43350">
        <w:tab/>
      </w:r>
      <w:r w:rsidRPr="00C43350">
        <w:t>Currently registered products containing</w:t>
      </w:r>
      <w:r w:rsidR="005D5931" w:rsidRPr="00C43350">
        <w:t xml:space="preserve"> neomycin within scope of the reconsideration</w:t>
      </w:r>
      <w:bookmarkEnd w:id="35"/>
    </w:p>
    <w:tbl>
      <w:tblPr>
        <w:tblW w:w="5000" w:type="pct"/>
        <w:tblBorders>
          <w:bottom w:val="dotted" w:sz="2" w:space="0" w:color="auto"/>
          <w:insideH w:val="dotted" w:sz="2" w:space="0" w:color="auto"/>
        </w:tblBorders>
        <w:tblLook w:val="01E0" w:firstRow="1" w:lastRow="1" w:firstColumn="1" w:lastColumn="1" w:noHBand="0" w:noVBand="0"/>
      </w:tblPr>
      <w:tblGrid>
        <w:gridCol w:w="1522"/>
        <w:gridCol w:w="2892"/>
        <w:gridCol w:w="2589"/>
        <w:gridCol w:w="2635"/>
      </w:tblGrid>
      <w:tr w:rsidR="005D5931" w14:paraId="4EC9844F" w14:textId="7FB15FE2" w:rsidTr="00C43350">
        <w:trPr>
          <w:cantSplit/>
          <w:tblHeader/>
        </w:trPr>
        <w:tc>
          <w:tcPr>
            <w:tcW w:w="789" w:type="pct"/>
            <w:tcBorders>
              <w:top w:val="single" w:sz="4" w:space="0" w:color="auto"/>
              <w:bottom w:val="single" w:sz="4" w:space="0" w:color="auto"/>
            </w:tcBorders>
            <w:shd w:val="clear" w:color="auto" w:fill="5C2946"/>
          </w:tcPr>
          <w:p w14:paraId="724F6C6B" w14:textId="3AE178F7" w:rsidR="005D5931" w:rsidRPr="00C43350" w:rsidRDefault="005D5931" w:rsidP="00C43350">
            <w:pPr>
              <w:pStyle w:val="TableHead"/>
            </w:pPr>
            <w:bookmarkStart w:id="37" w:name="_Hlk148433458"/>
            <w:bookmarkEnd w:id="36"/>
            <w:r w:rsidRPr="00C43350">
              <w:t>Registration number</w:t>
            </w:r>
          </w:p>
        </w:tc>
        <w:tc>
          <w:tcPr>
            <w:tcW w:w="1500" w:type="pct"/>
            <w:tcBorders>
              <w:top w:val="single" w:sz="4" w:space="0" w:color="auto"/>
              <w:bottom w:val="single" w:sz="4" w:space="0" w:color="auto"/>
            </w:tcBorders>
            <w:shd w:val="clear" w:color="auto" w:fill="5C2946"/>
          </w:tcPr>
          <w:p w14:paraId="6BFF2D78" w14:textId="137A22FE" w:rsidR="005D5931" w:rsidRPr="00C43350" w:rsidRDefault="005D5931" w:rsidP="00C43350">
            <w:pPr>
              <w:pStyle w:val="TableHead"/>
            </w:pPr>
            <w:r w:rsidRPr="00C43350">
              <w:t xml:space="preserve">Product </w:t>
            </w:r>
            <w:r w:rsidR="00B102FF">
              <w:t>n</w:t>
            </w:r>
            <w:r w:rsidRPr="00C43350">
              <w:t xml:space="preserve">ame </w:t>
            </w:r>
          </w:p>
        </w:tc>
        <w:tc>
          <w:tcPr>
            <w:tcW w:w="1343" w:type="pct"/>
            <w:tcBorders>
              <w:top w:val="single" w:sz="4" w:space="0" w:color="auto"/>
              <w:bottom w:val="single" w:sz="4" w:space="0" w:color="auto"/>
            </w:tcBorders>
            <w:shd w:val="clear" w:color="auto" w:fill="5C2946"/>
          </w:tcPr>
          <w:p w14:paraId="37804450" w14:textId="56809A6D" w:rsidR="005D5931" w:rsidRPr="00C43350" w:rsidRDefault="005D5931" w:rsidP="00C43350">
            <w:pPr>
              <w:pStyle w:val="TableHead"/>
            </w:pPr>
            <w:r w:rsidRPr="00C43350">
              <w:t>Holder</w:t>
            </w:r>
          </w:p>
        </w:tc>
        <w:tc>
          <w:tcPr>
            <w:tcW w:w="1367" w:type="pct"/>
            <w:tcBorders>
              <w:top w:val="single" w:sz="4" w:space="0" w:color="auto"/>
              <w:bottom w:val="single" w:sz="4" w:space="0" w:color="auto"/>
            </w:tcBorders>
            <w:shd w:val="clear" w:color="auto" w:fill="5C2946"/>
          </w:tcPr>
          <w:p w14:paraId="52B86A98" w14:textId="520A51AD" w:rsidR="005D5931" w:rsidRPr="00C43350" w:rsidRDefault="005D5931" w:rsidP="00C43350">
            <w:pPr>
              <w:pStyle w:val="TableHead"/>
            </w:pPr>
            <w:r w:rsidRPr="00C43350">
              <w:t xml:space="preserve">Formulation </w:t>
            </w:r>
            <w:r w:rsidR="00B102FF">
              <w:t>t</w:t>
            </w:r>
            <w:r w:rsidRPr="00C43350">
              <w:t>ype</w:t>
            </w:r>
          </w:p>
        </w:tc>
      </w:tr>
      <w:tr w:rsidR="005D5931" w14:paraId="0A1ADD8C" w14:textId="62B371DA" w:rsidTr="00C43350">
        <w:trPr>
          <w:cantSplit/>
        </w:trPr>
        <w:tc>
          <w:tcPr>
            <w:tcW w:w="789" w:type="pct"/>
            <w:tcBorders>
              <w:top w:val="single" w:sz="4" w:space="0" w:color="auto"/>
              <w:bottom w:val="single" w:sz="4" w:space="0" w:color="auto"/>
            </w:tcBorders>
          </w:tcPr>
          <w:p w14:paraId="6D74EFD5" w14:textId="276BBAF8" w:rsidR="005D5931" w:rsidRPr="00C43350" w:rsidRDefault="005D5931" w:rsidP="00C43350">
            <w:pPr>
              <w:pStyle w:val="TableSubHead"/>
            </w:pPr>
            <w:r w:rsidRPr="00C43350">
              <w:t>36026</w:t>
            </w:r>
          </w:p>
        </w:tc>
        <w:tc>
          <w:tcPr>
            <w:tcW w:w="1500" w:type="pct"/>
            <w:tcBorders>
              <w:top w:val="single" w:sz="4" w:space="0" w:color="auto"/>
              <w:bottom w:val="single" w:sz="4" w:space="0" w:color="auto"/>
            </w:tcBorders>
          </w:tcPr>
          <w:p w14:paraId="3A21BB49" w14:textId="62ECCC1B" w:rsidR="005D5931" w:rsidRPr="00C43350" w:rsidRDefault="00172424" w:rsidP="00C43350">
            <w:pPr>
              <w:pStyle w:val="TableText"/>
            </w:pPr>
            <w:proofErr w:type="spellStart"/>
            <w:r w:rsidRPr="00C43350">
              <w:t>Scourban</w:t>
            </w:r>
            <w:proofErr w:type="spellEnd"/>
            <w:r w:rsidRPr="00C43350">
              <w:t xml:space="preserve"> Oral Anti-Diarrhoeal Suspension</w:t>
            </w:r>
          </w:p>
        </w:tc>
        <w:tc>
          <w:tcPr>
            <w:tcW w:w="1343" w:type="pct"/>
            <w:tcBorders>
              <w:top w:val="single" w:sz="4" w:space="0" w:color="auto"/>
              <w:bottom w:val="single" w:sz="4" w:space="0" w:color="auto"/>
            </w:tcBorders>
          </w:tcPr>
          <w:p w14:paraId="3B1AB191" w14:textId="3B255F95" w:rsidR="005D5931" w:rsidRPr="00C43350" w:rsidRDefault="00172424" w:rsidP="00C43350">
            <w:pPr>
              <w:pStyle w:val="TableText"/>
            </w:pPr>
            <w:r w:rsidRPr="00C43350">
              <w:t>Elanco Australasia Pty Ltd</w:t>
            </w:r>
          </w:p>
        </w:tc>
        <w:tc>
          <w:tcPr>
            <w:tcW w:w="1367" w:type="pct"/>
            <w:tcBorders>
              <w:top w:val="single" w:sz="4" w:space="0" w:color="auto"/>
              <w:bottom w:val="single" w:sz="4" w:space="0" w:color="auto"/>
            </w:tcBorders>
          </w:tcPr>
          <w:p w14:paraId="1923A8D1" w14:textId="211ABBE4" w:rsidR="005D5931" w:rsidRPr="00C43350" w:rsidRDefault="005D5931" w:rsidP="00C43350">
            <w:pPr>
              <w:pStyle w:val="TableText"/>
            </w:pPr>
            <w:r w:rsidRPr="00C43350">
              <w:t>Oral solution/suspension</w:t>
            </w:r>
          </w:p>
        </w:tc>
      </w:tr>
      <w:tr w:rsidR="005D5931" w14:paraId="4B08DF30" w14:textId="52005B6B" w:rsidTr="00C43350">
        <w:trPr>
          <w:cantSplit/>
        </w:trPr>
        <w:tc>
          <w:tcPr>
            <w:tcW w:w="789" w:type="pct"/>
            <w:tcBorders>
              <w:top w:val="single" w:sz="4" w:space="0" w:color="auto"/>
              <w:bottom w:val="single" w:sz="4" w:space="0" w:color="auto"/>
            </w:tcBorders>
          </w:tcPr>
          <w:p w14:paraId="09A095D3" w14:textId="77A09EFD" w:rsidR="005D5931" w:rsidRPr="00C43350" w:rsidRDefault="005D5931" w:rsidP="00C43350">
            <w:pPr>
              <w:pStyle w:val="TableSubHead"/>
            </w:pPr>
            <w:r w:rsidRPr="00C43350">
              <w:t>49788</w:t>
            </w:r>
          </w:p>
        </w:tc>
        <w:tc>
          <w:tcPr>
            <w:tcW w:w="1500" w:type="pct"/>
            <w:tcBorders>
              <w:top w:val="single" w:sz="4" w:space="0" w:color="auto"/>
              <w:bottom w:val="single" w:sz="4" w:space="0" w:color="auto"/>
            </w:tcBorders>
          </w:tcPr>
          <w:p w14:paraId="70A07DEA" w14:textId="63B1BEEE" w:rsidR="005D5931" w:rsidRPr="00C43350" w:rsidRDefault="00172424" w:rsidP="00C43350">
            <w:pPr>
              <w:pStyle w:val="TableText"/>
            </w:pPr>
            <w:r w:rsidRPr="00C43350">
              <w:t>Scour-X Oral Anti-Diarrhoeal Suspension</w:t>
            </w:r>
          </w:p>
        </w:tc>
        <w:tc>
          <w:tcPr>
            <w:tcW w:w="1343" w:type="pct"/>
            <w:tcBorders>
              <w:top w:val="single" w:sz="4" w:space="0" w:color="auto"/>
              <w:bottom w:val="single" w:sz="4" w:space="0" w:color="auto"/>
            </w:tcBorders>
          </w:tcPr>
          <w:p w14:paraId="580B7809" w14:textId="16953D9E" w:rsidR="005D5931" w:rsidRPr="00C43350" w:rsidRDefault="00172424" w:rsidP="00C43350">
            <w:pPr>
              <w:pStyle w:val="TableText"/>
            </w:pPr>
            <w:proofErr w:type="spellStart"/>
            <w:r w:rsidRPr="00C43350">
              <w:t>Ausrichter</w:t>
            </w:r>
            <w:proofErr w:type="spellEnd"/>
            <w:r w:rsidRPr="00C43350">
              <w:t xml:space="preserve"> Pty Ltd</w:t>
            </w:r>
          </w:p>
        </w:tc>
        <w:tc>
          <w:tcPr>
            <w:tcW w:w="1367" w:type="pct"/>
            <w:tcBorders>
              <w:top w:val="single" w:sz="4" w:space="0" w:color="auto"/>
              <w:bottom w:val="single" w:sz="4" w:space="0" w:color="auto"/>
            </w:tcBorders>
          </w:tcPr>
          <w:p w14:paraId="72BFE738" w14:textId="5E856C3A" w:rsidR="005D5931" w:rsidRPr="00C43350" w:rsidRDefault="005D5931" w:rsidP="00C43350">
            <w:pPr>
              <w:pStyle w:val="TableText"/>
            </w:pPr>
            <w:r w:rsidRPr="00C43350">
              <w:t>Oral solution/suspension</w:t>
            </w:r>
          </w:p>
        </w:tc>
      </w:tr>
      <w:tr w:rsidR="005D5931" w14:paraId="76C188B8" w14:textId="7C0F0781" w:rsidTr="00C43350">
        <w:trPr>
          <w:cantSplit/>
        </w:trPr>
        <w:tc>
          <w:tcPr>
            <w:tcW w:w="789" w:type="pct"/>
            <w:tcBorders>
              <w:top w:val="single" w:sz="4" w:space="0" w:color="auto"/>
              <w:bottom w:val="single" w:sz="4" w:space="0" w:color="auto"/>
            </w:tcBorders>
          </w:tcPr>
          <w:p w14:paraId="1320CCA2" w14:textId="15083170" w:rsidR="005D5931" w:rsidRPr="00C43350" w:rsidRDefault="005D5931" w:rsidP="00C43350">
            <w:pPr>
              <w:pStyle w:val="TableSubHead"/>
            </w:pPr>
            <w:r w:rsidRPr="00C43350">
              <w:t>52782</w:t>
            </w:r>
          </w:p>
        </w:tc>
        <w:tc>
          <w:tcPr>
            <w:tcW w:w="1500" w:type="pct"/>
            <w:tcBorders>
              <w:top w:val="single" w:sz="4" w:space="0" w:color="auto"/>
              <w:bottom w:val="single" w:sz="4" w:space="0" w:color="auto"/>
            </w:tcBorders>
          </w:tcPr>
          <w:p w14:paraId="6C570B89" w14:textId="56CFA4F7" w:rsidR="005D5931" w:rsidRPr="00C43350" w:rsidRDefault="00172424" w:rsidP="00C43350">
            <w:pPr>
              <w:pStyle w:val="TableText"/>
            </w:pPr>
            <w:r w:rsidRPr="00C43350">
              <w:t>CCD Neomycin (Neomycin Sulphate Water Soluble Powder)</w:t>
            </w:r>
          </w:p>
        </w:tc>
        <w:tc>
          <w:tcPr>
            <w:tcW w:w="1343" w:type="pct"/>
            <w:tcBorders>
              <w:top w:val="single" w:sz="4" w:space="0" w:color="auto"/>
              <w:bottom w:val="single" w:sz="4" w:space="0" w:color="auto"/>
            </w:tcBorders>
          </w:tcPr>
          <w:p w14:paraId="626278CF" w14:textId="48C73476" w:rsidR="005D5931" w:rsidRPr="00C43350" w:rsidRDefault="00172424" w:rsidP="00C43350">
            <w:pPr>
              <w:pStyle w:val="TableText"/>
            </w:pPr>
            <w:r w:rsidRPr="00C43350">
              <w:t>Ccd Animal Health Pty Ltd</w:t>
            </w:r>
          </w:p>
        </w:tc>
        <w:tc>
          <w:tcPr>
            <w:tcW w:w="1367" w:type="pct"/>
            <w:tcBorders>
              <w:top w:val="single" w:sz="4" w:space="0" w:color="auto"/>
              <w:bottom w:val="single" w:sz="4" w:space="0" w:color="auto"/>
            </w:tcBorders>
          </w:tcPr>
          <w:p w14:paraId="679FEA67" w14:textId="332CAC52" w:rsidR="005D5931" w:rsidRPr="00C43350" w:rsidRDefault="005D5931" w:rsidP="00C43350">
            <w:pPr>
              <w:pStyle w:val="TableText"/>
            </w:pPr>
            <w:r w:rsidRPr="00C43350">
              <w:t>Oral powder</w:t>
            </w:r>
          </w:p>
        </w:tc>
      </w:tr>
      <w:tr w:rsidR="005D5931" w14:paraId="2621999C" w14:textId="72C689CD" w:rsidTr="00C43350">
        <w:trPr>
          <w:cantSplit/>
        </w:trPr>
        <w:tc>
          <w:tcPr>
            <w:tcW w:w="789" w:type="pct"/>
            <w:tcBorders>
              <w:top w:val="single" w:sz="4" w:space="0" w:color="auto"/>
              <w:bottom w:val="single" w:sz="4" w:space="0" w:color="auto"/>
            </w:tcBorders>
          </w:tcPr>
          <w:p w14:paraId="38A67B7F" w14:textId="2D6DBBCF" w:rsidR="005D5931" w:rsidRPr="00C43350" w:rsidRDefault="005D5931" w:rsidP="00C43350">
            <w:pPr>
              <w:pStyle w:val="TableSubHead"/>
            </w:pPr>
            <w:r w:rsidRPr="00C43350">
              <w:t>67805</w:t>
            </w:r>
          </w:p>
        </w:tc>
        <w:tc>
          <w:tcPr>
            <w:tcW w:w="1500" w:type="pct"/>
            <w:tcBorders>
              <w:top w:val="single" w:sz="4" w:space="0" w:color="auto"/>
              <w:bottom w:val="single" w:sz="4" w:space="0" w:color="auto"/>
            </w:tcBorders>
          </w:tcPr>
          <w:p w14:paraId="65DC82F6" w14:textId="550BB2C1" w:rsidR="005D5931" w:rsidRPr="00C43350" w:rsidRDefault="00172424" w:rsidP="00C43350">
            <w:pPr>
              <w:pStyle w:val="TableText"/>
            </w:pPr>
            <w:proofErr w:type="spellStart"/>
            <w:r w:rsidRPr="00C43350">
              <w:t>Abbeyneo</w:t>
            </w:r>
            <w:proofErr w:type="spellEnd"/>
            <w:r w:rsidRPr="00C43350">
              <w:t xml:space="preserve"> Antibiotic Feed Additive</w:t>
            </w:r>
          </w:p>
        </w:tc>
        <w:tc>
          <w:tcPr>
            <w:tcW w:w="1343" w:type="pct"/>
            <w:tcBorders>
              <w:top w:val="single" w:sz="4" w:space="0" w:color="auto"/>
              <w:bottom w:val="single" w:sz="4" w:space="0" w:color="auto"/>
            </w:tcBorders>
          </w:tcPr>
          <w:p w14:paraId="579910AD" w14:textId="00FB9941" w:rsidR="005D5931" w:rsidRPr="00C43350" w:rsidRDefault="00172424" w:rsidP="00C43350">
            <w:pPr>
              <w:pStyle w:val="TableText"/>
            </w:pPr>
            <w:r w:rsidRPr="00C43350">
              <w:t>Abbey Laboratories Pty Ltd</w:t>
            </w:r>
          </w:p>
        </w:tc>
        <w:tc>
          <w:tcPr>
            <w:tcW w:w="1367" w:type="pct"/>
            <w:tcBorders>
              <w:top w:val="single" w:sz="4" w:space="0" w:color="auto"/>
              <w:bottom w:val="single" w:sz="4" w:space="0" w:color="auto"/>
            </w:tcBorders>
          </w:tcPr>
          <w:p w14:paraId="45A17CB3" w14:textId="53DBA7A5" w:rsidR="005D5931" w:rsidRPr="00C43350" w:rsidRDefault="005D5931" w:rsidP="00C43350">
            <w:pPr>
              <w:pStyle w:val="TableText"/>
            </w:pPr>
            <w:r w:rsidRPr="00C43350">
              <w:t>Oral powder</w:t>
            </w:r>
          </w:p>
        </w:tc>
      </w:tr>
      <w:tr w:rsidR="005D5931" w14:paraId="3213F58B" w14:textId="3FC79920" w:rsidTr="00C43350">
        <w:trPr>
          <w:cantSplit/>
        </w:trPr>
        <w:tc>
          <w:tcPr>
            <w:tcW w:w="789" w:type="pct"/>
            <w:tcBorders>
              <w:top w:val="single" w:sz="4" w:space="0" w:color="auto"/>
              <w:bottom w:val="single" w:sz="4" w:space="0" w:color="auto"/>
            </w:tcBorders>
          </w:tcPr>
          <w:p w14:paraId="1CBBA4AF" w14:textId="545ED1C4" w:rsidR="005D5931" w:rsidRPr="00C43350" w:rsidRDefault="005D5931" w:rsidP="00C43350">
            <w:pPr>
              <w:pStyle w:val="TableSubHead"/>
            </w:pPr>
            <w:r w:rsidRPr="00C43350">
              <w:t>46414</w:t>
            </w:r>
          </w:p>
        </w:tc>
        <w:tc>
          <w:tcPr>
            <w:tcW w:w="1500" w:type="pct"/>
            <w:tcBorders>
              <w:top w:val="single" w:sz="4" w:space="0" w:color="auto"/>
              <w:bottom w:val="single" w:sz="4" w:space="0" w:color="auto"/>
            </w:tcBorders>
          </w:tcPr>
          <w:p w14:paraId="65A98FCF" w14:textId="651A7F74" w:rsidR="005D5931" w:rsidRPr="00C43350" w:rsidRDefault="00172424" w:rsidP="00C43350">
            <w:pPr>
              <w:pStyle w:val="TableText"/>
            </w:pPr>
            <w:r w:rsidRPr="00C43350">
              <w:t>Neo-</w:t>
            </w:r>
            <w:proofErr w:type="spellStart"/>
            <w:r w:rsidRPr="00C43350">
              <w:t>Sulcin</w:t>
            </w:r>
            <w:proofErr w:type="spellEnd"/>
            <w:r w:rsidRPr="00C43350">
              <w:t xml:space="preserve"> Scour Tablets</w:t>
            </w:r>
          </w:p>
        </w:tc>
        <w:tc>
          <w:tcPr>
            <w:tcW w:w="1343" w:type="pct"/>
            <w:tcBorders>
              <w:top w:val="single" w:sz="4" w:space="0" w:color="auto"/>
              <w:bottom w:val="single" w:sz="4" w:space="0" w:color="auto"/>
            </w:tcBorders>
          </w:tcPr>
          <w:p w14:paraId="34FEE7EB" w14:textId="7B040563" w:rsidR="005D5931" w:rsidRPr="00C43350" w:rsidRDefault="00172424" w:rsidP="00C43350">
            <w:pPr>
              <w:pStyle w:val="TableText"/>
            </w:pPr>
            <w:proofErr w:type="spellStart"/>
            <w:r w:rsidRPr="00C43350">
              <w:t>Jurox</w:t>
            </w:r>
            <w:proofErr w:type="spellEnd"/>
            <w:r w:rsidRPr="00C43350">
              <w:t xml:space="preserve"> Pty </w:t>
            </w:r>
            <w:bookmarkStart w:id="38" w:name="_Hlk158297386"/>
            <w:r w:rsidRPr="00C43350">
              <w:t>L</w:t>
            </w:r>
            <w:r w:rsidR="00B102FF">
              <w:t>t</w:t>
            </w:r>
            <w:r w:rsidRPr="00C43350">
              <w:t>d</w:t>
            </w:r>
            <w:bookmarkEnd w:id="38"/>
          </w:p>
        </w:tc>
        <w:tc>
          <w:tcPr>
            <w:tcW w:w="1367" w:type="pct"/>
            <w:tcBorders>
              <w:top w:val="single" w:sz="4" w:space="0" w:color="auto"/>
              <w:bottom w:val="single" w:sz="4" w:space="0" w:color="auto"/>
            </w:tcBorders>
          </w:tcPr>
          <w:p w14:paraId="674A348B" w14:textId="2CBB4753" w:rsidR="005D5931" w:rsidRPr="00C43350" w:rsidRDefault="005D5931" w:rsidP="00C43350">
            <w:pPr>
              <w:pStyle w:val="TableText"/>
            </w:pPr>
            <w:r w:rsidRPr="00C43350">
              <w:t>Oral tablet</w:t>
            </w:r>
          </w:p>
        </w:tc>
      </w:tr>
      <w:tr w:rsidR="005D5931" w14:paraId="345312B8" w14:textId="77777777" w:rsidTr="00C43350">
        <w:trPr>
          <w:cantSplit/>
        </w:trPr>
        <w:tc>
          <w:tcPr>
            <w:tcW w:w="789" w:type="pct"/>
            <w:tcBorders>
              <w:top w:val="single" w:sz="4" w:space="0" w:color="auto"/>
              <w:bottom w:val="single" w:sz="4" w:space="0" w:color="auto"/>
            </w:tcBorders>
          </w:tcPr>
          <w:p w14:paraId="7D5B81F1" w14:textId="5B37130C" w:rsidR="005D5931" w:rsidRPr="00C43350" w:rsidRDefault="005D5931" w:rsidP="00C43350">
            <w:pPr>
              <w:pStyle w:val="TableSubHead"/>
            </w:pPr>
            <w:r w:rsidRPr="00C43350">
              <w:t>36237</w:t>
            </w:r>
          </w:p>
        </w:tc>
        <w:tc>
          <w:tcPr>
            <w:tcW w:w="1500" w:type="pct"/>
            <w:tcBorders>
              <w:top w:val="single" w:sz="4" w:space="0" w:color="auto"/>
              <w:bottom w:val="single" w:sz="4" w:space="0" w:color="auto"/>
            </w:tcBorders>
          </w:tcPr>
          <w:p w14:paraId="3A95041F" w14:textId="7B9923E6" w:rsidR="005D5931" w:rsidRPr="00C43350" w:rsidRDefault="00172424" w:rsidP="00C43350">
            <w:pPr>
              <w:pStyle w:val="TableText"/>
            </w:pPr>
            <w:proofErr w:type="spellStart"/>
            <w:r w:rsidRPr="00C43350">
              <w:t>Jurox</w:t>
            </w:r>
            <w:proofErr w:type="spellEnd"/>
            <w:r w:rsidRPr="00C43350">
              <w:t xml:space="preserve"> Neomycin </w:t>
            </w:r>
            <w:proofErr w:type="spellStart"/>
            <w:r w:rsidRPr="00C43350">
              <w:t>Sulfate</w:t>
            </w:r>
            <w:proofErr w:type="spellEnd"/>
            <w:r w:rsidRPr="00C43350">
              <w:t xml:space="preserve"> Injection</w:t>
            </w:r>
          </w:p>
        </w:tc>
        <w:tc>
          <w:tcPr>
            <w:tcW w:w="1343" w:type="pct"/>
            <w:tcBorders>
              <w:top w:val="single" w:sz="4" w:space="0" w:color="auto"/>
              <w:bottom w:val="single" w:sz="4" w:space="0" w:color="auto"/>
            </w:tcBorders>
          </w:tcPr>
          <w:p w14:paraId="01CBDFA0" w14:textId="609142DB" w:rsidR="005D5931" w:rsidRPr="00C43350" w:rsidRDefault="00172424" w:rsidP="00C43350">
            <w:pPr>
              <w:pStyle w:val="TableText"/>
            </w:pPr>
            <w:proofErr w:type="spellStart"/>
            <w:r w:rsidRPr="00C43350">
              <w:t>Jurox</w:t>
            </w:r>
            <w:proofErr w:type="spellEnd"/>
            <w:r w:rsidRPr="00C43350">
              <w:t xml:space="preserve"> Pty L</w:t>
            </w:r>
            <w:r w:rsidR="00B102FF">
              <w:t>t</w:t>
            </w:r>
            <w:r w:rsidRPr="00C43350">
              <w:t>d</w:t>
            </w:r>
          </w:p>
        </w:tc>
        <w:tc>
          <w:tcPr>
            <w:tcW w:w="1367" w:type="pct"/>
            <w:tcBorders>
              <w:top w:val="single" w:sz="4" w:space="0" w:color="auto"/>
              <w:bottom w:val="single" w:sz="4" w:space="0" w:color="auto"/>
            </w:tcBorders>
          </w:tcPr>
          <w:p w14:paraId="054E9FBF" w14:textId="738341B5" w:rsidR="005D5931" w:rsidRPr="00C43350" w:rsidRDefault="005D5931" w:rsidP="00C43350">
            <w:pPr>
              <w:pStyle w:val="TableText"/>
            </w:pPr>
            <w:r w:rsidRPr="00C43350">
              <w:t>Parenteral liquid/solution/suspension</w:t>
            </w:r>
          </w:p>
        </w:tc>
      </w:tr>
      <w:tr w:rsidR="005D5931" w14:paraId="7EED1274" w14:textId="77777777" w:rsidTr="00C43350">
        <w:trPr>
          <w:cantSplit/>
        </w:trPr>
        <w:tc>
          <w:tcPr>
            <w:tcW w:w="789" w:type="pct"/>
            <w:tcBorders>
              <w:top w:val="single" w:sz="4" w:space="0" w:color="auto"/>
              <w:bottom w:val="single" w:sz="4" w:space="0" w:color="auto"/>
            </w:tcBorders>
          </w:tcPr>
          <w:p w14:paraId="6F4C58C3" w14:textId="78C42D58" w:rsidR="005D5931" w:rsidRPr="00C43350" w:rsidRDefault="005D5931" w:rsidP="00C43350">
            <w:pPr>
              <w:pStyle w:val="TableSubHead"/>
            </w:pPr>
            <w:r w:rsidRPr="00C43350">
              <w:t>37241</w:t>
            </w:r>
          </w:p>
        </w:tc>
        <w:tc>
          <w:tcPr>
            <w:tcW w:w="1500" w:type="pct"/>
            <w:tcBorders>
              <w:top w:val="single" w:sz="4" w:space="0" w:color="auto"/>
              <w:bottom w:val="single" w:sz="4" w:space="0" w:color="auto"/>
            </w:tcBorders>
          </w:tcPr>
          <w:p w14:paraId="5EF6170A" w14:textId="5EE98984" w:rsidR="005D5931" w:rsidRPr="00C43350" w:rsidRDefault="00172424" w:rsidP="00C43350">
            <w:pPr>
              <w:pStyle w:val="TableText"/>
            </w:pPr>
            <w:r w:rsidRPr="00C43350">
              <w:t>Neomycin Penicillin 100/200 Aqueous Suspension for Intramuscular Injection</w:t>
            </w:r>
          </w:p>
        </w:tc>
        <w:tc>
          <w:tcPr>
            <w:tcW w:w="1343" w:type="pct"/>
            <w:tcBorders>
              <w:top w:val="single" w:sz="4" w:space="0" w:color="auto"/>
              <w:bottom w:val="single" w:sz="4" w:space="0" w:color="auto"/>
            </w:tcBorders>
          </w:tcPr>
          <w:p w14:paraId="21DED18C" w14:textId="51CC0C12" w:rsidR="005D5931" w:rsidRPr="00C43350" w:rsidRDefault="00172424" w:rsidP="00C43350">
            <w:pPr>
              <w:pStyle w:val="TableText"/>
            </w:pPr>
            <w:proofErr w:type="spellStart"/>
            <w:r w:rsidRPr="00C43350">
              <w:t>Intervet</w:t>
            </w:r>
            <w:proofErr w:type="spellEnd"/>
            <w:r w:rsidRPr="00C43350">
              <w:t xml:space="preserve"> Australia Pty L</w:t>
            </w:r>
            <w:r w:rsidR="00B102FF">
              <w:t>t</w:t>
            </w:r>
            <w:r w:rsidRPr="00C43350">
              <w:t>d</w:t>
            </w:r>
          </w:p>
        </w:tc>
        <w:tc>
          <w:tcPr>
            <w:tcW w:w="1367" w:type="pct"/>
            <w:tcBorders>
              <w:top w:val="single" w:sz="4" w:space="0" w:color="auto"/>
              <w:bottom w:val="single" w:sz="4" w:space="0" w:color="auto"/>
            </w:tcBorders>
          </w:tcPr>
          <w:p w14:paraId="7C19A572" w14:textId="012585E6" w:rsidR="005D5931" w:rsidRPr="00C43350" w:rsidRDefault="005D5931" w:rsidP="00C43350">
            <w:pPr>
              <w:pStyle w:val="TableText"/>
            </w:pPr>
            <w:r w:rsidRPr="00C43350">
              <w:t>Parenteral liquid/solution/suspension</w:t>
            </w:r>
          </w:p>
        </w:tc>
      </w:tr>
      <w:tr w:rsidR="005D5931" w14:paraId="7C7BD590" w14:textId="77777777" w:rsidTr="00C43350">
        <w:trPr>
          <w:cantSplit/>
        </w:trPr>
        <w:tc>
          <w:tcPr>
            <w:tcW w:w="789" w:type="pct"/>
            <w:tcBorders>
              <w:top w:val="single" w:sz="4" w:space="0" w:color="auto"/>
              <w:bottom w:val="single" w:sz="4" w:space="0" w:color="auto"/>
            </w:tcBorders>
          </w:tcPr>
          <w:p w14:paraId="1F9E54BC" w14:textId="34C55DB2" w:rsidR="005D5931" w:rsidRPr="00C43350" w:rsidRDefault="005D5931" w:rsidP="00C43350">
            <w:pPr>
              <w:pStyle w:val="TableSubHead"/>
            </w:pPr>
            <w:r w:rsidRPr="00C43350">
              <w:t>38696</w:t>
            </w:r>
          </w:p>
        </w:tc>
        <w:tc>
          <w:tcPr>
            <w:tcW w:w="1500" w:type="pct"/>
            <w:tcBorders>
              <w:top w:val="single" w:sz="4" w:space="0" w:color="auto"/>
              <w:bottom w:val="single" w:sz="4" w:space="0" w:color="auto"/>
            </w:tcBorders>
          </w:tcPr>
          <w:p w14:paraId="18256666" w14:textId="6F4C24CF" w:rsidR="005D5931" w:rsidRPr="00C43350" w:rsidRDefault="00172424" w:rsidP="00C43350">
            <w:pPr>
              <w:pStyle w:val="TableText"/>
            </w:pPr>
            <w:r w:rsidRPr="00C43350">
              <w:t>Special Formula 17900 Forte-V Lactating Intramammary Antibiotic Suspension</w:t>
            </w:r>
          </w:p>
        </w:tc>
        <w:tc>
          <w:tcPr>
            <w:tcW w:w="1343" w:type="pct"/>
            <w:tcBorders>
              <w:top w:val="single" w:sz="4" w:space="0" w:color="auto"/>
              <w:bottom w:val="single" w:sz="4" w:space="0" w:color="auto"/>
            </w:tcBorders>
          </w:tcPr>
          <w:p w14:paraId="6DD61013" w14:textId="6F497469" w:rsidR="005D5931" w:rsidRPr="00C43350" w:rsidRDefault="00172424" w:rsidP="00C43350">
            <w:pPr>
              <w:pStyle w:val="TableText"/>
            </w:pPr>
            <w:r w:rsidRPr="00C43350">
              <w:t>Zoetis Australia Pty Ltd</w:t>
            </w:r>
          </w:p>
        </w:tc>
        <w:tc>
          <w:tcPr>
            <w:tcW w:w="1367" w:type="pct"/>
            <w:tcBorders>
              <w:top w:val="single" w:sz="4" w:space="0" w:color="auto"/>
              <w:bottom w:val="single" w:sz="4" w:space="0" w:color="auto"/>
            </w:tcBorders>
          </w:tcPr>
          <w:p w14:paraId="48338B82" w14:textId="15B56CA0" w:rsidR="005D5931" w:rsidRPr="00C43350" w:rsidRDefault="005D5931" w:rsidP="00C43350">
            <w:pPr>
              <w:pStyle w:val="TableText"/>
            </w:pPr>
            <w:r w:rsidRPr="00C43350">
              <w:t>Intramammary suspension</w:t>
            </w:r>
          </w:p>
        </w:tc>
      </w:tr>
      <w:tr w:rsidR="005D5931" w14:paraId="5D71677F" w14:textId="77777777" w:rsidTr="00C43350">
        <w:trPr>
          <w:cantSplit/>
        </w:trPr>
        <w:tc>
          <w:tcPr>
            <w:tcW w:w="789" w:type="pct"/>
            <w:tcBorders>
              <w:top w:val="single" w:sz="4" w:space="0" w:color="auto"/>
              <w:bottom w:val="single" w:sz="4" w:space="0" w:color="auto"/>
            </w:tcBorders>
          </w:tcPr>
          <w:p w14:paraId="4AB00B27" w14:textId="1E1CA1B3" w:rsidR="005D5931" w:rsidRPr="00C43350" w:rsidRDefault="005D5931" w:rsidP="00C43350">
            <w:pPr>
              <w:pStyle w:val="TableSubHead"/>
            </w:pPr>
            <w:r w:rsidRPr="00C43350">
              <w:t>49851</w:t>
            </w:r>
          </w:p>
        </w:tc>
        <w:tc>
          <w:tcPr>
            <w:tcW w:w="1500" w:type="pct"/>
            <w:tcBorders>
              <w:top w:val="single" w:sz="4" w:space="0" w:color="auto"/>
              <w:bottom w:val="single" w:sz="4" w:space="0" w:color="auto"/>
            </w:tcBorders>
          </w:tcPr>
          <w:p w14:paraId="5EA8A7B7" w14:textId="502AB13A" w:rsidR="005D5931" w:rsidRPr="00C43350" w:rsidRDefault="00172424" w:rsidP="00C43350">
            <w:pPr>
              <w:pStyle w:val="TableText"/>
            </w:pPr>
            <w:proofErr w:type="spellStart"/>
            <w:r w:rsidRPr="00C43350">
              <w:t>Mastalone</w:t>
            </w:r>
            <w:proofErr w:type="spellEnd"/>
            <w:r w:rsidRPr="00C43350">
              <w:t xml:space="preserve"> Intramammary Suspension or Lactating Cows</w:t>
            </w:r>
          </w:p>
        </w:tc>
        <w:tc>
          <w:tcPr>
            <w:tcW w:w="1343" w:type="pct"/>
            <w:tcBorders>
              <w:top w:val="single" w:sz="4" w:space="0" w:color="auto"/>
              <w:bottom w:val="single" w:sz="4" w:space="0" w:color="auto"/>
            </w:tcBorders>
          </w:tcPr>
          <w:p w14:paraId="0736FB70" w14:textId="5DBA3F8F" w:rsidR="005D5931" w:rsidRPr="00C43350" w:rsidRDefault="00172424" w:rsidP="00C43350">
            <w:pPr>
              <w:pStyle w:val="TableText"/>
            </w:pPr>
            <w:r w:rsidRPr="00C43350">
              <w:t>Zoetis Australia Pty Ltd</w:t>
            </w:r>
          </w:p>
        </w:tc>
        <w:tc>
          <w:tcPr>
            <w:tcW w:w="1367" w:type="pct"/>
            <w:tcBorders>
              <w:top w:val="single" w:sz="4" w:space="0" w:color="auto"/>
              <w:bottom w:val="single" w:sz="4" w:space="0" w:color="auto"/>
            </w:tcBorders>
          </w:tcPr>
          <w:p w14:paraId="6358B700" w14:textId="6C14F00B" w:rsidR="005D5931" w:rsidRPr="00C43350" w:rsidRDefault="005D5931" w:rsidP="00C43350">
            <w:pPr>
              <w:pStyle w:val="TableText"/>
            </w:pPr>
            <w:r w:rsidRPr="00C43350">
              <w:t>Intramammary suspension</w:t>
            </w:r>
          </w:p>
        </w:tc>
      </w:tr>
    </w:tbl>
    <w:bookmarkEnd w:id="37"/>
    <w:p w14:paraId="132E321D" w14:textId="1B6A07B7" w:rsidR="000654D7" w:rsidRPr="00C43350" w:rsidRDefault="00691EDE" w:rsidP="00C43350">
      <w:pPr>
        <w:pStyle w:val="APVMAText"/>
      </w:pPr>
      <w:r w:rsidRPr="00C43350">
        <w:t>The f</w:t>
      </w:r>
      <w:bookmarkStart w:id="39" w:name="_Hlk154068713"/>
      <w:r w:rsidRPr="00C43350">
        <w:t>ormulation of the products, stability</w:t>
      </w:r>
      <w:r w:rsidR="003A1D49" w:rsidRPr="00C43350">
        <w:t>,</w:t>
      </w:r>
      <w:r w:rsidR="00E04E51" w:rsidRPr="00C43350">
        <w:t xml:space="preserve"> shelf life</w:t>
      </w:r>
      <w:r w:rsidR="003A1D49" w:rsidRPr="00C43350">
        <w:t xml:space="preserve">, </w:t>
      </w:r>
      <w:r w:rsidRPr="00C43350">
        <w:t>storage condition</w:t>
      </w:r>
      <w:r w:rsidR="00E04E51" w:rsidRPr="00C43350">
        <w:t>s</w:t>
      </w:r>
      <w:r w:rsidRPr="00C43350">
        <w:t xml:space="preserve"> and </w:t>
      </w:r>
      <w:r w:rsidR="00E04E51" w:rsidRPr="00C43350">
        <w:t>associated label directions</w:t>
      </w:r>
      <w:r w:rsidRPr="00C43350">
        <w:t xml:space="preserve"> have been </w:t>
      </w:r>
      <w:r w:rsidR="003A1D49" w:rsidRPr="00C43350">
        <w:t>considered and the APVMA is satisfied that</w:t>
      </w:r>
      <w:r w:rsidR="00E04E51" w:rsidRPr="00C43350">
        <w:t xml:space="preserve"> these remain appropriate</w:t>
      </w:r>
      <w:r w:rsidR="000654D7" w:rsidRPr="00C43350">
        <w:t>,</w:t>
      </w:r>
      <w:r w:rsidR="003A1D49" w:rsidRPr="00C43350">
        <w:t xml:space="preserve"> </w:t>
      </w:r>
      <w:r w:rsidR="000654D7" w:rsidRPr="00C43350">
        <w:t>except for</w:t>
      </w:r>
      <w:r w:rsidR="00801280">
        <w:t xml:space="preserve"> the</w:t>
      </w:r>
      <w:r w:rsidR="000654D7" w:rsidRPr="00C43350">
        <w:t>:</w:t>
      </w:r>
    </w:p>
    <w:p w14:paraId="40F33BF5" w14:textId="7A6790F5" w:rsidR="000654D7" w:rsidRPr="00C43350" w:rsidRDefault="003A1D49" w:rsidP="00C43350">
      <w:pPr>
        <w:pStyle w:val="Bullet1"/>
      </w:pPr>
      <w:r w:rsidRPr="00C43350">
        <w:t>stability and shelf life of products where an interim shelf life applies</w:t>
      </w:r>
    </w:p>
    <w:p w14:paraId="6EF85EBB" w14:textId="4467A02A" w:rsidR="00DE3ED6" w:rsidRPr="00C43350" w:rsidRDefault="00DE3ED6" w:rsidP="00C43350">
      <w:pPr>
        <w:pStyle w:val="Bullet1"/>
      </w:pPr>
      <w:r w:rsidRPr="00C43350">
        <w:t>storage statements on the labels of products</w:t>
      </w:r>
      <w:r w:rsidR="000654D7" w:rsidRPr="00C43350">
        <w:t>, which</w:t>
      </w:r>
      <w:r w:rsidRPr="00C43350">
        <w:t xml:space="preserve"> should be updated to reflect current </w:t>
      </w:r>
      <w:r w:rsidR="00D26EE1" w:rsidRPr="00C43350">
        <w:t>labelling practic</w:t>
      </w:r>
      <w:r w:rsidR="000654D7" w:rsidRPr="00C43350">
        <w:t xml:space="preserve">e. In particular, the statements </w:t>
      </w:r>
      <w:r w:rsidRPr="00C43350">
        <w:t>regarding storage under freezing conditions for liquid products</w:t>
      </w:r>
      <w:r w:rsidR="00CD47AB" w:rsidRPr="00C43350">
        <w:t xml:space="preserve"> </w:t>
      </w:r>
      <w:r w:rsidR="000654D7" w:rsidRPr="00C43350">
        <w:t>in Table 3</w:t>
      </w:r>
      <w:r w:rsidRPr="00C43350">
        <w:t xml:space="preserve"> and </w:t>
      </w:r>
      <w:r w:rsidR="000654D7" w:rsidRPr="00C43350">
        <w:t xml:space="preserve">statements regarding </w:t>
      </w:r>
      <w:r w:rsidRPr="00C43350">
        <w:t>protection from light for all products</w:t>
      </w:r>
      <w:r w:rsidR="000654D7" w:rsidRPr="00C43350">
        <w:t xml:space="preserve"> in Table 3</w:t>
      </w:r>
      <w:r w:rsidR="00CD47AB" w:rsidRPr="00C43350">
        <w:t xml:space="preserve"> should be updated</w:t>
      </w:r>
      <w:r w:rsidRPr="00C43350">
        <w:t>.</w:t>
      </w:r>
    </w:p>
    <w:bookmarkEnd w:id="39"/>
    <w:p w14:paraId="5A110D6C" w14:textId="0DB71C83" w:rsidR="00691EDE" w:rsidRPr="00C43350" w:rsidRDefault="003A1D49" w:rsidP="00C43350">
      <w:pPr>
        <w:pStyle w:val="APVMAText"/>
      </w:pPr>
      <w:r w:rsidRPr="00C43350">
        <w:t>The active constituent is expressed on product labels as</w:t>
      </w:r>
      <w:r w:rsidR="00A300C3" w:rsidRPr="00C43350">
        <w:t xml:space="preserve"> either</w:t>
      </w:r>
      <w:r w:rsidRPr="00C43350">
        <w:t xml:space="preserve"> neomycin (as neomycin </w:t>
      </w:r>
      <w:proofErr w:type="spellStart"/>
      <w:r w:rsidRPr="00C43350">
        <w:t>sulfate</w:t>
      </w:r>
      <w:proofErr w:type="spellEnd"/>
      <w:r w:rsidRPr="00C43350">
        <w:t xml:space="preserve">) or </w:t>
      </w:r>
      <w:r w:rsidR="00691EDE" w:rsidRPr="00C43350">
        <w:t xml:space="preserve">neomycin </w:t>
      </w:r>
      <w:proofErr w:type="spellStart"/>
      <w:r w:rsidR="00691EDE" w:rsidRPr="00C43350">
        <w:t>sulfate</w:t>
      </w:r>
      <w:proofErr w:type="spellEnd"/>
      <w:r w:rsidR="00691EDE" w:rsidRPr="00C43350">
        <w:t xml:space="preserve">. The current standard for the expression of the active is to </w:t>
      </w:r>
      <w:r w:rsidR="00BC561A" w:rsidRPr="00C43350">
        <w:t xml:space="preserve">specify the concentration of </w:t>
      </w:r>
      <w:r w:rsidR="00691EDE" w:rsidRPr="00C43350">
        <w:t xml:space="preserve">neomycin (as </w:t>
      </w:r>
      <w:r w:rsidR="00E04E51" w:rsidRPr="00C43350">
        <w:t xml:space="preserve">neomycin </w:t>
      </w:r>
      <w:proofErr w:type="spellStart"/>
      <w:r w:rsidR="00691EDE" w:rsidRPr="00C43350">
        <w:t>sulfate</w:t>
      </w:r>
      <w:proofErr w:type="spellEnd"/>
      <w:r w:rsidR="00691EDE" w:rsidRPr="00C43350">
        <w:t xml:space="preserve">). This </w:t>
      </w:r>
      <w:r w:rsidRPr="00C43350">
        <w:t xml:space="preserve">expression </w:t>
      </w:r>
      <w:r w:rsidR="00BC561A" w:rsidRPr="00C43350">
        <w:t>provide</w:t>
      </w:r>
      <w:r w:rsidRPr="00C43350">
        <w:t>s</w:t>
      </w:r>
      <w:r w:rsidR="00BC561A" w:rsidRPr="00C43350">
        <w:t xml:space="preserve"> information on the concentration of the active moiety (the neomycin itself) and allow</w:t>
      </w:r>
      <w:r w:rsidRPr="00C43350">
        <w:t>s</w:t>
      </w:r>
      <w:r w:rsidR="00BC561A" w:rsidRPr="00C43350">
        <w:t xml:space="preserve"> for easier comparison with other forms of neomycin, such as neomycin hydrochloride, </w:t>
      </w:r>
      <w:proofErr w:type="gramStart"/>
      <w:r w:rsidR="00BC561A" w:rsidRPr="00C43350">
        <w:t>in the event that</w:t>
      </w:r>
      <w:proofErr w:type="gramEnd"/>
      <w:r w:rsidR="00BC561A" w:rsidRPr="00C43350">
        <w:t xml:space="preserve"> such products were registered</w:t>
      </w:r>
      <w:r w:rsidR="00691EDE" w:rsidRPr="00C43350">
        <w:t>.</w:t>
      </w:r>
      <w:r w:rsidR="00BC561A" w:rsidRPr="00C43350">
        <w:t xml:space="preserve"> It is further noted that this convention is widely used for other antibiotics, such as gentamicin </w:t>
      </w:r>
      <w:proofErr w:type="spellStart"/>
      <w:r w:rsidR="00BC561A" w:rsidRPr="00C43350">
        <w:t>sulfate</w:t>
      </w:r>
      <w:proofErr w:type="spellEnd"/>
      <w:r w:rsidR="00BC561A" w:rsidRPr="00C43350">
        <w:t xml:space="preserve"> and by other regulatory agencies such as the UK Veterinary Medicines Directorate.</w:t>
      </w:r>
    </w:p>
    <w:p w14:paraId="75055CA9" w14:textId="6DC0F766" w:rsidR="00AA5DC7" w:rsidRPr="00853764" w:rsidRDefault="00AA5DC7" w:rsidP="00853764">
      <w:pPr>
        <w:pStyle w:val="Heading2"/>
      </w:pPr>
      <w:bookmarkStart w:id="40" w:name="_Toc144468306"/>
      <w:bookmarkStart w:id="41" w:name="_Toc158818243"/>
      <w:r w:rsidRPr="00853764">
        <w:lastRenderedPageBreak/>
        <w:t>Recommendations</w:t>
      </w:r>
      <w:bookmarkEnd w:id="40"/>
      <w:bookmarkEnd w:id="41"/>
    </w:p>
    <w:p w14:paraId="69C0BD0C" w14:textId="2CEA3FB0" w:rsidR="00AA5DC7" w:rsidRPr="00C43350" w:rsidRDefault="000E0323" w:rsidP="00C43350">
      <w:pPr>
        <w:pStyle w:val="APVMAText"/>
      </w:pPr>
      <w:bookmarkStart w:id="42" w:name="_Hlk143073137"/>
      <w:r w:rsidRPr="00C43350">
        <w:t>T</w:t>
      </w:r>
      <w:r w:rsidR="00AA5DC7" w:rsidRPr="00C43350">
        <w:t>he APVMA remain</w:t>
      </w:r>
      <w:r w:rsidR="00E04E51" w:rsidRPr="00C43350">
        <w:t>s</w:t>
      </w:r>
      <w:r w:rsidR="00AA5DC7" w:rsidRPr="00C43350">
        <w:t xml:space="preserve"> satisfied with respect to the chemistry </w:t>
      </w:r>
      <w:r w:rsidR="00E04E51" w:rsidRPr="00C43350">
        <w:t xml:space="preserve">and manufacturing </w:t>
      </w:r>
      <w:r w:rsidR="00AA5DC7" w:rsidRPr="00C43350">
        <w:t xml:space="preserve">aspects of the safety and efficacy criteria for </w:t>
      </w:r>
      <w:r w:rsidR="005D5931" w:rsidRPr="00C43350">
        <w:t>neomycin products</w:t>
      </w:r>
      <w:r w:rsidRPr="00C43350">
        <w:t xml:space="preserve"> and notes that the expression of the active constituent on product labels should be </w:t>
      </w:r>
      <w:r w:rsidR="00BC561A" w:rsidRPr="00C43350">
        <w:t>amended to</w:t>
      </w:r>
      <w:r w:rsidRPr="00C43350">
        <w:t xml:space="preserve"> neomycin (as </w:t>
      </w:r>
      <w:r w:rsidR="00BC561A" w:rsidRPr="00C43350">
        <w:t xml:space="preserve">neomycin </w:t>
      </w:r>
      <w:proofErr w:type="spellStart"/>
      <w:r w:rsidRPr="00C43350">
        <w:t>sulfate</w:t>
      </w:r>
      <w:proofErr w:type="spellEnd"/>
      <w:r w:rsidRPr="00C43350">
        <w:t>)</w:t>
      </w:r>
      <w:r w:rsidR="003A1D49" w:rsidRPr="00C43350">
        <w:t>.</w:t>
      </w:r>
    </w:p>
    <w:p w14:paraId="7DE238A4" w14:textId="74D61234" w:rsidR="00FC5C1B" w:rsidRPr="00C43350" w:rsidRDefault="00FC5C1B" w:rsidP="00C43350">
      <w:pPr>
        <w:pStyle w:val="APVMAText"/>
      </w:pPr>
      <w:bookmarkStart w:id="43" w:name="_Hlk155442321"/>
      <w:r w:rsidRPr="00C43350">
        <w:t xml:space="preserve">Products subject to an interim shelf life should be required to provide stability data for assessment to allow </w:t>
      </w:r>
      <w:r w:rsidR="00D26EE1" w:rsidRPr="00C43350">
        <w:t xml:space="preserve">the </w:t>
      </w:r>
      <w:r w:rsidR="000811F6" w:rsidRPr="00C43350">
        <w:t xml:space="preserve">validity of the </w:t>
      </w:r>
      <w:r w:rsidR="00D26EE1" w:rsidRPr="00C43350">
        <w:t>interim</w:t>
      </w:r>
      <w:r w:rsidRPr="00C43350">
        <w:t xml:space="preserve"> shelf to be confirmed and approved.</w:t>
      </w:r>
    </w:p>
    <w:p w14:paraId="09608052" w14:textId="05131B49" w:rsidR="00047811" w:rsidRDefault="00DE3ED6" w:rsidP="0070626B">
      <w:pPr>
        <w:pStyle w:val="APVMAText"/>
        <w:sectPr w:rsidR="00047811" w:rsidSect="00DF3A52">
          <w:headerReference w:type="even" r:id="rId30"/>
          <w:headerReference w:type="default" r:id="rId31"/>
          <w:pgSz w:w="11906" w:h="16838" w:code="9"/>
          <w:pgMar w:top="2835" w:right="1134" w:bottom="1134" w:left="1134" w:header="1701" w:footer="680" w:gutter="0"/>
          <w:cols w:space="708"/>
          <w:docGrid w:linePitch="360"/>
        </w:sectPr>
      </w:pPr>
      <w:r w:rsidRPr="00C43350">
        <w:t xml:space="preserve">Storage statements on </w:t>
      </w:r>
      <w:r w:rsidR="00D26EE1" w:rsidRPr="00C43350">
        <w:t xml:space="preserve">all product </w:t>
      </w:r>
      <w:r w:rsidRPr="00C43350">
        <w:t xml:space="preserve">labels should be revised to meet current practice regarding protection from freezing temperatures for liquid products and protection from light for all products. </w:t>
      </w:r>
      <w:r w:rsidR="00D26EE1" w:rsidRPr="00C43350">
        <w:t>This includes the addition of ‘do not freeze’ statements on liquid products and ‘protect from light’ statements on all products where low temperature stability data and photostability data ha</w:t>
      </w:r>
      <w:r w:rsidR="000811F6" w:rsidRPr="00C43350">
        <w:t>ve</w:t>
      </w:r>
      <w:r w:rsidR="00D26EE1" w:rsidRPr="00C43350">
        <w:t xml:space="preserve"> not been previously provided and assessed to demonstrate that these statements are not required.</w:t>
      </w:r>
      <w:bookmarkEnd w:id="42"/>
      <w:bookmarkEnd w:id="43"/>
    </w:p>
    <w:p w14:paraId="35678D60" w14:textId="62E826B3" w:rsidR="00AA5DC7" w:rsidRPr="00C43350" w:rsidRDefault="005D5931" w:rsidP="00C43350">
      <w:pPr>
        <w:pStyle w:val="Heading1"/>
      </w:pPr>
      <w:bookmarkStart w:id="44" w:name="_Toc158818244"/>
      <w:r w:rsidRPr="00C43350">
        <w:lastRenderedPageBreak/>
        <w:t xml:space="preserve">Human </w:t>
      </w:r>
      <w:r w:rsidR="00B102FF">
        <w:t>h</w:t>
      </w:r>
      <w:r w:rsidRPr="00C43350">
        <w:t>ealth</w:t>
      </w:r>
      <w:bookmarkEnd w:id="44"/>
    </w:p>
    <w:p w14:paraId="1C49E56F" w14:textId="4DE1B224" w:rsidR="005D5931" w:rsidRPr="00C43350" w:rsidRDefault="005D5931" w:rsidP="00C43350">
      <w:pPr>
        <w:pStyle w:val="APVMAText"/>
      </w:pPr>
      <w:r w:rsidRPr="00C43350">
        <w:t>Although human health including toxicology and worker health and safety was not in the scope of the reconsideration, the APVMA has conducted a review of the available information.</w:t>
      </w:r>
    </w:p>
    <w:p w14:paraId="60A779D5" w14:textId="16D32414" w:rsidR="00AA5DC7" w:rsidRPr="00C43350" w:rsidRDefault="00AA5DC7" w:rsidP="00C43350">
      <w:pPr>
        <w:pStyle w:val="Heading2"/>
      </w:pPr>
      <w:bookmarkStart w:id="45" w:name="_Toc144468308"/>
      <w:bookmarkStart w:id="46" w:name="_Toc158818245"/>
      <w:r w:rsidRPr="00C43350">
        <w:t>Evaluation of toxicology</w:t>
      </w:r>
      <w:bookmarkEnd w:id="45"/>
      <w:bookmarkEnd w:id="46"/>
    </w:p>
    <w:p w14:paraId="051262E6" w14:textId="20E7A494" w:rsidR="00EB2BC3" w:rsidRPr="00C43350" w:rsidRDefault="005D5931" w:rsidP="00C43350">
      <w:pPr>
        <w:pStyle w:val="APVMAText"/>
      </w:pPr>
      <w:r w:rsidRPr="00C43350">
        <w:t>The toxicity of neomycin is well characterised. Neomycin is used as a human therapeutic agent in certain circumstances however, it is associated with a risk of ototoxicity and kidney damage. On a conservative basis, the point of departure for assessment of occupational health and safety is the 6</w:t>
      </w:r>
      <w:r w:rsidR="00B102FF">
        <w:t> </w:t>
      </w:r>
      <w:r w:rsidRPr="00C43350">
        <w:t xml:space="preserve">mg/kg </w:t>
      </w:r>
      <w:proofErr w:type="spellStart"/>
      <w:r w:rsidRPr="00C43350">
        <w:t>bw</w:t>
      </w:r>
      <w:proofErr w:type="spellEnd"/>
      <w:r w:rsidRPr="00C43350">
        <w:t xml:space="preserve">/day, the no observed adverse effect level (NOAEL) upon which the </w:t>
      </w:r>
      <w:hyperlink r:id="rId32" w:history="1">
        <w:r w:rsidR="00B102FF" w:rsidRPr="00FE6AAC">
          <w:rPr>
            <w:rStyle w:val="Hyperlink"/>
          </w:rPr>
          <w:t>acceptable daily intake (ADI)</w:t>
        </w:r>
      </w:hyperlink>
      <w:r w:rsidR="00B102FF" w:rsidRPr="00B102FF">
        <w:rPr>
          <w:rStyle w:val="Hyperlink"/>
          <w:u w:val="none"/>
        </w:rPr>
        <w:t xml:space="preserve"> </w:t>
      </w:r>
      <w:r w:rsidRPr="00C43350">
        <w:t xml:space="preserve">is set. This NOAEL was set </w:t>
      </w:r>
      <w:proofErr w:type="gramStart"/>
      <w:r w:rsidRPr="00C43350">
        <w:t>on the basis of</w:t>
      </w:r>
      <w:proofErr w:type="gramEnd"/>
      <w:r w:rsidRPr="00C43350">
        <w:t xml:space="preserve"> ototoxicity observed at the next higher dose in a </w:t>
      </w:r>
      <w:r w:rsidR="00EB2BC3" w:rsidRPr="00C43350">
        <w:t>3-month</w:t>
      </w:r>
      <w:r w:rsidRPr="00C43350">
        <w:t xml:space="preserve"> dietary study in guinea pigs. A margin of exposure of at least 100 is considered suitable, including 10x for interspecies differences and 10x</w:t>
      </w:r>
      <w:r w:rsidR="00644AD6">
        <w:t> </w:t>
      </w:r>
      <w:r w:rsidRPr="00C43350">
        <w:t>for intraspecies difference. This is considered a very conservative basis for risk assessment, particularly given that doses of up to 12 g per day (equating to approximately 150</w:t>
      </w:r>
      <w:r w:rsidR="00B102FF">
        <w:t> </w:t>
      </w:r>
      <w:r w:rsidRPr="00C43350">
        <w:t>mg/</w:t>
      </w:r>
      <w:r w:rsidR="00031F04" w:rsidRPr="00C43350">
        <w:t>kg</w:t>
      </w:r>
      <w:r w:rsidR="00031F04">
        <w:t> </w:t>
      </w:r>
      <w:proofErr w:type="spellStart"/>
      <w:r w:rsidRPr="00C43350">
        <w:t>bw</w:t>
      </w:r>
      <w:proofErr w:type="spellEnd"/>
      <w:r w:rsidRPr="00C43350">
        <w:t>/day) are approved for oral administration to adults (in the US).</w:t>
      </w:r>
    </w:p>
    <w:p w14:paraId="0F1F7996" w14:textId="69667A86" w:rsidR="005D5931" w:rsidRPr="00C43350" w:rsidRDefault="005D5931" w:rsidP="00C43350">
      <w:pPr>
        <w:pStyle w:val="APVMAText"/>
      </w:pPr>
      <w:r w:rsidRPr="00C43350">
        <w:t>The oral absorption of neomycin is very low, with most of the orally administered neomycin being excreted unchanged in the faeces. It is estimated that around 0.6% of orally administered neomycin is available systemically. Dermal absorption of neomycin is extremely limited</w:t>
      </w:r>
      <w:r w:rsidR="007963D0" w:rsidRPr="00C43350">
        <w:t xml:space="preserve"> (James </w:t>
      </w:r>
      <w:r w:rsidR="007963D0" w:rsidRPr="00B102FF">
        <w:rPr>
          <w:i/>
          <w:iCs/>
        </w:rPr>
        <w:t>et al</w:t>
      </w:r>
      <w:r w:rsidR="007963D0" w:rsidRPr="00C43350">
        <w:t xml:space="preserve"> 1970)</w:t>
      </w:r>
      <w:r w:rsidRPr="00C43350">
        <w:t>.</w:t>
      </w:r>
    </w:p>
    <w:p w14:paraId="72E1D48B" w14:textId="2410A850" w:rsidR="00AA5DC7" w:rsidRPr="00C43350" w:rsidRDefault="00AA5DC7" w:rsidP="00C43350">
      <w:pPr>
        <w:pStyle w:val="Heading2"/>
      </w:pPr>
      <w:bookmarkStart w:id="47" w:name="_Toc144468310"/>
      <w:bookmarkStart w:id="48" w:name="_Toc158818246"/>
      <w:r w:rsidRPr="00C43350">
        <w:t>Poisons scheduling</w:t>
      </w:r>
      <w:bookmarkEnd w:id="47"/>
      <w:bookmarkEnd w:id="48"/>
    </w:p>
    <w:p w14:paraId="293D498C" w14:textId="4D48569C" w:rsidR="00464283" w:rsidRDefault="00853764" w:rsidP="00C43350">
      <w:pPr>
        <w:pStyle w:val="APVMAText"/>
      </w:pPr>
      <w:r>
        <w:t>As shown in Table 4 below, n</w:t>
      </w:r>
      <w:r w:rsidR="00464283" w:rsidRPr="00053BAB">
        <w:t xml:space="preserve">eomycin is currently listed as a schedule 4 poison in the </w:t>
      </w:r>
      <w:r w:rsidR="00DE7D16" w:rsidRPr="00DE7D16">
        <w:t>Standard for the Uniform Scheduling of Medicines and Poisons</w:t>
      </w:r>
      <w:r w:rsidR="00186FA8">
        <w:t xml:space="preserve"> </w:t>
      </w:r>
      <w:r w:rsidR="00DE7D16">
        <w:t>(The Poisons Standard)</w:t>
      </w:r>
      <w:r w:rsidR="00155DDA">
        <w:t>.</w:t>
      </w:r>
    </w:p>
    <w:p w14:paraId="17A9B520" w14:textId="103A4E90" w:rsidR="000654D7" w:rsidRPr="00C43350" w:rsidRDefault="000654D7" w:rsidP="00C43350">
      <w:pPr>
        <w:pStyle w:val="Caption"/>
      </w:pPr>
      <w:bookmarkStart w:id="49" w:name="_Toc158818293"/>
      <w:r w:rsidRPr="00C43350">
        <w:t xml:space="preserve">Table </w:t>
      </w:r>
      <w:fldSimple w:instr=" SEQ Table \* ARABIC ">
        <w:r w:rsidR="00A75CD4">
          <w:rPr>
            <w:noProof/>
          </w:rPr>
          <w:t>4</w:t>
        </w:r>
      </w:fldSimple>
      <w:r w:rsidRPr="00C43350">
        <w:t>:</w:t>
      </w:r>
      <w:r w:rsidR="009C3C7F" w:rsidRPr="00C43350">
        <w:tab/>
      </w:r>
      <w:r w:rsidRPr="00C43350">
        <w:t xml:space="preserve">Scheduling of </w:t>
      </w:r>
      <w:r w:rsidR="00B102FF">
        <w:t>n</w:t>
      </w:r>
      <w:r w:rsidRPr="00C43350">
        <w:t>eomycin in the Poisons Standard</w:t>
      </w:r>
      <w:bookmarkEnd w:id="49"/>
    </w:p>
    <w:tbl>
      <w:tblPr>
        <w:tblW w:w="5000" w:type="pct"/>
        <w:tblBorders>
          <w:bottom w:val="dotted" w:sz="2" w:space="0" w:color="auto"/>
          <w:insideH w:val="dotted" w:sz="2" w:space="0" w:color="auto"/>
        </w:tblBorders>
        <w:tblLook w:val="01E0" w:firstRow="1" w:lastRow="1" w:firstColumn="1" w:lastColumn="1" w:noHBand="0" w:noVBand="0"/>
      </w:tblPr>
      <w:tblGrid>
        <w:gridCol w:w="1276"/>
        <w:gridCol w:w="2552"/>
        <w:gridCol w:w="5810"/>
      </w:tblGrid>
      <w:tr w:rsidR="000654D7" w14:paraId="08C05CAB" w14:textId="77777777" w:rsidTr="00C43350">
        <w:trPr>
          <w:cantSplit/>
          <w:tblHeader/>
        </w:trPr>
        <w:tc>
          <w:tcPr>
            <w:tcW w:w="662" w:type="pct"/>
            <w:tcBorders>
              <w:top w:val="single" w:sz="4" w:space="0" w:color="auto"/>
              <w:bottom w:val="single" w:sz="4" w:space="0" w:color="auto"/>
            </w:tcBorders>
            <w:shd w:val="clear" w:color="auto" w:fill="5C2946"/>
          </w:tcPr>
          <w:p w14:paraId="2AD19DE9" w14:textId="3D8CFF49" w:rsidR="000654D7" w:rsidRPr="00C43350" w:rsidRDefault="000654D7" w:rsidP="00C43350">
            <w:pPr>
              <w:pStyle w:val="TableHead"/>
            </w:pPr>
            <w:r w:rsidRPr="00C43350">
              <w:t>Schedule</w:t>
            </w:r>
          </w:p>
        </w:tc>
        <w:tc>
          <w:tcPr>
            <w:tcW w:w="1324" w:type="pct"/>
            <w:tcBorders>
              <w:top w:val="single" w:sz="4" w:space="0" w:color="auto"/>
              <w:bottom w:val="single" w:sz="4" w:space="0" w:color="auto"/>
            </w:tcBorders>
            <w:shd w:val="clear" w:color="auto" w:fill="5C2946"/>
          </w:tcPr>
          <w:p w14:paraId="46A3BECC" w14:textId="345B31CF" w:rsidR="000654D7" w:rsidRPr="00C43350" w:rsidRDefault="000654D7" w:rsidP="00C43350">
            <w:pPr>
              <w:pStyle w:val="TableHead"/>
            </w:pPr>
            <w:r w:rsidRPr="00C43350">
              <w:t>Title</w:t>
            </w:r>
          </w:p>
        </w:tc>
        <w:tc>
          <w:tcPr>
            <w:tcW w:w="3014" w:type="pct"/>
            <w:tcBorders>
              <w:top w:val="single" w:sz="4" w:space="0" w:color="auto"/>
              <w:bottom w:val="single" w:sz="4" w:space="0" w:color="auto"/>
            </w:tcBorders>
            <w:shd w:val="clear" w:color="auto" w:fill="5C2946"/>
          </w:tcPr>
          <w:p w14:paraId="12DB7912" w14:textId="18D9A485" w:rsidR="000654D7" w:rsidRPr="00C43350" w:rsidRDefault="000654D7" w:rsidP="00C43350">
            <w:pPr>
              <w:pStyle w:val="TableHead"/>
            </w:pPr>
            <w:r w:rsidRPr="00C43350">
              <w:t>Description</w:t>
            </w:r>
          </w:p>
        </w:tc>
      </w:tr>
      <w:tr w:rsidR="000654D7" w14:paraId="7E4FBB14" w14:textId="77777777" w:rsidTr="00C43350">
        <w:trPr>
          <w:cantSplit/>
        </w:trPr>
        <w:tc>
          <w:tcPr>
            <w:tcW w:w="662" w:type="pct"/>
            <w:tcBorders>
              <w:top w:val="single" w:sz="4" w:space="0" w:color="auto"/>
              <w:bottom w:val="single" w:sz="4" w:space="0" w:color="auto"/>
            </w:tcBorders>
          </w:tcPr>
          <w:p w14:paraId="56AFB747" w14:textId="3604335E" w:rsidR="000654D7" w:rsidRPr="00C43350" w:rsidRDefault="000654D7" w:rsidP="00C43350">
            <w:pPr>
              <w:pStyle w:val="TableText"/>
            </w:pPr>
            <w:r w:rsidRPr="00C43350">
              <w:t>Schedule 4</w:t>
            </w:r>
          </w:p>
        </w:tc>
        <w:tc>
          <w:tcPr>
            <w:tcW w:w="1324" w:type="pct"/>
            <w:tcBorders>
              <w:top w:val="single" w:sz="4" w:space="0" w:color="auto"/>
              <w:bottom w:val="single" w:sz="4" w:space="0" w:color="auto"/>
            </w:tcBorders>
          </w:tcPr>
          <w:p w14:paraId="2E17109C" w14:textId="7EF41342" w:rsidR="000654D7" w:rsidRPr="00C43350" w:rsidRDefault="000654D7" w:rsidP="00C43350">
            <w:pPr>
              <w:pStyle w:val="TableText"/>
            </w:pPr>
            <w:r w:rsidRPr="00C43350">
              <w:t>Prescription only medicines and prescription animal remedies</w:t>
            </w:r>
          </w:p>
        </w:tc>
        <w:tc>
          <w:tcPr>
            <w:tcW w:w="3014" w:type="pct"/>
            <w:tcBorders>
              <w:top w:val="single" w:sz="4" w:space="0" w:color="auto"/>
              <w:bottom w:val="single" w:sz="4" w:space="0" w:color="auto"/>
            </w:tcBorders>
          </w:tcPr>
          <w:p w14:paraId="45E50724" w14:textId="1224364B" w:rsidR="000654D7" w:rsidRPr="00C43350" w:rsidRDefault="000654D7" w:rsidP="00C43350">
            <w:pPr>
              <w:pStyle w:val="TableText"/>
            </w:pPr>
            <w:r w:rsidRPr="00C43350">
              <w:t xml:space="preserve">Substances, the </w:t>
            </w:r>
            <w:proofErr w:type="gramStart"/>
            <w:r w:rsidRPr="00C43350">
              <w:t>use</w:t>
            </w:r>
            <w:proofErr w:type="gramEnd"/>
            <w:r w:rsidRPr="00C43350">
              <w:t xml:space="preserve"> or supply of which should be by or on the order of persons permitted by </w:t>
            </w:r>
            <w:r w:rsidR="00B102FF">
              <w:t>s</w:t>
            </w:r>
            <w:r w:rsidRPr="00C43350">
              <w:t xml:space="preserve">tate or </w:t>
            </w:r>
            <w:r w:rsidR="00B102FF">
              <w:t>t</w:t>
            </w:r>
            <w:r w:rsidRPr="00C43350">
              <w:t>erritory legislation to prescribe and should be available from a pharmacist on prescription.</w:t>
            </w:r>
          </w:p>
        </w:tc>
      </w:tr>
    </w:tbl>
    <w:p w14:paraId="3901628D" w14:textId="24FFA2BA" w:rsidR="005D5931" w:rsidRPr="00C43350" w:rsidRDefault="005D5931" w:rsidP="00C43350">
      <w:pPr>
        <w:pStyle w:val="Heading2"/>
      </w:pPr>
      <w:bookmarkStart w:id="50" w:name="_Toc158818247"/>
      <w:r w:rsidRPr="00C43350">
        <w:t xml:space="preserve">Worker </w:t>
      </w:r>
      <w:r w:rsidR="00B102FF">
        <w:t>h</w:t>
      </w:r>
      <w:r w:rsidRPr="00C43350">
        <w:t xml:space="preserve">ealth </w:t>
      </w:r>
      <w:r w:rsidR="00B102FF">
        <w:t>and</w:t>
      </w:r>
      <w:r w:rsidRPr="00C43350">
        <w:t xml:space="preserve"> </w:t>
      </w:r>
      <w:r w:rsidR="00B102FF">
        <w:t>s</w:t>
      </w:r>
      <w:r w:rsidRPr="00C43350">
        <w:t>afety</w:t>
      </w:r>
      <w:bookmarkEnd w:id="50"/>
    </w:p>
    <w:p w14:paraId="7C700B8F" w14:textId="3E5C43F6" w:rsidR="005D5931" w:rsidRPr="005D5931" w:rsidRDefault="005D5931" w:rsidP="00C43350">
      <w:pPr>
        <w:pStyle w:val="APVMAText"/>
      </w:pPr>
      <w:r w:rsidRPr="005D5931">
        <w:t>The exposure to workers dispensing neomycin products is dependent on the formulation and use pattern associated with each of the individual product types. The product formulations which fall within the scope of this reconsideration have been considered below.</w:t>
      </w:r>
    </w:p>
    <w:p w14:paraId="34733DBE" w14:textId="77777777" w:rsidR="005D5931" w:rsidRPr="00C43350" w:rsidRDefault="005D5931" w:rsidP="00C43350">
      <w:pPr>
        <w:pStyle w:val="Heading3"/>
      </w:pPr>
      <w:bookmarkStart w:id="51" w:name="_Toc158818248"/>
      <w:r w:rsidRPr="00C43350">
        <w:t>Feed additive powder formulations</w:t>
      </w:r>
      <w:bookmarkEnd w:id="51"/>
    </w:p>
    <w:p w14:paraId="6028A73B" w14:textId="46C605FE" w:rsidR="005D5931" w:rsidRPr="00C43350" w:rsidRDefault="005D5931" w:rsidP="00C43350">
      <w:pPr>
        <w:pStyle w:val="APVMAText"/>
      </w:pPr>
      <w:bookmarkStart w:id="52" w:name="_Hlk89357340"/>
      <w:r w:rsidRPr="00C43350">
        <w:t>Neomycin</w:t>
      </w:r>
      <w:r w:rsidR="00691EDE" w:rsidRPr="00C43350">
        <w:t xml:space="preserve"> </w:t>
      </w:r>
      <w:r w:rsidRPr="00C43350">
        <w:t xml:space="preserve">is present in powder formulations at </w:t>
      </w:r>
      <w:r w:rsidR="00801280" w:rsidRPr="00C43350">
        <w:t>600</w:t>
      </w:r>
      <w:r w:rsidR="00801280">
        <w:t> </w:t>
      </w:r>
      <w:r w:rsidRPr="00C43350">
        <w:t xml:space="preserve">mg/kg product for use as feed additives for pigs, </w:t>
      </w:r>
      <w:proofErr w:type="gramStart"/>
      <w:r w:rsidRPr="00C43350">
        <w:t>poultry</w:t>
      </w:r>
      <w:proofErr w:type="gramEnd"/>
      <w:r w:rsidRPr="00C43350">
        <w:t xml:space="preserve"> and cattle. The powders are mixed with a small quantity of feed before blending into larger quantities</w:t>
      </w:r>
      <w:r w:rsidR="00031F04" w:rsidRPr="00C43350">
        <w:t>.</w:t>
      </w:r>
      <w:r w:rsidR="00031F04">
        <w:br/>
      </w:r>
      <w:r w:rsidRPr="00C43350">
        <w:lastRenderedPageBreak/>
        <w:t xml:space="preserve">The recommended dose rate is 8 </w:t>
      </w:r>
      <w:r w:rsidR="00B102FF">
        <w:t>to</w:t>
      </w:r>
      <w:r w:rsidR="00B102FF" w:rsidRPr="00C43350">
        <w:t xml:space="preserve"> </w:t>
      </w:r>
      <w:r w:rsidRPr="00C43350">
        <w:t>22</w:t>
      </w:r>
      <w:r w:rsidR="00B102FF">
        <w:t> </w:t>
      </w:r>
      <w:r w:rsidRPr="00C43350">
        <w:t>mg neomycin/</w:t>
      </w:r>
      <w:r w:rsidR="00031F04" w:rsidRPr="00C43350">
        <w:t>kg</w:t>
      </w:r>
      <w:r w:rsidR="00031F04">
        <w:t> </w:t>
      </w:r>
      <w:proofErr w:type="spellStart"/>
      <w:r w:rsidR="00031F04">
        <w:t>bw</w:t>
      </w:r>
      <w:proofErr w:type="spellEnd"/>
      <w:r w:rsidRPr="00C43350">
        <w:t>/day. Medicated feed is to be used for 3</w:t>
      </w:r>
      <w:r w:rsidR="00B102FF">
        <w:t> </w:t>
      </w:r>
      <w:r w:rsidRPr="00C43350">
        <w:t>to</w:t>
      </w:r>
      <w:r w:rsidR="00B102FF">
        <w:t> </w:t>
      </w:r>
      <w:r w:rsidRPr="00C43350">
        <w:t xml:space="preserve">5 days for the treatment of bacterial scours in poultry, </w:t>
      </w:r>
      <w:proofErr w:type="gramStart"/>
      <w:r w:rsidRPr="00C43350">
        <w:t>pigs</w:t>
      </w:r>
      <w:proofErr w:type="gramEnd"/>
      <w:r w:rsidRPr="00C43350">
        <w:t xml:space="preserve"> and cattle.</w:t>
      </w:r>
    </w:p>
    <w:p w14:paraId="4B6B41F0" w14:textId="4BFDDDAE" w:rsidR="005D5931" w:rsidRPr="00C43350" w:rsidRDefault="0045671C" w:rsidP="00C43350">
      <w:pPr>
        <w:pStyle w:val="APVMAText"/>
      </w:pPr>
      <w:r w:rsidRPr="00C43350">
        <w:t>P</w:t>
      </w:r>
      <w:r w:rsidR="005D5931" w:rsidRPr="00C43350">
        <w:t>owdered feed additives are mixed with feed prior to blending into larger quantities</w:t>
      </w:r>
      <w:r w:rsidR="00EB2BC3" w:rsidRPr="00C43350">
        <w:t>.</w:t>
      </w:r>
      <w:r w:rsidR="005D5931" w:rsidRPr="00C43350">
        <w:t xml:space="preserve"> </w:t>
      </w:r>
      <w:r w:rsidR="00EB2BC3" w:rsidRPr="00C43350">
        <w:t>T</w:t>
      </w:r>
      <w:r w:rsidR="005D5931" w:rsidRPr="00C43350">
        <w:t>here is potential for inhalational exposure to the neomycin powder, as well as limited dermal exposure during mixing of the feed. Given the medicated feed is to be provided for 3 to 5 days, it is considered possible that the entire batch of feed may be mixed on a single occasion.</w:t>
      </w:r>
    </w:p>
    <w:p w14:paraId="22EE3298" w14:textId="08425358" w:rsidR="005D5931" w:rsidRPr="00C43350" w:rsidRDefault="005D5931" w:rsidP="00C43350">
      <w:pPr>
        <w:pStyle w:val="APVMAText"/>
      </w:pPr>
      <w:r w:rsidRPr="00C43350">
        <w:t xml:space="preserve">Maximum exposure is considered likely to be associated with the treatment of </w:t>
      </w:r>
      <w:proofErr w:type="gramStart"/>
      <w:r w:rsidRPr="00C43350">
        <w:t>a large number of</w:t>
      </w:r>
      <w:proofErr w:type="gramEnd"/>
      <w:r w:rsidRPr="00C43350">
        <w:t xml:space="preserve"> cattle, based on quantity of neomycin required for their average bodyweight. At the maximum dose of 22</w:t>
      </w:r>
      <w:r w:rsidR="00B102FF">
        <w:t> </w:t>
      </w:r>
      <w:r w:rsidR="00031F04" w:rsidRPr="00C43350">
        <w:t>mg</w:t>
      </w:r>
      <w:r w:rsidR="00031F04">
        <w:t> </w:t>
      </w:r>
      <w:r w:rsidRPr="00C43350">
        <w:t>neomycin/</w:t>
      </w:r>
      <w:r w:rsidR="00031F04" w:rsidRPr="00C43350">
        <w:t>kg</w:t>
      </w:r>
      <w:r w:rsidR="00031F04">
        <w:t> </w:t>
      </w:r>
      <w:proofErr w:type="spellStart"/>
      <w:r w:rsidR="00031F04">
        <w:t>bw</w:t>
      </w:r>
      <w:proofErr w:type="spellEnd"/>
      <w:r w:rsidRPr="00C43350">
        <w:t>/day, adult cattle may receive up to 15.4</w:t>
      </w:r>
      <w:r w:rsidR="00B102FF">
        <w:t> </w:t>
      </w:r>
      <w:r w:rsidRPr="00C43350">
        <w:t>g of neomycin.</w:t>
      </w:r>
      <w:bookmarkEnd w:id="52"/>
      <w:r w:rsidRPr="00C43350">
        <w:t xml:space="preserve"> It is considered possible that an individual may mix feed for 5 days of treatment on a single occasion. The maximum number of cattle considered likely to be treated with this treated food is 200, leading to a possible maximum exposure of 15.4</w:t>
      </w:r>
      <w:r w:rsidR="00B102FF">
        <w:t> </w:t>
      </w:r>
      <w:r w:rsidRPr="00C43350">
        <w:t>kg on a single day (15.4</w:t>
      </w:r>
      <w:r w:rsidR="00B102FF">
        <w:t> </w:t>
      </w:r>
      <w:r w:rsidRPr="00C43350">
        <w:t xml:space="preserve">g </w:t>
      </w:r>
      <w:r w:rsidR="000A762C">
        <w:t>×</w:t>
      </w:r>
      <w:r w:rsidRPr="00C43350">
        <w:t xml:space="preserve"> 5</w:t>
      </w:r>
      <w:r w:rsidR="00B102FF">
        <w:t> </w:t>
      </w:r>
      <w:r w:rsidRPr="00C43350">
        <w:t xml:space="preserve">day </w:t>
      </w:r>
      <w:r w:rsidR="000A762C">
        <w:t>×</w:t>
      </w:r>
      <w:r w:rsidRPr="00C43350">
        <w:t xml:space="preserve"> 200 animals).</w:t>
      </w:r>
    </w:p>
    <w:p w14:paraId="51720E32" w14:textId="421F3EDB" w:rsidR="005D5931" w:rsidRPr="00C43350" w:rsidRDefault="005D5931" w:rsidP="00C43350">
      <w:pPr>
        <w:pStyle w:val="APVMAText"/>
      </w:pPr>
      <w:proofErr w:type="gramStart"/>
      <w:r w:rsidRPr="00C43350">
        <w:t>The majority of</w:t>
      </w:r>
      <w:proofErr w:type="gramEnd"/>
      <w:r w:rsidRPr="00C43350">
        <w:t xml:space="preserve"> exposure resulting from mixing treated feed is considered likely to result from inhalation of released dust particles, with dermal exposure considered to be minimal. Neomycin powder formulations are likely to have at least 75% of the formulation in the inhalable fraction with particles &lt;10</w:t>
      </w:r>
      <w:r w:rsidR="00B102FF">
        <w:t> </w:t>
      </w:r>
      <w:r w:rsidRPr="00C43350">
        <w:t>µm. Based on estimates of unit exposure derived from the properties of the dry flowable powder of 19.7</w:t>
      </w:r>
      <w:r w:rsidR="00B102FF">
        <w:t> </w:t>
      </w:r>
      <w:r w:rsidRPr="00C43350">
        <w:t>µg/kg active constituent, handing 15.4</w:t>
      </w:r>
      <w:r w:rsidR="00B102FF">
        <w:t> </w:t>
      </w:r>
      <w:r w:rsidRPr="00C43350">
        <w:t>kg would lead to a total exposure of 304</w:t>
      </w:r>
      <w:r w:rsidR="00B102FF">
        <w:t> </w:t>
      </w:r>
      <w:r w:rsidRPr="00C43350">
        <w:t xml:space="preserve">µg per day. Assuming an inhalation absorption factor of </w:t>
      </w:r>
      <w:r w:rsidR="00031F04">
        <w:t>one</w:t>
      </w:r>
      <w:r w:rsidRPr="00C43350">
        <w:t>, and a bodyweight of 80</w:t>
      </w:r>
      <w:r w:rsidR="00B102FF">
        <w:t> </w:t>
      </w:r>
      <w:r w:rsidRPr="00C43350">
        <w:t>kg, this would lead to a total daily exposure of 3.8</w:t>
      </w:r>
      <w:r w:rsidR="00B102FF">
        <w:t> </w:t>
      </w:r>
      <w:r w:rsidRPr="00C43350">
        <w:t>µg/kg</w:t>
      </w:r>
      <w:r w:rsidR="00B102FF">
        <w:t> </w:t>
      </w:r>
      <w:proofErr w:type="spellStart"/>
      <w:r w:rsidRPr="00C43350">
        <w:t>bw</w:t>
      </w:r>
      <w:proofErr w:type="spellEnd"/>
      <w:r w:rsidRPr="00C43350">
        <w:t>/day.</w:t>
      </w:r>
    </w:p>
    <w:p w14:paraId="128E8991" w14:textId="69DB0E18" w:rsidR="005D5931" w:rsidRPr="00C43350" w:rsidRDefault="005D5931" w:rsidP="00C43350">
      <w:pPr>
        <w:pStyle w:val="APVMAText"/>
      </w:pPr>
      <w:r w:rsidRPr="00C43350">
        <w:t>The systemic dose achieved from the oral NOAEL is estimated to be 0.036</w:t>
      </w:r>
      <w:r w:rsidR="00B102FF">
        <w:t> </w:t>
      </w:r>
      <w:r w:rsidRPr="00C43350">
        <w:t>mg/</w:t>
      </w:r>
      <w:r w:rsidR="00031F04" w:rsidRPr="00C43350">
        <w:t>kg</w:t>
      </w:r>
      <w:r w:rsidR="00031F04">
        <w:t> </w:t>
      </w:r>
      <w:proofErr w:type="spellStart"/>
      <w:r w:rsidRPr="00C43350">
        <w:t>bw</w:t>
      </w:r>
      <w:proofErr w:type="spellEnd"/>
      <w:r w:rsidRPr="00C43350">
        <w:t>/day (0.6% of 6</w:t>
      </w:r>
      <w:r w:rsidR="00B102FF">
        <w:t> </w:t>
      </w:r>
      <w:r w:rsidRPr="00C43350">
        <w:t>mg/kg</w:t>
      </w:r>
      <w:r w:rsidR="00B102FF">
        <w:t> </w:t>
      </w:r>
      <w:proofErr w:type="spellStart"/>
      <w:r w:rsidRPr="00C43350">
        <w:t>bw</w:t>
      </w:r>
      <w:proofErr w:type="spellEnd"/>
      <w:r w:rsidRPr="00C43350">
        <w:t>/day). This estimated exposure of 3.8</w:t>
      </w:r>
      <w:r w:rsidR="00B102FF">
        <w:t> </w:t>
      </w:r>
      <w:r w:rsidRPr="00C43350">
        <w:t xml:space="preserve">µg/kg </w:t>
      </w:r>
      <w:proofErr w:type="spellStart"/>
      <w:r w:rsidRPr="00C43350">
        <w:t>bw</w:t>
      </w:r>
      <w:proofErr w:type="spellEnd"/>
      <w:r w:rsidRPr="00C43350">
        <w:t>/day, or 0.</w:t>
      </w:r>
      <w:r w:rsidR="00031F04" w:rsidRPr="00C43350">
        <w:t>0036</w:t>
      </w:r>
      <w:r w:rsidR="00031F04">
        <w:t> </w:t>
      </w:r>
      <w:r w:rsidRPr="00C43350">
        <w:t>mg/</w:t>
      </w:r>
      <w:r w:rsidR="00031F04" w:rsidRPr="00C43350">
        <w:t>kg</w:t>
      </w:r>
      <w:r w:rsidR="00031F04">
        <w:t> </w:t>
      </w:r>
      <w:proofErr w:type="spellStart"/>
      <w:r w:rsidRPr="00C43350">
        <w:t>bw</w:t>
      </w:r>
      <w:proofErr w:type="spellEnd"/>
      <w:r w:rsidRPr="00C43350">
        <w:t>/day, is only 10-fold lower than the point of departure. However, it is noted that neomycin is used therapeutically in humans, with systemic doses achieved during therapeutic use of several orders of magnitude higher than the worst</w:t>
      </w:r>
      <w:r w:rsidR="001116A2" w:rsidRPr="00C43350">
        <w:t>-</w:t>
      </w:r>
      <w:r w:rsidRPr="00C43350">
        <w:t xml:space="preserve">case dose anticipated during occupational use. On this basis, personal protective equipment to reduced systemic exposure is not required. However, based on good operational practice, the use of a dust mask when handling powder formulations is recommended. It is also considered that there is a potential for powdered formulations to irritate the eyes based on their physical properties. The statement </w:t>
      </w:r>
      <w:r w:rsidRPr="0057686F">
        <w:rPr>
          <w:i/>
          <w:iCs/>
        </w:rPr>
        <w:t xml:space="preserve">‘May irritate the eyes. Avoid contact with eyes’ </w:t>
      </w:r>
      <w:r w:rsidRPr="00C43350">
        <w:t>is recommended, and it is also recommended that the safety direction</w:t>
      </w:r>
      <w:r w:rsidR="00E9120B" w:rsidRPr="00C43350">
        <w:t xml:space="preserve">s </w:t>
      </w:r>
      <w:r w:rsidR="00092592" w:rsidRPr="0057686F">
        <w:rPr>
          <w:i/>
          <w:iCs/>
        </w:rPr>
        <w:t>‘</w:t>
      </w:r>
      <w:r w:rsidR="00E9120B" w:rsidRPr="0057686F">
        <w:rPr>
          <w:i/>
          <w:iCs/>
        </w:rPr>
        <w:t>When using the product, wear a disposable dust mask covering the nose and mouth</w:t>
      </w:r>
      <w:r w:rsidR="00092592" w:rsidRPr="0057686F">
        <w:rPr>
          <w:i/>
          <w:iCs/>
        </w:rPr>
        <w:t>’</w:t>
      </w:r>
      <w:r w:rsidR="00092592" w:rsidRPr="00C43350">
        <w:t xml:space="preserve"> </w:t>
      </w:r>
      <w:r w:rsidR="00E9120B" w:rsidRPr="00C43350">
        <w:t xml:space="preserve">and </w:t>
      </w:r>
      <w:r w:rsidR="00092592" w:rsidRPr="0057686F">
        <w:rPr>
          <w:i/>
          <w:iCs/>
        </w:rPr>
        <w:t>‘</w:t>
      </w:r>
      <w:r w:rsidRPr="0057686F">
        <w:rPr>
          <w:i/>
          <w:iCs/>
        </w:rPr>
        <w:t>Wash hands after use</w:t>
      </w:r>
      <w:r w:rsidR="00092592" w:rsidRPr="0057686F">
        <w:rPr>
          <w:i/>
          <w:iCs/>
        </w:rPr>
        <w:t xml:space="preserve">’ </w:t>
      </w:r>
      <w:r w:rsidRPr="00C43350">
        <w:t>be included on the product labels for feed additive powder formulations.</w:t>
      </w:r>
    </w:p>
    <w:p w14:paraId="2BF32D02" w14:textId="77777777" w:rsidR="005D5931" w:rsidRPr="00C43350" w:rsidRDefault="005D5931" w:rsidP="00C43350">
      <w:pPr>
        <w:pStyle w:val="Heading3"/>
      </w:pPr>
      <w:bookmarkStart w:id="53" w:name="_Toc158818249"/>
      <w:r w:rsidRPr="00C43350">
        <w:t>Oral suspension and tablets</w:t>
      </w:r>
      <w:bookmarkEnd w:id="53"/>
    </w:p>
    <w:p w14:paraId="00138B16" w14:textId="3542307F" w:rsidR="005D5931" w:rsidRPr="00C43350" w:rsidRDefault="005D5931" w:rsidP="00C43350">
      <w:pPr>
        <w:pStyle w:val="APVMAText"/>
      </w:pPr>
      <w:r w:rsidRPr="00C43350">
        <w:t xml:space="preserve">Neomycin </w:t>
      </w:r>
      <w:proofErr w:type="spellStart"/>
      <w:r w:rsidRPr="00C43350">
        <w:t>sulfate</w:t>
      </w:r>
      <w:proofErr w:type="spellEnd"/>
      <w:r w:rsidRPr="00C43350">
        <w:t xml:space="preserve"> is present in oral suspension formulations in combination with </w:t>
      </w:r>
      <w:proofErr w:type="gramStart"/>
      <w:r w:rsidRPr="00C43350">
        <w:t>a number of</w:t>
      </w:r>
      <w:proofErr w:type="gramEnd"/>
      <w:r w:rsidRPr="00C43350">
        <w:t xml:space="preserve"> other substances to assist in rehydration for the treatment of diarrhoea and gastroenteritis and scour/pneumonia complex in a range of species. Products are administered orally at 2</w:t>
      </w:r>
      <w:r w:rsidR="00B102FF">
        <w:t> </w:t>
      </w:r>
      <w:r w:rsidRPr="00C43350">
        <w:t>mL/3</w:t>
      </w:r>
      <w:r w:rsidR="00B102FF">
        <w:t> </w:t>
      </w:r>
      <w:r w:rsidRPr="00C43350">
        <w:t>kg in small animals, and 30</w:t>
      </w:r>
      <w:r w:rsidR="00B102FF">
        <w:t> </w:t>
      </w:r>
      <w:r w:rsidRPr="00C43350">
        <w:t>mL (54 mg</w:t>
      </w:r>
      <w:r w:rsidR="00B102FF">
        <w:t> </w:t>
      </w:r>
      <w:r w:rsidRPr="00C43350">
        <w:t xml:space="preserve">neomycin </w:t>
      </w:r>
      <w:proofErr w:type="spellStart"/>
      <w:r w:rsidRPr="00C43350">
        <w:t>sulfate</w:t>
      </w:r>
      <w:proofErr w:type="spellEnd"/>
      <w:r w:rsidR="00B102FF" w:rsidRPr="00C43350">
        <w:t>)</w:t>
      </w:r>
      <w:r w:rsidR="0070626B">
        <w:t xml:space="preserve"> </w:t>
      </w:r>
      <w:r w:rsidR="00B102FF">
        <w:t xml:space="preserve">per </w:t>
      </w:r>
      <w:r w:rsidRPr="00C43350">
        <w:t>25</w:t>
      </w:r>
      <w:r w:rsidR="00B102FF">
        <w:t> </w:t>
      </w:r>
      <w:r w:rsidRPr="00C43350">
        <w:t>kg in calves and horses, given twice daily. Treatment is given for a</w:t>
      </w:r>
      <w:r w:rsidR="00B102FF">
        <w:t xml:space="preserve"> </w:t>
      </w:r>
      <w:r w:rsidR="00EB2BC3" w:rsidRPr="00C43350">
        <w:t>3-</w:t>
      </w:r>
      <w:r w:rsidR="00B102FF">
        <w:t xml:space="preserve"> </w:t>
      </w:r>
      <w:r w:rsidR="00EB2BC3" w:rsidRPr="00C43350">
        <w:t>to</w:t>
      </w:r>
      <w:r w:rsidR="00644AD6">
        <w:t xml:space="preserve"> </w:t>
      </w:r>
      <w:r w:rsidR="00EB2BC3" w:rsidRPr="00C43350">
        <w:t>5-</w:t>
      </w:r>
      <w:r w:rsidR="00644AD6">
        <w:t> d</w:t>
      </w:r>
      <w:r w:rsidR="00EB2BC3" w:rsidRPr="00C43350">
        <w:t>ay</w:t>
      </w:r>
      <w:r w:rsidRPr="00C43350">
        <w:t xml:space="preserve"> period.</w:t>
      </w:r>
    </w:p>
    <w:p w14:paraId="7E8C581F" w14:textId="11ADFF64" w:rsidR="005D5931" w:rsidRPr="00C43350" w:rsidRDefault="005D5931" w:rsidP="00C43350">
      <w:pPr>
        <w:pStyle w:val="APVMAText"/>
      </w:pPr>
      <w:r w:rsidRPr="00C43350">
        <w:t>A tablet formulation is also available containing 250</w:t>
      </w:r>
      <w:r w:rsidR="00B102FF">
        <w:t> </w:t>
      </w:r>
      <w:r w:rsidRPr="00C43350">
        <w:t xml:space="preserve">mg neomycin </w:t>
      </w:r>
      <w:proofErr w:type="spellStart"/>
      <w:r w:rsidRPr="00C43350">
        <w:t>sulfate</w:t>
      </w:r>
      <w:proofErr w:type="spellEnd"/>
      <w:r w:rsidRPr="00C43350">
        <w:t>/tablet, to be dose at one tablet per 35</w:t>
      </w:r>
      <w:r w:rsidR="00B102FF">
        <w:t> </w:t>
      </w:r>
      <w:r w:rsidRPr="00C43350">
        <w:t xml:space="preserve">kg </w:t>
      </w:r>
      <w:proofErr w:type="spellStart"/>
      <w:r w:rsidR="00D76256" w:rsidRPr="00C43350">
        <w:t>b</w:t>
      </w:r>
      <w:r w:rsidR="00D76256">
        <w:t>w</w:t>
      </w:r>
      <w:proofErr w:type="spellEnd"/>
      <w:r w:rsidRPr="00C43350">
        <w:t>, administered twice daily.</w:t>
      </w:r>
    </w:p>
    <w:p w14:paraId="2FF30AA5" w14:textId="51A54D8D" w:rsidR="005D5931" w:rsidRPr="00C43350" w:rsidRDefault="005D5931" w:rsidP="00C43350">
      <w:pPr>
        <w:pStyle w:val="APVMAText"/>
      </w:pPr>
      <w:r w:rsidRPr="00C43350">
        <w:lastRenderedPageBreak/>
        <w:t>As these products are administered directly, there is limited potential for inhalation exposure, and dermal exposure is also anticipated to be negligible.</w:t>
      </w:r>
    </w:p>
    <w:p w14:paraId="12209623" w14:textId="0101E750" w:rsidR="005D5931" w:rsidRPr="00C43350" w:rsidRDefault="005D5931" w:rsidP="00C43350">
      <w:pPr>
        <w:pStyle w:val="APVMAText"/>
      </w:pPr>
      <w:r w:rsidRPr="00C43350">
        <w:t xml:space="preserve">It is recommended that the safety direction </w:t>
      </w:r>
      <w:r w:rsidR="00092592" w:rsidRPr="0057686F">
        <w:rPr>
          <w:i/>
          <w:iCs/>
        </w:rPr>
        <w:t>‘</w:t>
      </w:r>
      <w:r w:rsidRPr="0057686F">
        <w:rPr>
          <w:i/>
          <w:iCs/>
        </w:rPr>
        <w:t>Wash hands after use</w:t>
      </w:r>
      <w:r w:rsidR="00092592" w:rsidRPr="0057686F">
        <w:rPr>
          <w:i/>
          <w:iCs/>
        </w:rPr>
        <w:t>’</w:t>
      </w:r>
      <w:r w:rsidR="00092592" w:rsidRPr="00C43350">
        <w:t xml:space="preserve"> </w:t>
      </w:r>
      <w:r w:rsidRPr="00C43350">
        <w:t>be included on the product labels for both the oral suspension and tablet formulations for direct treatment of animals.</w:t>
      </w:r>
    </w:p>
    <w:p w14:paraId="51FAD564" w14:textId="77777777" w:rsidR="005D5931" w:rsidRPr="00C43350" w:rsidRDefault="005D5931" w:rsidP="00C43350">
      <w:pPr>
        <w:pStyle w:val="Heading3"/>
      </w:pPr>
      <w:bookmarkStart w:id="54" w:name="_Toc158818250"/>
      <w:r w:rsidRPr="00C43350">
        <w:t>Solution for injection</w:t>
      </w:r>
      <w:bookmarkEnd w:id="54"/>
    </w:p>
    <w:p w14:paraId="0E401D22" w14:textId="162DFDEE" w:rsidR="005D5931" w:rsidRPr="00C43350" w:rsidRDefault="005D5931" w:rsidP="00C43350">
      <w:pPr>
        <w:pStyle w:val="APVMAText"/>
      </w:pPr>
      <w:r w:rsidRPr="00C43350">
        <w:t xml:space="preserve">Neomycin </w:t>
      </w:r>
      <w:proofErr w:type="spellStart"/>
      <w:r w:rsidRPr="00C43350">
        <w:t>sulfate</w:t>
      </w:r>
      <w:proofErr w:type="spellEnd"/>
      <w:r w:rsidRPr="00C43350">
        <w:t xml:space="preserve"> is available as solution for injections, either </w:t>
      </w:r>
      <w:r w:rsidR="001B3EE3" w:rsidRPr="00C43350">
        <w:t xml:space="preserve">as the </w:t>
      </w:r>
      <w:r w:rsidR="009C3C7F" w:rsidRPr="00C43350">
        <w:t>sole</w:t>
      </w:r>
      <w:r w:rsidR="001B3EE3" w:rsidRPr="00C43350">
        <w:t xml:space="preserve"> active constituent </w:t>
      </w:r>
      <w:r w:rsidRPr="00C43350">
        <w:t xml:space="preserve">or in combination with procaine penicillin. In horses, cattle, sheep and pigs, neomycin </w:t>
      </w:r>
      <w:proofErr w:type="spellStart"/>
      <w:r w:rsidRPr="00C43350">
        <w:t>sulfate</w:t>
      </w:r>
      <w:proofErr w:type="spellEnd"/>
      <w:r w:rsidRPr="00C43350">
        <w:t xml:space="preserve"> is administered at up to 5</w:t>
      </w:r>
      <w:r w:rsidR="00B102FF">
        <w:t> </w:t>
      </w:r>
      <w:r w:rsidRPr="00C43350">
        <w:t>mg/kg</w:t>
      </w:r>
      <w:r w:rsidR="00B102FF">
        <w:t> </w:t>
      </w:r>
      <w:proofErr w:type="spellStart"/>
      <w:r w:rsidR="00031F04">
        <w:t>bw</w:t>
      </w:r>
      <w:proofErr w:type="spellEnd"/>
      <w:r w:rsidRPr="00C43350">
        <w:t>, either 2 or 3 times per day. In dogs and cats, it is administered at 10</w:t>
      </w:r>
      <w:r w:rsidR="00B102FF">
        <w:t> </w:t>
      </w:r>
      <w:r w:rsidRPr="00C43350">
        <w:t>mg/</w:t>
      </w:r>
      <w:r w:rsidR="00031F04" w:rsidRPr="00C43350">
        <w:t>kg</w:t>
      </w:r>
      <w:r w:rsidR="00031F04">
        <w:t> </w:t>
      </w:r>
      <w:proofErr w:type="spellStart"/>
      <w:r w:rsidR="00031F04">
        <w:t>bw</w:t>
      </w:r>
      <w:proofErr w:type="spellEnd"/>
      <w:r w:rsidR="00031F04" w:rsidRPr="00C43350">
        <w:t xml:space="preserve"> </w:t>
      </w:r>
      <w:r w:rsidRPr="00C43350">
        <w:t>daily, in divided doses.</w:t>
      </w:r>
    </w:p>
    <w:p w14:paraId="3DA4B944" w14:textId="19FFEA73" w:rsidR="005D5931" w:rsidRPr="00C43350" w:rsidRDefault="005D5931" w:rsidP="00C43350">
      <w:pPr>
        <w:pStyle w:val="APVMAText"/>
      </w:pPr>
      <w:r w:rsidRPr="00C43350">
        <w:t>There is not anticipated to be dermal exposure related to the administration of an injectable solution to animals. The highest risk associated with these products is that associated with needle stick injury. Additional precautions to minimise the risk of needle stick injury, such as the use of protective gloves, are not considered necessary, given the use of neomycin as a human therapeutic.</w:t>
      </w:r>
    </w:p>
    <w:p w14:paraId="16B6B4EE" w14:textId="6C87AE29" w:rsidR="00E9120B" w:rsidRPr="00C43350" w:rsidRDefault="00E9120B" w:rsidP="00C43350">
      <w:pPr>
        <w:pStyle w:val="APVMAText"/>
      </w:pPr>
      <w:r w:rsidRPr="00C43350">
        <w:t xml:space="preserve">It is recommended that the safety direction: </w:t>
      </w:r>
      <w:r w:rsidR="00092592" w:rsidRPr="0057686F">
        <w:rPr>
          <w:i/>
          <w:iCs/>
        </w:rPr>
        <w:t>‘</w:t>
      </w:r>
      <w:r w:rsidRPr="0057686F">
        <w:rPr>
          <w:i/>
          <w:iCs/>
        </w:rPr>
        <w:t>Wash hands after use</w:t>
      </w:r>
      <w:r w:rsidR="00092592" w:rsidRPr="0057686F">
        <w:rPr>
          <w:i/>
          <w:iCs/>
        </w:rPr>
        <w:t>’</w:t>
      </w:r>
      <w:r w:rsidR="00092592" w:rsidRPr="00C43350">
        <w:t xml:space="preserve"> </w:t>
      </w:r>
      <w:r w:rsidRPr="00C43350">
        <w:t>be included on the product labels for injectable formulations for direct treatment of animals.</w:t>
      </w:r>
    </w:p>
    <w:p w14:paraId="66C9F5F8" w14:textId="77777777" w:rsidR="005D5931" w:rsidRPr="00C43350" w:rsidRDefault="005D5931" w:rsidP="00C43350">
      <w:pPr>
        <w:pStyle w:val="Heading3"/>
      </w:pPr>
      <w:bookmarkStart w:id="55" w:name="_Toc158818251"/>
      <w:r w:rsidRPr="00C43350">
        <w:t>Intramammary preparation</w:t>
      </w:r>
      <w:bookmarkEnd w:id="55"/>
    </w:p>
    <w:p w14:paraId="05D7ED1E" w14:textId="60B31E8B" w:rsidR="005D5931" w:rsidRPr="00C43350" w:rsidRDefault="005D5931" w:rsidP="00C43350">
      <w:pPr>
        <w:pStyle w:val="APVMAText"/>
      </w:pPr>
      <w:proofErr w:type="gramStart"/>
      <w:r w:rsidRPr="00C43350">
        <w:t>A number of</w:t>
      </w:r>
      <w:proofErr w:type="gramEnd"/>
      <w:r w:rsidRPr="00C43350">
        <w:t xml:space="preserve"> products containing neomycin </w:t>
      </w:r>
      <w:proofErr w:type="spellStart"/>
      <w:r w:rsidRPr="00C43350">
        <w:t>sulfate</w:t>
      </w:r>
      <w:proofErr w:type="spellEnd"/>
      <w:r w:rsidRPr="00C43350">
        <w:t xml:space="preserve"> in combination with other antibiotics are available for the treatment of mastitis in cattle. Exposure from the use of these products will be primarily dermal, and systemic exposure to those administering the preparations is anticipated to be below levels of concern.</w:t>
      </w:r>
    </w:p>
    <w:p w14:paraId="5FD6A4A2" w14:textId="7807C726" w:rsidR="00853764" w:rsidRDefault="005D5931" w:rsidP="00853764">
      <w:pPr>
        <w:pStyle w:val="APVMAText"/>
      </w:pPr>
      <w:r w:rsidRPr="00C43350">
        <w:t xml:space="preserve">It is recommended that the safety direction: </w:t>
      </w:r>
      <w:r w:rsidR="00092592" w:rsidRPr="0057686F">
        <w:rPr>
          <w:i/>
          <w:iCs/>
        </w:rPr>
        <w:t>‘</w:t>
      </w:r>
      <w:r w:rsidRPr="0057686F">
        <w:rPr>
          <w:i/>
          <w:iCs/>
        </w:rPr>
        <w:t>Wash hands after use</w:t>
      </w:r>
      <w:r w:rsidR="00092592" w:rsidRPr="0057686F">
        <w:rPr>
          <w:i/>
          <w:iCs/>
        </w:rPr>
        <w:t>’</w:t>
      </w:r>
      <w:r w:rsidR="00092592" w:rsidRPr="00C43350">
        <w:t xml:space="preserve"> </w:t>
      </w:r>
      <w:r w:rsidRPr="00C43350">
        <w:t>be included on the product labels for intramammary preparations.</w:t>
      </w:r>
      <w:bookmarkStart w:id="56" w:name="_Toc144468311"/>
      <w:r w:rsidR="00853764">
        <w:br w:type="page"/>
      </w:r>
    </w:p>
    <w:p w14:paraId="5CA3BB53" w14:textId="7724F4F7" w:rsidR="00AA5DC7" w:rsidRPr="00853764" w:rsidRDefault="00AA5DC7" w:rsidP="00853764">
      <w:pPr>
        <w:pStyle w:val="Heading2"/>
      </w:pPr>
      <w:bookmarkStart w:id="57" w:name="_Toc158818252"/>
      <w:r w:rsidRPr="00853764">
        <w:lastRenderedPageBreak/>
        <w:t>Recommendations</w:t>
      </w:r>
      <w:bookmarkEnd w:id="56"/>
      <w:bookmarkEnd w:id="57"/>
    </w:p>
    <w:p w14:paraId="7FCDA161" w14:textId="72A3D9BB" w:rsidR="00B102FF" w:rsidRDefault="005D5931" w:rsidP="00853764">
      <w:pPr>
        <w:pStyle w:val="APVMAText"/>
        <w:keepNext/>
        <w:keepLines/>
      </w:pPr>
      <w:r>
        <w:t>Although human health including worker health and safety were not formally included in the scope of this reconsideration</w:t>
      </w:r>
      <w:r w:rsidR="000654D7">
        <w:t>,</w:t>
      </w:r>
      <w:r>
        <w:t xml:space="preserve"> t</w:t>
      </w:r>
      <w:r w:rsidRPr="00F86BE4">
        <w:t>he following first aid</w:t>
      </w:r>
      <w:r w:rsidR="000654D7">
        <w:t xml:space="preserve"> instructions</w:t>
      </w:r>
      <w:r w:rsidRPr="00F86BE4">
        <w:t xml:space="preserve"> and safety directions are recommended for neomycin formulations. These recommendations will be included in the First Aid and Safety Direction Handbook</w:t>
      </w:r>
      <w:r w:rsidR="00047811">
        <w:t>.</w:t>
      </w:r>
    </w:p>
    <w:p w14:paraId="6B675A89" w14:textId="4F6F30EF" w:rsidR="00E9120B" w:rsidRDefault="00E9120B" w:rsidP="00853764">
      <w:pPr>
        <w:pStyle w:val="Heading3"/>
      </w:pPr>
      <w:bookmarkStart w:id="58" w:name="_Toc158818253"/>
      <w:r w:rsidRPr="00C43350">
        <w:t xml:space="preserve">First </w:t>
      </w:r>
      <w:r w:rsidR="00B102FF">
        <w:t>a</w:t>
      </w:r>
      <w:r w:rsidRPr="00C43350">
        <w:t xml:space="preserve">id </w:t>
      </w:r>
      <w:r w:rsidR="00B102FF">
        <w:t>i</w:t>
      </w:r>
      <w:r w:rsidRPr="00C43350">
        <w:t>nstructions</w:t>
      </w:r>
      <w:bookmarkEnd w:id="58"/>
    </w:p>
    <w:p w14:paraId="41EA300B" w14:textId="1D4C7BA4" w:rsidR="00853764" w:rsidRPr="00853764" w:rsidRDefault="00853764" w:rsidP="00853764">
      <w:pPr>
        <w:pStyle w:val="APVMAText"/>
      </w:pPr>
      <w:r>
        <w:t xml:space="preserve">Table 5 shows the entry for neomycin in the </w:t>
      </w:r>
      <w:r w:rsidRPr="00853764">
        <w:t xml:space="preserve">Handbook of </w:t>
      </w:r>
      <w:bookmarkStart w:id="59" w:name="_Hlk158989276"/>
      <w:r w:rsidRPr="00853764">
        <w:t>First Aid Instructions, Safety Directions, Warning Statements and General Safety Precautions for Agricultural and Veterinary Chemicals</w:t>
      </w:r>
      <w:r>
        <w:t xml:space="preserve"> (the FAISD Handbook)</w:t>
      </w:r>
      <w:bookmarkEnd w:id="59"/>
      <w:r>
        <w:t>.</w:t>
      </w:r>
    </w:p>
    <w:p w14:paraId="055D5B3F" w14:textId="1ABB83C0" w:rsidR="00AD008A" w:rsidRPr="00C43350" w:rsidRDefault="00853764" w:rsidP="00C43350">
      <w:pPr>
        <w:pStyle w:val="Caption"/>
      </w:pPr>
      <w:bookmarkStart w:id="60" w:name="_Toc158818294"/>
      <w:r>
        <w:t xml:space="preserve">Table </w:t>
      </w:r>
      <w:bookmarkStart w:id="61" w:name="_Hlk158625165"/>
      <w:r>
        <w:fldChar w:fldCharType="begin"/>
      </w:r>
      <w:r>
        <w:instrText xml:space="preserve"> SEQ Table \* ARABIC </w:instrText>
      </w:r>
      <w:r>
        <w:fldChar w:fldCharType="separate"/>
      </w:r>
      <w:bookmarkStart w:id="62" w:name="_Hlk158624643"/>
      <w:r w:rsidR="00A75CD4">
        <w:rPr>
          <w:noProof/>
        </w:rPr>
        <w:t>5</w:t>
      </w:r>
      <w:bookmarkEnd w:id="62"/>
      <w:r>
        <w:fldChar w:fldCharType="end"/>
      </w:r>
      <w:bookmarkEnd w:id="61"/>
      <w:r>
        <w:t>:</w:t>
      </w:r>
      <w:r w:rsidRPr="00C43350">
        <w:tab/>
      </w:r>
      <w:r w:rsidRPr="00853764">
        <w:t>FAISD Handbook</w:t>
      </w:r>
      <w:r w:rsidR="00AD008A" w:rsidRPr="00C43350">
        <w:t xml:space="preserve"> </w:t>
      </w:r>
      <w:r w:rsidR="00C43350">
        <w:t>–</w:t>
      </w:r>
      <w:r w:rsidR="00AD008A" w:rsidRPr="00C43350">
        <w:t xml:space="preserve"> </w:t>
      </w:r>
      <w:r w:rsidR="00B102FF">
        <w:t>e</w:t>
      </w:r>
      <w:r w:rsidR="00AD008A" w:rsidRPr="00C43350">
        <w:t xml:space="preserve">xisting </w:t>
      </w:r>
      <w:r w:rsidR="00B102FF">
        <w:t>e</w:t>
      </w:r>
      <w:r w:rsidR="00AD008A" w:rsidRPr="00C43350">
        <w:t>ntry</w:t>
      </w:r>
      <w:bookmarkEnd w:id="60"/>
    </w:p>
    <w:tbl>
      <w:tblPr>
        <w:tblW w:w="5000" w:type="pct"/>
        <w:tblBorders>
          <w:bottom w:val="dotted" w:sz="2" w:space="0" w:color="auto"/>
          <w:insideH w:val="dotted" w:sz="2" w:space="0" w:color="auto"/>
        </w:tblBorders>
        <w:tblLook w:val="01E0" w:firstRow="1" w:lastRow="1" w:firstColumn="1" w:lastColumn="1" w:noHBand="0" w:noVBand="0"/>
      </w:tblPr>
      <w:tblGrid>
        <w:gridCol w:w="1276"/>
        <w:gridCol w:w="1419"/>
        <w:gridCol w:w="2550"/>
        <w:gridCol w:w="4393"/>
      </w:tblGrid>
      <w:tr w:rsidR="000654D7" w14:paraId="6671651F" w14:textId="47C98CD6" w:rsidTr="00C43350">
        <w:trPr>
          <w:cantSplit/>
          <w:tblHeader/>
        </w:trPr>
        <w:tc>
          <w:tcPr>
            <w:tcW w:w="662" w:type="pct"/>
            <w:tcBorders>
              <w:top w:val="single" w:sz="4" w:space="0" w:color="auto"/>
              <w:bottom w:val="single" w:sz="4" w:space="0" w:color="auto"/>
            </w:tcBorders>
            <w:shd w:val="clear" w:color="auto" w:fill="5C2946"/>
          </w:tcPr>
          <w:p w14:paraId="4BA9EA3E" w14:textId="7557071B" w:rsidR="000654D7" w:rsidRPr="00C43350" w:rsidRDefault="000654D7" w:rsidP="00C43350">
            <w:pPr>
              <w:pStyle w:val="TableHead"/>
            </w:pPr>
            <w:r w:rsidRPr="00C43350">
              <w:t>Substance</w:t>
            </w:r>
          </w:p>
        </w:tc>
        <w:tc>
          <w:tcPr>
            <w:tcW w:w="736" w:type="pct"/>
            <w:tcBorders>
              <w:top w:val="single" w:sz="4" w:space="0" w:color="auto"/>
              <w:bottom w:val="single" w:sz="4" w:space="0" w:color="auto"/>
            </w:tcBorders>
            <w:shd w:val="clear" w:color="auto" w:fill="5C2946"/>
          </w:tcPr>
          <w:p w14:paraId="508C3965" w14:textId="0FB4A03A" w:rsidR="000654D7" w:rsidRPr="00C43350" w:rsidRDefault="000654D7" w:rsidP="00C43350">
            <w:pPr>
              <w:pStyle w:val="TableHead"/>
            </w:pPr>
            <w:r w:rsidRPr="00C43350">
              <w:t>Notes</w:t>
            </w:r>
          </w:p>
        </w:tc>
        <w:tc>
          <w:tcPr>
            <w:tcW w:w="1323" w:type="pct"/>
            <w:tcBorders>
              <w:top w:val="single" w:sz="4" w:space="0" w:color="auto"/>
              <w:bottom w:val="single" w:sz="4" w:space="0" w:color="auto"/>
            </w:tcBorders>
            <w:shd w:val="clear" w:color="auto" w:fill="5C2946"/>
          </w:tcPr>
          <w:p w14:paraId="2E82AE9C" w14:textId="2D68E3C4" w:rsidR="000654D7" w:rsidRPr="00C43350" w:rsidRDefault="000654D7" w:rsidP="00C43350">
            <w:pPr>
              <w:pStyle w:val="TableHead"/>
            </w:pPr>
            <w:r w:rsidRPr="00C43350">
              <w:t>First aid instructions</w:t>
            </w:r>
          </w:p>
        </w:tc>
        <w:tc>
          <w:tcPr>
            <w:tcW w:w="2279" w:type="pct"/>
            <w:tcBorders>
              <w:top w:val="single" w:sz="4" w:space="0" w:color="auto"/>
              <w:bottom w:val="single" w:sz="4" w:space="0" w:color="auto"/>
            </w:tcBorders>
            <w:shd w:val="clear" w:color="auto" w:fill="5C2946"/>
          </w:tcPr>
          <w:p w14:paraId="1A2CBAB2" w14:textId="7264E0B4" w:rsidR="000654D7" w:rsidRPr="00C43350" w:rsidRDefault="000654D7" w:rsidP="00C43350">
            <w:pPr>
              <w:pStyle w:val="TableHead"/>
            </w:pPr>
            <w:r w:rsidRPr="00C43350">
              <w:t xml:space="preserve">Warning statements </w:t>
            </w:r>
            <w:r w:rsidR="00B102FF">
              <w:t>and</w:t>
            </w:r>
            <w:r w:rsidRPr="00C43350">
              <w:t xml:space="preserve"> general safety precautions</w:t>
            </w:r>
          </w:p>
        </w:tc>
      </w:tr>
      <w:tr w:rsidR="000654D7" w14:paraId="1195FE90" w14:textId="4103070C" w:rsidTr="00C43350">
        <w:trPr>
          <w:cantSplit/>
        </w:trPr>
        <w:tc>
          <w:tcPr>
            <w:tcW w:w="662" w:type="pct"/>
            <w:tcBorders>
              <w:top w:val="single" w:sz="4" w:space="0" w:color="auto"/>
              <w:bottom w:val="single" w:sz="4" w:space="0" w:color="auto"/>
            </w:tcBorders>
          </w:tcPr>
          <w:p w14:paraId="274136EC" w14:textId="3CCB163F" w:rsidR="000654D7" w:rsidRPr="00C43350" w:rsidRDefault="000654D7" w:rsidP="00C43350">
            <w:pPr>
              <w:pStyle w:val="TableText"/>
            </w:pPr>
            <w:r w:rsidRPr="00C43350">
              <w:t>Neomycin</w:t>
            </w:r>
          </w:p>
        </w:tc>
        <w:tc>
          <w:tcPr>
            <w:tcW w:w="736" w:type="pct"/>
            <w:tcBorders>
              <w:top w:val="single" w:sz="4" w:space="0" w:color="auto"/>
              <w:bottom w:val="single" w:sz="4" w:space="0" w:color="auto"/>
            </w:tcBorders>
          </w:tcPr>
          <w:p w14:paraId="0BE4BB5A" w14:textId="680778D1" w:rsidR="000654D7" w:rsidRPr="00C43350" w:rsidRDefault="000654D7" w:rsidP="00C43350">
            <w:pPr>
              <w:pStyle w:val="TableText"/>
            </w:pPr>
          </w:p>
        </w:tc>
        <w:tc>
          <w:tcPr>
            <w:tcW w:w="1323" w:type="pct"/>
            <w:tcBorders>
              <w:top w:val="single" w:sz="4" w:space="0" w:color="auto"/>
              <w:bottom w:val="single" w:sz="4" w:space="0" w:color="auto"/>
            </w:tcBorders>
          </w:tcPr>
          <w:p w14:paraId="60F42756" w14:textId="56214341" w:rsidR="000654D7" w:rsidRPr="00C43350" w:rsidRDefault="000654D7" w:rsidP="00C43350">
            <w:pPr>
              <w:pStyle w:val="TableText"/>
            </w:pPr>
            <w:r w:rsidRPr="00C43350">
              <w:t>a</w:t>
            </w:r>
          </w:p>
        </w:tc>
        <w:tc>
          <w:tcPr>
            <w:tcW w:w="2279" w:type="pct"/>
            <w:tcBorders>
              <w:top w:val="single" w:sz="4" w:space="0" w:color="auto"/>
              <w:bottom w:val="single" w:sz="4" w:space="0" w:color="auto"/>
            </w:tcBorders>
          </w:tcPr>
          <w:p w14:paraId="2C321CAB" w14:textId="77777777" w:rsidR="000654D7" w:rsidRPr="00C43350" w:rsidRDefault="000654D7" w:rsidP="00C43350">
            <w:pPr>
              <w:pStyle w:val="TableText"/>
            </w:pPr>
          </w:p>
        </w:tc>
      </w:tr>
    </w:tbl>
    <w:p w14:paraId="5F5307B6" w14:textId="095E40DE" w:rsidR="00E9120B" w:rsidRPr="00D32FE1" w:rsidRDefault="00E9120B" w:rsidP="00C43350">
      <w:pPr>
        <w:pStyle w:val="APVMAText"/>
      </w:pPr>
      <w:r w:rsidRPr="00D32FE1">
        <w:t xml:space="preserve">The code </w:t>
      </w:r>
      <w:r w:rsidR="002924AC">
        <w:t xml:space="preserve">‘a’ in Table 5 </w:t>
      </w:r>
      <w:r w:rsidRPr="00D32FE1">
        <w:t>above refers to the following first aid instruction:</w:t>
      </w:r>
    </w:p>
    <w:p w14:paraId="0F5BBC91" w14:textId="0514F382" w:rsidR="00E9120B" w:rsidRPr="00C43350" w:rsidRDefault="00E9120B" w:rsidP="007D6865">
      <w:pPr>
        <w:pStyle w:val="APVMAQuote"/>
      </w:pPr>
      <w:r w:rsidRPr="00C43350">
        <w:t xml:space="preserve">If poisoning occurs, contact a doctor or Poisons Information Centre. Phone Australia </w:t>
      </w:r>
      <w:r w:rsidR="00031F04" w:rsidRPr="00C43350">
        <w:t>13</w:t>
      </w:r>
      <w:r w:rsidR="00031F04">
        <w:t> </w:t>
      </w:r>
      <w:r w:rsidR="00031F04" w:rsidRPr="00C43350">
        <w:t>11</w:t>
      </w:r>
      <w:r w:rsidR="00031F04">
        <w:t> </w:t>
      </w:r>
      <w:r w:rsidRPr="00C43350">
        <w:t xml:space="preserve">26, New Zealand </w:t>
      </w:r>
      <w:r w:rsidR="00031F04" w:rsidRPr="00C43350">
        <w:t>0800</w:t>
      </w:r>
      <w:r w:rsidR="00031F04">
        <w:t> </w:t>
      </w:r>
      <w:r w:rsidR="00031F04" w:rsidRPr="00C43350">
        <w:t>764</w:t>
      </w:r>
      <w:r w:rsidR="00031F04">
        <w:t> </w:t>
      </w:r>
      <w:r w:rsidRPr="00C43350">
        <w:t>766.</w:t>
      </w:r>
    </w:p>
    <w:p w14:paraId="00BA7D21" w14:textId="445E3CF4" w:rsidR="00E9120B" w:rsidRPr="00C43350" w:rsidRDefault="00E9120B" w:rsidP="00C43350">
      <w:pPr>
        <w:pStyle w:val="APVMAText"/>
      </w:pPr>
      <w:r w:rsidRPr="00C43350">
        <w:t>The first aid instructions entry is considered appropriate and should remain unchanged.</w:t>
      </w:r>
    </w:p>
    <w:p w14:paraId="2FE47DD2" w14:textId="2FF43AED" w:rsidR="00AD008A" w:rsidRPr="00C43350" w:rsidRDefault="00E9120B" w:rsidP="0070626B">
      <w:pPr>
        <w:pStyle w:val="Heading3"/>
      </w:pPr>
      <w:bookmarkStart w:id="63" w:name="_Toc152060095"/>
      <w:bookmarkStart w:id="64" w:name="_Toc158818254"/>
      <w:r w:rsidRPr="00C43350">
        <w:t xml:space="preserve">Safety </w:t>
      </w:r>
      <w:r w:rsidR="00B102FF">
        <w:t>d</w:t>
      </w:r>
      <w:r w:rsidRPr="00C43350">
        <w:t>irections</w:t>
      </w:r>
      <w:bookmarkEnd w:id="63"/>
      <w:r w:rsidR="00801280">
        <w:t xml:space="preserve"> –</w:t>
      </w:r>
      <w:bookmarkStart w:id="65" w:name="_Toc158818255"/>
      <w:bookmarkEnd w:id="64"/>
      <w:r w:rsidR="0057686F">
        <w:t xml:space="preserve"> </w:t>
      </w:r>
      <w:r w:rsidR="00AD008A" w:rsidRPr="00C43350">
        <w:t>Oral (liquid), oral (tablet), injectable and intramammary formulations</w:t>
      </w:r>
      <w:bookmarkEnd w:id="65"/>
    </w:p>
    <w:p w14:paraId="0C52CB66" w14:textId="6BD68E17" w:rsidR="00801280" w:rsidRPr="00801280" w:rsidRDefault="00853764" w:rsidP="00801280">
      <w:pPr>
        <w:pStyle w:val="APVMAText"/>
      </w:pPr>
      <w:r>
        <w:t xml:space="preserve">Table 6 below shows new entries to the </w:t>
      </w:r>
      <w:bookmarkStart w:id="66" w:name="_Hlk158626713"/>
      <w:r>
        <w:t>FAISD Handbook</w:t>
      </w:r>
      <w:bookmarkEnd w:id="66"/>
      <w:r>
        <w:t xml:space="preserve"> for neomycin</w:t>
      </w:r>
      <w:r w:rsidR="0057686F">
        <w:t>.</w:t>
      </w:r>
    </w:p>
    <w:p w14:paraId="0F026D62" w14:textId="2CD34F4D" w:rsidR="00E9120B" w:rsidRPr="00C43350" w:rsidRDefault="00853764" w:rsidP="00853764">
      <w:pPr>
        <w:pStyle w:val="Caption"/>
      </w:pPr>
      <w:bookmarkStart w:id="67" w:name="_Toc158818295"/>
      <w:bookmarkStart w:id="68" w:name="_Hlk158625282"/>
      <w:r>
        <w:t xml:space="preserve">Table </w:t>
      </w:r>
      <w:fldSimple w:instr=" SEQ Table \* ARABIC ">
        <w:r w:rsidR="00A75CD4">
          <w:rPr>
            <w:noProof/>
          </w:rPr>
          <w:t>6</w:t>
        </w:r>
      </w:fldSimple>
      <w:r>
        <w:t>:</w:t>
      </w:r>
      <w:r w:rsidRPr="00C43350">
        <w:tab/>
      </w:r>
      <w:r>
        <w:t>FAISD Handbook</w:t>
      </w:r>
      <w:r w:rsidRPr="00C43350" w:rsidDel="00853764">
        <w:t xml:space="preserve"> </w:t>
      </w:r>
      <w:r w:rsidR="00B102FF">
        <w:t>–</w:t>
      </w:r>
      <w:r w:rsidR="00AD008A" w:rsidRPr="00C43350">
        <w:t xml:space="preserve"> </w:t>
      </w:r>
      <w:r w:rsidR="00B102FF">
        <w:t>n</w:t>
      </w:r>
      <w:r w:rsidR="00E9120B" w:rsidRPr="00C43350">
        <w:t xml:space="preserve">ew </w:t>
      </w:r>
      <w:r w:rsidR="00B102FF">
        <w:t>e</w:t>
      </w:r>
      <w:r w:rsidR="00E9120B" w:rsidRPr="00C43350">
        <w:t>ntry</w:t>
      </w:r>
      <w:bookmarkEnd w:id="67"/>
    </w:p>
    <w:tbl>
      <w:tblPr>
        <w:tblW w:w="5000" w:type="pct"/>
        <w:tblBorders>
          <w:bottom w:val="dotted" w:sz="2" w:space="0" w:color="auto"/>
          <w:insideH w:val="dotted" w:sz="2" w:space="0" w:color="auto"/>
        </w:tblBorders>
        <w:tblLook w:val="01E0" w:firstRow="1" w:lastRow="1" w:firstColumn="1" w:lastColumn="1" w:noHBand="0" w:noVBand="0"/>
      </w:tblPr>
      <w:tblGrid>
        <w:gridCol w:w="2552"/>
        <w:gridCol w:w="2693"/>
        <w:gridCol w:w="4393"/>
      </w:tblGrid>
      <w:tr w:rsidR="000654D7" w14:paraId="76C24AE7" w14:textId="77777777" w:rsidTr="00C43350">
        <w:trPr>
          <w:cantSplit/>
          <w:tblHeader/>
        </w:trPr>
        <w:tc>
          <w:tcPr>
            <w:tcW w:w="1324" w:type="pct"/>
            <w:tcBorders>
              <w:top w:val="single" w:sz="4" w:space="0" w:color="auto"/>
              <w:bottom w:val="single" w:sz="4" w:space="0" w:color="auto"/>
            </w:tcBorders>
            <w:shd w:val="clear" w:color="auto" w:fill="5C2946"/>
          </w:tcPr>
          <w:bookmarkEnd w:id="68"/>
          <w:p w14:paraId="00A80E6E" w14:textId="4D88F22C" w:rsidR="000654D7" w:rsidRPr="00C43350" w:rsidRDefault="000654D7" w:rsidP="00C43350">
            <w:pPr>
              <w:pStyle w:val="TableHead"/>
            </w:pPr>
            <w:r w:rsidRPr="00C43350">
              <w:t>Substance</w:t>
            </w:r>
          </w:p>
        </w:tc>
        <w:tc>
          <w:tcPr>
            <w:tcW w:w="1397" w:type="pct"/>
            <w:tcBorders>
              <w:top w:val="single" w:sz="4" w:space="0" w:color="auto"/>
              <w:bottom w:val="single" w:sz="4" w:space="0" w:color="auto"/>
            </w:tcBorders>
            <w:shd w:val="clear" w:color="auto" w:fill="5C2946"/>
          </w:tcPr>
          <w:p w14:paraId="4A3E5206" w14:textId="19BF5CE0" w:rsidR="000654D7" w:rsidRPr="00C43350" w:rsidRDefault="000654D7" w:rsidP="00C43350">
            <w:pPr>
              <w:pStyle w:val="TableHead"/>
            </w:pPr>
            <w:r w:rsidRPr="00C43350">
              <w:t>Formulation</w:t>
            </w:r>
          </w:p>
        </w:tc>
        <w:tc>
          <w:tcPr>
            <w:tcW w:w="2279" w:type="pct"/>
            <w:tcBorders>
              <w:top w:val="single" w:sz="4" w:space="0" w:color="auto"/>
              <w:bottom w:val="single" w:sz="4" w:space="0" w:color="auto"/>
            </w:tcBorders>
            <w:shd w:val="clear" w:color="auto" w:fill="5C2946"/>
          </w:tcPr>
          <w:p w14:paraId="53DD95A2" w14:textId="217162EF" w:rsidR="000654D7" w:rsidRPr="00C43350" w:rsidRDefault="000654D7" w:rsidP="00853764">
            <w:pPr>
              <w:pStyle w:val="TableHead"/>
            </w:pPr>
            <w:r w:rsidRPr="00C43350">
              <w:t xml:space="preserve">Statement </w:t>
            </w:r>
            <w:r w:rsidR="00B102FF">
              <w:t>c</w:t>
            </w:r>
            <w:r w:rsidRPr="00C43350">
              <w:t>odes</w:t>
            </w:r>
          </w:p>
        </w:tc>
      </w:tr>
      <w:tr w:rsidR="000654D7" w14:paraId="01880B7C" w14:textId="77777777" w:rsidTr="00C43350">
        <w:trPr>
          <w:cantSplit/>
        </w:trPr>
        <w:tc>
          <w:tcPr>
            <w:tcW w:w="1324" w:type="pct"/>
            <w:tcBorders>
              <w:top w:val="single" w:sz="4" w:space="0" w:color="auto"/>
              <w:bottom w:val="single" w:sz="4" w:space="0" w:color="auto"/>
            </w:tcBorders>
          </w:tcPr>
          <w:p w14:paraId="16C08512" w14:textId="424FF8FB" w:rsidR="000654D7" w:rsidRDefault="000654D7" w:rsidP="00C43350">
            <w:pPr>
              <w:pStyle w:val="TableText"/>
            </w:pPr>
            <w:r w:rsidRPr="005D5931">
              <w:t>Neomycin</w:t>
            </w:r>
          </w:p>
        </w:tc>
        <w:tc>
          <w:tcPr>
            <w:tcW w:w="1397" w:type="pct"/>
            <w:tcBorders>
              <w:top w:val="single" w:sz="4" w:space="0" w:color="auto"/>
              <w:bottom w:val="single" w:sz="4" w:space="0" w:color="auto"/>
            </w:tcBorders>
          </w:tcPr>
          <w:p w14:paraId="72BDAE78" w14:textId="110F7EFE" w:rsidR="000654D7" w:rsidRDefault="000654D7" w:rsidP="00C43350">
            <w:pPr>
              <w:pStyle w:val="TableText"/>
            </w:pPr>
            <w:r w:rsidRPr="005D5931">
              <w:t>AL, OI, PA, TB</w:t>
            </w:r>
          </w:p>
        </w:tc>
        <w:tc>
          <w:tcPr>
            <w:tcW w:w="2279" w:type="pct"/>
            <w:tcBorders>
              <w:top w:val="single" w:sz="4" w:space="0" w:color="auto"/>
              <w:bottom w:val="single" w:sz="4" w:space="0" w:color="auto"/>
            </w:tcBorders>
          </w:tcPr>
          <w:p w14:paraId="71DB34DE" w14:textId="1A878688" w:rsidR="000654D7" w:rsidRDefault="000654D7" w:rsidP="00C43350">
            <w:pPr>
              <w:pStyle w:val="TableText"/>
            </w:pPr>
            <w:r w:rsidRPr="005D5931">
              <w:t>351</w:t>
            </w:r>
          </w:p>
        </w:tc>
      </w:tr>
    </w:tbl>
    <w:p w14:paraId="7085C0D1" w14:textId="1E559369" w:rsidR="00E9120B" w:rsidRDefault="00E9120B" w:rsidP="00C43350">
      <w:pPr>
        <w:pStyle w:val="APVMAText"/>
      </w:pPr>
      <w:r w:rsidRPr="00CC1827">
        <w:t>The statement codes translate into the following safety directions:</w:t>
      </w:r>
    </w:p>
    <w:p w14:paraId="620168D6" w14:textId="0ACF666F" w:rsidR="00853764" w:rsidRPr="00CC1827" w:rsidRDefault="00853764" w:rsidP="00853764">
      <w:pPr>
        <w:pStyle w:val="Caption"/>
      </w:pPr>
      <w:bookmarkStart w:id="69" w:name="_Toc158818296"/>
      <w:r w:rsidRPr="00853764">
        <w:t xml:space="preserve">Table </w:t>
      </w:r>
      <w:fldSimple w:instr=" SEQ Table \* ARABIC ">
        <w:r w:rsidR="00A75CD4">
          <w:rPr>
            <w:noProof/>
          </w:rPr>
          <w:t>7</w:t>
        </w:r>
      </w:fldSimple>
      <w:r>
        <w:t>:</w:t>
      </w:r>
      <w:r w:rsidRPr="00C43350">
        <w:tab/>
      </w:r>
      <w:bookmarkStart w:id="70" w:name="_Hlk158989195"/>
      <w:r>
        <w:t>FAISD Handbook</w:t>
      </w:r>
      <w:r w:rsidRPr="00853764">
        <w:t xml:space="preserve"> – </w:t>
      </w:r>
      <w:r>
        <w:t>new entry</w:t>
      </w:r>
      <w:bookmarkEnd w:id="69"/>
      <w:r w:rsidR="00E043B4">
        <w:t>,</w:t>
      </w:r>
      <w:r w:rsidR="0057686F">
        <w:t xml:space="preserve"> translation of statement codes to</w:t>
      </w:r>
      <w:r w:rsidR="00E043B4">
        <w:t xml:space="preserve"> </w:t>
      </w:r>
      <w:r w:rsidR="00644AD6">
        <w:t>s</w:t>
      </w:r>
      <w:r w:rsidR="00E043B4">
        <w:t>afety directions</w:t>
      </w:r>
      <w:bookmarkEnd w:id="70"/>
    </w:p>
    <w:tbl>
      <w:tblPr>
        <w:tblW w:w="5000" w:type="pct"/>
        <w:tblBorders>
          <w:bottom w:val="dotted" w:sz="2" w:space="0" w:color="auto"/>
          <w:insideH w:val="dotted" w:sz="2" w:space="0" w:color="auto"/>
        </w:tblBorders>
        <w:tblLook w:val="01E0" w:firstRow="1" w:lastRow="1" w:firstColumn="1" w:lastColumn="1" w:noHBand="0" w:noVBand="0"/>
      </w:tblPr>
      <w:tblGrid>
        <w:gridCol w:w="5245"/>
        <w:gridCol w:w="4393"/>
      </w:tblGrid>
      <w:tr w:rsidR="000654D7" w14:paraId="3C4D1A2C" w14:textId="77777777" w:rsidTr="00C43350">
        <w:trPr>
          <w:cantSplit/>
          <w:tblHeader/>
        </w:trPr>
        <w:tc>
          <w:tcPr>
            <w:tcW w:w="2721" w:type="pct"/>
            <w:tcBorders>
              <w:top w:val="single" w:sz="4" w:space="0" w:color="auto"/>
              <w:bottom w:val="single" w:sz="4" w:space="0" w:color="auto"/>
            </w:tcBorders>
            <w:shd w:val="clear" w:color="auto" w:fill="5C2946"/>
            <w:vAlign w:val="center"/>
          </w:tcPr>
          <w:p w14:paraId="26991AA1" w14:textId="05A5921D" w:rsidR="000654D7" w:rsidRPr="00C43350" w:rsidRDefault="000654D7" w:rsidP="00C43350">
            <w:pPr>
              <w:pStyle w:val="TableHead"/>
            </w:pPr>
            <w:r w:rsidRPr="00C43350">
              <w:t xml:space="preserve">Safety </w:t>
            </w:r>
            <w:r w:rsidR="00B102FF">
              <w:t>d</w:t>
            </w:r>
            <w:r w:rsidRPr="00C43350">
              <w:t>irections</w:t>
            </w:r>
          </w:p>
        </w:tc>
        <w:tc>
          <w:tcPr>
            <w:tcW w:w="2279" w:type="pct"/>
            <w:tcBorders>
              <w:top w:val="single" w:sz="4" w:space="0" w:color="auto"/>
              <w:bottom w:val="single" w:sz="4" w:space="0" w:color="auto"/>
            </w:tcBorders>
            <w:shd w:val="clear" w:color="auto" w:fill="5C2946"/>
            <w:vAlign w:val="center"/>
          </w:tcPr>
          <w:p w14:paraId="5A9F6CC7" w14:textId="5206B4DE" w:rsidR="000654D7" w:rsidRPr="00C43350" w:rsidRDefault="000654D7" w:rsidP="00C43350">
            <w:pPr>
              <w:pStyle w:val="TableHead"/>
            </w:pPr>
            <w:r w:rsidRPr="00C43350">
              <w:t>Code</w:t>
            </w:r>
          </w:p>
        </w:tc>
      </w:tr>
      <w:tr w:rsidR="000654D7" w14:paraId="278C3D53" w14:textId="77777777" w:rsidTr="00C43350">
        <w:trPr>
          <w:cantSplit/>
        </w:trPr>
        <w:tc>
          <w:tcPr>
            <w:tcW w:w="2721" w:type="pct"/>
            <w:tcBorders>
              <w:top w:val="single" w:sz="4" w:space="0" w:color="auto"/>
              <w:bottom w:val="single" w:sz="4" w:space="0" w:color="auto"/>
            </w:tcBorders>
            <w:vAlign w:val="center"/>
          </w:tcPr>
          <w:p w14:paraId="74F1DA74" w14:textId="13A80C69" w:rsidR="000654D7" w:rsidRPr="00C43350" w:rsidRDefault="000654D7" w:rsidP="00C43350">
            <w:pPr>
              <w:pStyle w:val="TableText"/>
            </w:pPr>
            <w:r w:rsidRPr="00C43350">
              <w:t>Wash hands after use</w:t>
            </w:r>
          </w:p>
        </w:tc>
        <w:tc>
          <w:tcPr>
            <w:tcW w:w="2279" w:type="pct"/>
            <w:tcBorders>
              <w:top w:val="single" w:sz="4" w:space="0" w:color="auto"/>
              <w:bottom w:val="single" w:sz="4" w:space="0" w:color="auto"/>
            </w:tcBorders>
            <w:vAlign w:val="center"/>
          </w:tcPr>
          <w:p w14:paraId="7D56977D" w14:textId="20E5C2C1" w:rsidR="000654D7" w:rsidRPr="00C43350" w:rsidRDefault="000654D7" w:rsidP="00C43350">
            <w:pPr>
              <w:pStyle w:val="TableText"/>
            </w:pPr>
            <w:r w:rsidRPr="00C43350">
              <w:t>351</w:t>
            </w:r>
          </w:p>
        </w:tc>
      </w:tr>
    </w:tbl>
    <w:p w14:paraId="4C1CEEEF" w14:textId="2AE805A0" w:rsidR="00AD008A" w:rsidRPr="00155DDA" w:rsidRDefault="00AD008A" w:rsidP="00C43350">
      <w:pPr>
        <w:pStyle w:val="APVMAText"/>
      </w:pPr>
      <w:r w:rsidRPr="00155DDA">
        <w:t>The following safety directions should be added to supported oral (liquid), oral (tablet), injectable and intramammary formulations containing neomycin:</w:t>
      </w:r>
    </w:p>
    <w:p w14:paraId="0D0723AA" w14:textId="5D2D2985" w:rsidR="00AD008A" w:rsidRPr="00C43350" w:rsidRDefault="00AD008A" w:rsidP="007D6865">
      <w:pPr>
        <w:pStyle w:val="APVMAQuote"/>
      </w:pPr>
      <w:r w:rsidRPr="00C43350">
        <w:t>Wash hands after use.</w:t>
      </w:r>
    </w:p>
    <w:p w14:paraId="3D9EDCAA" w14:textId="64DA466B" w:rsidR="00AD008A" w:rsidRDefault="00AD008A" w:rsidP="00853764">
      <w:pPr>
        <w:pStyle w:val="Heading4"/>
      </w:pPr>
      <w:r w:rsidRPr="00C43350">
        <w:lastRenderedPageBreak/>
        <w:t>Powder formulations</w:t>
      </w:r>
    </w:p>
    <w:p w14:paraId="2189694A" w14:textId="501F85D0" w:rsidR="00853764" w:rsidRPr="00853764" w:rsidRDefault="00853764" w:rsidP="00801280">
      <w:pPr>
        <w:pStyle w:val="APVMAText"/>
      </w:pPr>
      <w:r>
        <w:t>Table 8 below shows new entries to the FAISD Handbook statement codes for powder formulations of neomycin.</w:t>
      </w:r>
    </w:p>
    <w:p w14:paraId="2735DE4B" w14:textId="54F9B11E" w:rsidR="00853764" w:rsidRPr="00CC1827" w:rsidRDefault="00853764" w:rsidP="00853764">
      <w:pPr>
        <w:pStyle w:val="Caption"/>
      </w:pPr>
      <w:bookmarkStart w:id="71" w:name="_Toc158818297"/>
      <w:r w:rsidRPr="00853764">
        <w:t xml:space="preserve">Table </w:t>
      </w:r>
      <w:fldSimple w:instr=" SEQ Table \* ARABIC ">
        <w:r w:rsidR="00A75CD4">
          <w:rPr>
            <w:noProof/>
          </w:rPr>
          <w:t>8</w:t>
        </w:r>
      </w:fldSimple>
      <w:r>
        <w:t>:</w:t>
      </w:r>
      <w:r w:rsidRPr="00C43350">
        <w:tab/>
      </w:r>
      <w:r>
        <w:t>FAISD Handbook</w:t>
      </w:r>
      <w:r w:rsidRPr="00853764">
        <w:t xml:space="preserve"> – </w:t>
      </w:r>
      <w:r>
        <w:t>new entry</w:t>
      </w:r>
      <w:bookmarkEnd w:id="71"/>
    </w:p>
    <w:tbl>
      <w:tblPr>
        <w:tblW w:w="5000" w:type="pct"/>
        <w:tblBorders>
          <w:bottom w:val="dotted" w:sz="2" w:space="0" w:color="auto"/>
          <w:insideH w:val="dotted" w:sz="2" w:space="0" w:color="auto"/>
        </w:tblBorders>
        <w:tblLook w:val="01E0" w:firstRow="1" w:lastRow="1" w:firstColumn="1" w:lastColumn="1" w:noHBand="0" w:noVBand="0"/>
      </w:tblPr>
      <w:tblGrid>
        <w:gridCol w:w="2552"/>
        <w:gridCol w:w="2693"/>
        <w:gridCol w:w="4393"/>
      </w:tblGrid>
      <w:tr w:rsidR="000654D7" w14:paraId="7CB893FD" w14:textId="77777777" w:rsidTr="00090661">
        <w:trPr>
          <w:cantSplit/>
          <w:tblHeader/>
        </w:trPr>
        <w:tc>
          <w:tcPr>
            <w:tcW w:w="1324" w:type="pct"/>
            <w:tcBorders>
              <w:top w:val="single" w:sz="4" w:space="0" w:color="auto"/>
              <w:bottom w:val="single" w:sz="4" w:space="0" w:color="auto"/>
            </w:tcBorders>
            <w:shd w:val="clear" w:color="auto" w:fill="5C2946"/>
          </w:tcPr>
          <w:p w14:paraId="09027489" w14:textId="77777777" w:rsidR="000654D7" w:rsidRPr="00C43350" w:rsidRDefault="000654D7" w:rsidP="00C43350">
            <w:pPr>
              <w:pStyle w:val="TableHead"/>
            </w:pPr>
            <w:r w:rsidRPr="00C43350">
              <w:t>Substance</w:t>
            </w:r>
          </w:p>
        </w:tc>
        <w:tc>
          <w:tcPr>
            <w:tcW w:w="1397" w:type="pct"/>
            <w:tcBorders>
              <w:top w:val="single" w:sz="4" w:space="0" w:color="auto"/>
              <w:bottom w:val="single" w:sz="4" w:space="0" w:color="auto"/>
            </w:tcBorders>
            <w:shd w:val="clear" w:color="auto" w:fill="5C2946"/>
          </w:tcPr>
          <w:p w14:paraId="3E3D6EC2" w14:textId="77777777" w:rsidR="000654D7" w:rsidRPr="00C43350" w:rsidRDefault="000654D7" w:rsidP="00C43350">
            <w:pPr>
              <w:pStyle w:val="TableHead"/>
            </w:pPr>
            <w:r w:rsidRPr="00C43350">
              <w:t>Formulation</w:t>
            </w:r>
          </w:p>
        </w:tc>
        <w:tc>
          <w:tcPr>
            <w:tcW w:w="2279" w:type="pct"/>
            <w:tcBorders>
              <w:top w:val="single" w:sz="4" w:space="0" w:color="auto"/>
              <w:bottom w:val="single" w:sz="4" w:space="0" w:color="auto"/>
            </w:tcBorders>
            <w:shd w:val="clear" w:color="auto" w:fill="5C2946"/>
          </w:tcPr>
          <w:p w14:paraId="55CEE1C8" w14:textId="62703E17" w:rsidR="000654D7" w:rsidRPr="00C43350" w:rsidRDefault="000654D7" w:rsidP="00C43350">
            <w:pPr>
              <w:pStyle w:val="TableHead"/>
            </w:pPr>
            <w:r w:rsidRPr="00C43350">
              <w:t xml:space="preserve">Statement </w:t>
            </w:r>
            <w:r w:rsidR="00853764">
              <w:t>c</w:t>
            </w:r>
            <w:r w:rsidR="00853764" w:rsidRPr="00C43350">
              <w:t>odes</w:t>
            </w:r>
          </w:p>
        </w:tc>
      </w:tr>
      <w:tr w:rsidR="000654D7" w14:paraId="365CDC4E" w14:textId="77777777" w:rsidTr="00090661">
        <w:trPr>
          <w:cantSplit/>
        </w:trPr>
        <w:tc>
          <w:tcPr>
            <w:tcW w:w="1324" w:type="pct"/>
            <w:tcBorders>
              <w:top w:val="single" w:sz="4" w:space="0" w:color="auto"/>
              <w:bottom w:val="single" w:sz="4" w:space="0" w:color="auto"/>
            </w:tcBorders>
          </w:tcPr>
          <w:p w14:paraId="5012450C" w14:textId="01C1C4F9" w:rsidR="000654D7" w:rsidRDefault="000654D7" w:rsidP="00C43350">
            <w:pPr>
              <w:pStyle w:val="TableText"/>
            </w:pPr>
            <w:r w:rsidRPr="005D5931">
              <w:t>Neomycin</w:t>
            </w:r>
          </w:p>
        </w:tc>
        <w:tc>
          <w:tcPr>
            <w:tcW w:w="1397" w:type="pct"/>
            <w:tcBorders>
              <w:top w:val="single" w:sz="4" w:space="0" w:color="auto"/>
              <w:bottom w:val="single" w:sz="4" w:space="0" w:color="auto"/>
            </w:tcBorders>
          </w:tcPr>
          <w:p w14:paraId="67EFCC2D" w14:textId="1279AAF4" w:rsidR="000654D7" w:rsidRDefault="000654D7" w:rsidP="00C43350">
            <w:pPr>
              <w:pStyle w:val="TableText"/>
            </w:pPr>
            <w:r w:rsidRPr="005D5931">
              <w:t>PD</w:t>
            </w:r>
          </w:p>
        </w:tc>
        <w:tc>
          <w:tcPr>
            <w:tcW w:w="2279" w:type="pct"/>
            <w:tcBorders>
              <w:top w:val="single" w:sz="4" w:space="0" w:color="auto"/>
              <w:bottom w:val="single" w:sz="4" w:space="0" w:color="auto"/>
            </w:tcBorders>
          </w:tcPr>
          <w:p w14:paraId="7578CCFC" w14:textId="74B5C07D" w:rsidR="000654D7" w:rsidRDefault="000654D7" w:rsidP="00C43350">
            <w:pPr>
              <w:pStyle w:val="TableText"/>
            </w:pPr>
            <w:r w:rsidRPr="005F30EE">
              <w:t>160 162 210 162 279 283 290 306 351</w:t>
            </w:r>
          </w:p>
        </w:tc>
      </w:tr>
    </w:tbl>
    <w:p w14:paraId="0DB40A52" w14:textId="06CF26A8" w:rsidR="000654D7" w:rsidRDefault="000654D7" w:rsidP="00C43350">
      <w:pPr>
        <w:pStyle w:val="APVMAText"/>
      </w:pPr>
      <w:r w:rsidRPr="00CC1827">
        <w:t>The statement codes translate into the following safety directions:</w:t>
      </w:r>
    </w:p>
    <w:p w14:paraId="3D6C1D55" w14:textId="67AA2BFE" w:rsidR="00853764" w:rsidRDefault="00853764" w:rsidP="00853764">
      <w:pPr>
        <w:pStyle w:val="Caption"/>
      </w:pPr>
      <w:bookmarkStart w:id="72" w:name="_Toc158818298"/>
      <w:r w:rsidRPr="00853764">
        <w:t xml:space="preserve">Table </w:t>
      </w:r>
      <w:fldSimple w:instr=" SEQ Table \* ARABIC ">
        <w:r w:rsidR="00A75CD4">
          <w:rPr>
            <w:noProof/>
          </w:rPr>
          <w:t>9</w:t>
        </w:r>
      </w:fldSimple>
      <w:r>
        <w:t>:</w:t>
      </w:r>
      <w:r w:rsidRPr="00C43350">
        <w:tab/>
      </w:r>
      <w:r>
        <w:t>FAISD Handbook</w:t>
      </w:r>
      <w:r w:rsidRPr="00853764">
        <w:t xml:space="preserve"> – </w:t>
      </w:r>
      <w:r>
        <w:t>new entry</w:t>
      </w:r>
      <w:bookmarkEnd w:id="72"/>
      <w:r w:rsidR="00E043B4">
        <w:t xml:space="preserve">, </w:t>
      </w:r>
      <w:r w:rsidR="0057686F" w:rsidRPr="0057686F">
        <w:t>translation of statement codes to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6521"/>
        <w:gridCol w:w="3117"/>
      </w:tblGrid>
      <w:tr w:rsidR="000654D7" w14:paraId="1D14BCBD" w14:textId="77777777" w:rsidTr="00C43350">
        <w:trPr>
          <w:cantSplit/>
          <w:tblHeader/>
        </w:trPr>
        <w:tc>
          <w:tcPr>
            <w:tcW w:w="3383" w:type="pct"/>
            <w:tcBorders>
              <w:top w:val="single" w:sz="4" w:space="0" w:color="auto"/>
              <w:bottom w:val="single" w:sz="4" w:space="0" w:color="auto"/>
            </w:tcBorders>
            <w:shd w:val="clear" w:color="auto" w:fill="5C2946"/>
            <w:vAlign w:val="center"/>
          </w:tcPr>
          <w:p w14:paraId="4D225FF3" w14:textId="5AE73A7C" w:rsidR="000654D7" w:rsidRPr="00C43350" w:rsidRDefault="000654D7" w:rsidP="00C43350">
            <w:pPr>
              <w:pStyle w:val="TableHead"/>
            </w:pPr>
            <w:r w:rsidRPr="00C43350">
              <w:t xml:space="preserve">Safety </w:t>
            </w:r>
            <w:r w:rsidR="00B102FF">
              <w:t>d</w:t>
            </w:r>
            <w:r w:rsidRPr="00C43350">
              <w:t>irections</w:t>
            </w:r>
          </w:p>
        </w:tc>
        <w:tc>
          <w:tcPr>
            <w:tcW w:w="1617" w:type="pct"/>
            <w:tcBorders>
              <w:top w:val="single" w:sz="4" w:space="0" w:color="auto"/>
              <w:bottom w:val="single" w:sz="4" w:space="0" w:color="auto"/>
            </w:tcBorders>
            <w:shd w:val="clear" w:color="auto" w:fill="5C2946"/>
            <w:vAlign w:val="center"/>
          </w:tcPr>
          <w:p w14:paraId="3AC7C671" w14:textId="77777777" w:rsidR="000654D7" w:rsidRPr="00C43350" w:rsidRDefault="000654D7" w:rsidP="00C43350">
            <w:pPr>
              <w:pStyle w:val="TableHead"/>
            </w:pPr>
            <w:r w:rsidRPr="00C43350">
              <w:t>Code</w:t>
            </w:r>
          </w:p>
        </w:tc>
      </w:tr>
      <w:tr w:rsidR="000654D7" w14:paraId="05A35DDF" w14:textId="77777777" w:rsidTr="00C43350">
        <w:trPr>
          <w:cantSplit/>
        </w:trPr>
        <w:tc>
          <w:tcPr>
            <w:tcW w:w="3383" w:type="pct"/>
            <w:tcBorders>
              <w:top w:val="single" w:sz="4" w:space="0" w:color="auto"/>
              <w:bottom w:val="single" w:sz="4" w:space="0" w:color="auto"/>
            </w:tcBorders>
            <w:vAlign w:val="center"/>
          </w:tcPr>
          <w:p w14:paraId="3F99506A" w14:textId="416FB348" w:rsidR="000654D7" w:rsidRPr="00C43350" w:rsidRDefault="000654D7" w:rsidP="00C43350">
            <w:pPr>
              <w:pStyle w:val="TableText"/>
            </w:pPr>
            <w:r w:rsidRPr="00C43350">
              <w:t>May irritate the eyes.</w:t>
            </w:r>
          </w:p>
        </w:tc>
        <w:tc>
          <w:tcPr>
            <w:tcW w:w="1617" w:type="pct"/>
            <w:tcBorders>
              <w:top w:val="single" w:sz="4" w:space="0" w:color="auto"/>
              <w:bottom w:val="single" w:sz="4" w:space="0" w:color="auto"/>
            </w:tcBorders>
            <w:vAlign w:val="center"/>
          </w:tcPr>
          <w:p w14:paraId="77AEBD5C" w14:textId="5A6863B6" w:rsidR="000654D7" w:rsidRPr="00C43350" w:rsidRDefault="000654D7" w:rsidP="00C43350">
            <w:pPr>
              <w:pStyle w:val="TableText"/>
            </w:pPr>
            <w:r w:rsidRPr="00C43350">
              <w:t>160 162</w:t>
            </w:r>
          </w:p>
        </w:tc>
      </w:tr>
      <w:tr w:rsidR="000654D7" w14:paraId="35B9B0DD" w14:textId="77777777" w:rsidTr="00C43350">
        <w:trPr>
          <w:cantSplit/>
        </w:trPr>
        <w:tc>
          <w:tcPr>
            <w:tcW w:w="3383" w:type="pct"/>
            <w:tcBorders>
              <w:top w:val="single" w:sz="4" w:space="0" w:color="auto"/>
              <w:bottom w:val="single" w:sz="4" w:space="0" w:color="auto"/>
            </w:tcBorders>
            <w:vAlign w:val="center"/>
          </w:tcPr>
          <w:p w14:paraId="1A57CB99" w14:textId="71C62A96" w:rsidR="000654D7" w:rsidRPr="00C43350" w:rsidRDefault="000654D7" w:rsidP="00C43350">
            <w:pPr>
              <w:pStyle w:val="TableText"/>
            </w:pPr>
            <w:r w:rsidRPr="00C43350">
              <w:t>Avoid contact with eyes.</w:t>
            </w:r>
          </w:p>
        </w:tc>
        <w:tc>
          <w:tcPr>
            <w:tcW w:w="1617" w:type="pct"/>
            <w:tcBorders>
              <w:top w:val="single" w:sz="4" w:space="0" w:color="auto"/>
              <w:bottom w:val="single" w:sz="4" w:space="0" w:color="auto"/>
            </w:tcBorders>
            <w:vAlign w:val="center"/>
          </w:tcPr>
          <w:p w14:paraId="352A6035" w14:textId="5A5CA4CB" w:rsidR="000654D7" w:rsidRPr="00C43350" w:rsidRDefault="000654D7" w:rsidP="00C43350">
            <w:pPr>
              <w:pStyle w:val="TableText"/>
            </w:pPr>
            <w:r w:rsidRPr="00C43350">
              <w:t>210 162</w:t>
            </w:r>
          </w:p>
        </w:tc>
      </w:tr>
      <w:tr w:rsidR="000654D7" w14:paraId="0C0AB809" w14:textId="77777777" w:rsidTr="00C43350">
        <w:trPr>
          <w:cantSplit/>
        </w:trPr>
        <w:tc>
          <w:tcPr>
            <w:tcW w:w="3383" w:type="pct"/>
            <w:tcBorders>
              <w:top w:val="single" w:sz="4" w:space="0" w:color="auto"/>
              <w:bottom w:val="single" w:sz="4" w:space="0" w:color="auto"/>
            </w:tcBorders>
            <w:vAlign w:val="center"/>
          </w:tcPr>
          <w:p w14:paraId="760F19BB" w14:textId="6F7C9298" w:rsidR="000654D7" w:rsidRPr="00C43350" w:rsidRDefault="000654D7" w:rsidP="00C43350">
            <w:pPr>
              <w:pStyle w:val="TableText"/>
            </w:pPr>
            <w:r w:rsidRPr="00C43350">
              <w:t>When using the product, wear a disposable dust mask covering the nose and mouth</w:t>
            </w:r>
            <w:r w:rsidR="00644AD6">
              <w:t>.</w:t>
            </w:r>
          </w:p>
        </w:tc>
        <w:tc>
          <w:tcPr>
            <w:tcW w:w="1617" w:type="pct"/>
            <w:tcBorders>
              <w:top w:val="single" w:sz="4" w:space="0" w:color="auto"/>
              <w:bottom w:val="single" w:sz="4" w:space="0" w:color="auto"/>
            </w:tcBorders>
            <w:vAlign w:val="center"/>
          </w:tcPr>
          <w:p w14:paraId="3C5B0CE6" w14:textId="19042B83" w:rsidR="000654D7" w:rsidRPr="00C43350" w:rsidRDefault="000654D7" w:rsidP="00C43350">
            <w:pPr>
              <w:pStyle w:val="TableText"/>
            </w:pPr>
            <w:r w:rsidRPr="00C43350">
              <w:t>279 283 290 306</w:t>
            </w:r>
          </w:p>
        </w:tc>
      </w:tr>
      <w:tr w:rsidR="000654D7" w14:paraId="63F8ED72" w14:textId="77777777" w:rsidTr="00C43350">
        <w:trPr>
          <w:cantSplit/>
        </w:trPr>
        <w:tc>
          <w:tcPr>
            <w:tcW w:w="3383" w:type="pct"/>
            <w:tcBorders>
              <w:top w:val="single" w:sz="4" w:space="0" w:color="auto"/>
              <w:bottom w:val="single" w:sz="4" w:space="0" w:color="auto"/>
            </w:tcBorders>
            <w:vAlign w:val="center"/>
          </w:tcPr>
          <w:p w14:paraId="58C372F5" w14:textId="717D7EB4" w:rsidR="000654D7" w:rsidRPr="00C43350" w:rsidRDefault="000654D7" w:rsidP="00C43350">
            <w:pPr>
              <w:pStyle w:val="TableText"/>
            </w:pPr>
            <w:r w:rsidRPr="00C43350">
              <w:t>Wash hands after use</w:t>
            </w:r>
            <w:r w:rsidR="00644AD6">
              <w:t>.</w:t>
            </w:r>
          </w:p>
        </w:tc>
        <w:tc>
          <w:tcPr>
            <w:tcW w:w="1617" w:type="pct"/>
            <w:tcBorders>
              <w:top w:val="single" w:sz="4" w:space="0" w:color="auto"/>
              <w:bottom w:val="single" w:sz="4" w:space="0" w:color="auto"/>
            </w:tcBorders>
            <w:vAlign w:val="center"/>
          </w:tcPr>
          <w:p w14:paraId="5D1E06D4" w14:textId="12C99B50" w:rsidR="000654D7" w:rsidRPr="00C43350" w:rsidRDefault="000654D7" w:rsidP="00C43350">
            <w:pPr>
              <w:pStyle w:val="TableText"/>
            </w:pPr>
            <w:r w:rsidRPr="00C43350">
              <w:t>351</w:t>
            </w:r>
          </w:p>
        </w:tc>
      </w:tr>
    </w:tbl>
    <w:p w14:paraId="288DD543" w14:textId="79DE9D5E" w:rsidR="00F66F39" w:rsidRPr="00C43350" w:rsidRDefault="00F66F39" w:rsidP="00C43350">
      <w:pPr>
        <w:pStyle w:val="APVMAText"/>
      </w:pPr>
      <w:r w:rsidRPr="00C43350">
        <w:t>The following safety directions should be added to supported powder formulations containing neomycin:</w:t>
      </w:r>
    </w:p>
    <w:p w14:paraId="0A0BAB75" w14:textId="77777777" w:rsidR="008C2A4F" w:rsidRDefault="00F66F39" w:rsidP="007D6865">
      <w:pPr>
        <w:pStyle w:val="APVMAQuote"/>
        <w:rPr>
          <w:color w:val="1A1B1A" w:themeColor="text1" w:themeShade="80"/>
          <w:spacing w:val="6"/>
          <w:kern w:val="20"/>
          <w:sz w:val="17"/>
        </w:rPr>
        <w:sectPr w:rsidR="008C2A4F" w:rsidSect="00DF3A52">
          <w:headerReference w:type="even" r:id="rId33"/>
          <w:headerReference w:type="default" r:id="rId34"/>
          <w:pgSz w:w="11906" w:h="16838" w:code="9"/>
          <w:pgMar w:top="2835" w:right="1134" w:bottom="1134" w:left="1134" w:header="1701" w:footer="680" w:gutter="0"/>
          <w:cols w:space="708"/>
          <w:docGrid w:linePitch="360"/>
        </w:sectPr>
      </w:pPr>
      <w:bookmarkStart w:id="73" w:name="_Hlk153196089"/>
      <w:r w:rsidRPr="00C43350">
        <w:t>May irritate the eyes. Avoid contact with eyes. When using the product, wear a disposable dust mask covering the nose and mouth. Wash hands after use</w:t>
      </w:r>
      <w:r w:rsidR="00E9120B" w:rsidRPr="00C43350">
        <w:t>.</w:t>
      </w:r>
    </w:p>
    <w:p w14:paraId="1EC67B4E" w14:textId="3B1307E7" w:rsidR="00AA5DC7" w:rsidRPr="00C43350" w:rsidRDefault="00AA5DC7" w:rsidP="00C43350">
      <w:pPr>
        <w:pStyle w:val="Heading1"/>
      </w:pPr>
      <w:bookmarkStart w:id="74" w:name="_Toc144468318"/>
      <w:bookmarkStart w:id="75" w:name="_Toc158818256"/>
      <w:bookmarkEnd w:id="73"/>
      <w:r w:rsidRPr="00C43350">
        <w:lastRenderedPageBreak/>
        <w:t>Residues and trade</w:t>
      </w:r>
      <w:bookmarkEnd w:id="74"/>
      <w:bookmarkEnd w:id="75"/>
    </w:p>
    <w:p w14:paraId="3F751E93" w14:textId="0004BC6E" w:rsidR="00AA5DC7" w:rsidRPr="00C43350" w:rsidRDefault="00A77489" w:rsidP="00C43350">
      <w:pPr>
        <w:pStyle w:val="Heading2"/>
      </w:pPr>
      <w:bookmarkStart w:id="76" w:name="_Toc144468319"/>
      <w:bookmarkStart w:id="77" w:name="_Toc158818257"/>
      <w:r w:rsidRPr="00C43350">
        <w:t xml:space="preserve">Current </w:t>
      </w:r>
      <w:r w:rsidR="00B102FF">
        <w:t>r</w:t>
      </w:r>
      <w:r w:rsidR="00AA5DC7" w:rsidRPr="00C43350">
        <w:t xml:space="preserve">esidues </w:t>
      </w:r>
      <w:r w:rsidR="00B102FF">
        <w:t>d</w:t>
      </w:r>
      <w:r w:rsidR="00AA5DC7" w:rsidRPr="00C43350">
        <w:t>efinition</w:t>
      </w:r>
      <w:bookmarkEnd w:id="76"/>
      <w:r w:rsidRPr="00C43350">
        <w:t xml:space="preserve"> and </w:t>
      </w:r>
      <w:r w:rsidR="00B102FF">
        <w:t>m</w:t>
      </w:r>
      <w:r w:rsidRPr="00C43350">
        <w:t xml:space="preserve">aximum </w:t>
      </w:r>
      <w:r w:rsidR="00B102FF">
        <w:t>r</w:t>
      </w:r>
      <w:r w:rsidRPr="00C43350">
        <w:t xml:space="preserve">esidue </w:t>
      </w:r>
      <w:r w:rsidR="00B102FF">
        <w:t>l</w:t>
      </w:r>
      <w:r w:rsidRPr="00C43350">
        <w:t>imits</w:t>
      </w:r>
      <w:bookmarkEnd w:id="77"/>
    </w:p>
    <w:p w14:paraId="43567E84" w14:textId="285DB806" w:rsidR="00A77489" w:rsidRPr="00C43350" w:rsidRDefault="00A77489" w:rsidP="00C43350">
      <w:pPr>
        <w:pStyle w:val="APVMAText"/>
      </w:pPr>
      <w:r w:rsidRPr="00C43350">
        <w:t xml:space="preserve">The current residue definition for neomycin in the </w:t>
      </w:r>
      <w:hyperlink r:id="rId35" w:history="1">
        <w:r w:rsidR="000654D7" w:rsidRPr="00FE6AAC">
          <w:rPr>
            <w:rStyle w:val="Hyperlink"/>
          </w:rPr>
          <w:t>Agricultural and Veterinary Chemicals (MRL Standard for Residues of Chemical Products) Instrument 2023</w:t>
        </w:r>
      </w:hyperlink>
      <w:r w:rsidRPr="00C43350">
        <w:t xml:space="preserve"> </w:t>
      </w:r>
      <w:r w:rsidR="009C3C7F" w:rsidRPr="00C43350">
        <w:t xml:space="preserve">(MRL Standard) </w:t>
      </w:r>
      <w:r w:rsidRPr="00C43350">
        <w:t>is expressed as ‘inhibitory substance, identified as neomycin’.</w:t>
      </w:r>
    </w:p>
    <w:p w14:paraId="68407906" w14:textId="2527809C" w:rsidR="00A77489" w:rsidRPr="00C43350" w:rsidRDefault="00A77489" w:rsidP="00C43350">
      <w:pPr>
        <w:pStyle w:val="APVMAText"/>
      </w:pPr>
      <w:r w:rsidRPr="00C43350">
        <w:t xml:space="preserve">Current entries in Table 1 of the MRL Standard for neomycin are summarised </w:t>
      </w:r>
      <w:r w:rsidR="00031F04">
        <w:t xml:space="preserve">in Table 10 </w:t>
      </w:r>
      <w:r w:rsidRPr="00C43350">
        <w:t>below:</w:t>
      </w:r>
    </w:p>
    <w:p w14:paraId="0C6FCAAD" w14:textId="7F344B92" w:rsidR="00A77489" w:rsidRPr="00C43350" w:rsidRDefault="007963D0" w:rsidP="00C43350">
      <w:pPr>
        <w:pStyle w:val="Caption"/>
      </w:pPr>
      <w:bookmarkStart w:id="78" w:name="_Toc158818299"/>
      <w:bookmarkStart w:id="79" w:name="_Hlk141882923"/>
      <w:r w:rsidRPr="00C43350">
        <w:t xml:space="preserve">Table </w:t>
      </w:r>
      <w:fldSimple w:instr=" SEQ Table \* ARABIC ">
        <w:r w:rsidR="00A75CD4">
          <w:rPr>
            <w:noProof/>
          </w:rPr>
          <w:t>10</w:t>
        </w:r>
      </w:fldSimple>
      <w:r w:rsidRPr="00C43350">
        <w:t>:</w:t>
      </w:r>
      <w:r w:rsidR="009C3C7F" w:rsidRPr="00C43350">
        <w:tab/>
      </w:r>
      <w:r w:rsidRPr="00C43350">
        <w:t>Entries for neomycin in Table 1 of the MRL Standard</w:t>
      </w:r>
      <w:bookmarkEnd w:id="78"/>
    </w:p>
    <w:tbl>
      <w:tblPr>
        <w:tblpPr w:leftFromText="180" w:rightFromText="180" w:vertAnchor="text" w:horzAnchor="margin" w:tblpY="141"/>
        <w:tblW w:w="5000" w:type="pct"/>
        <w:tblBorders>
          <w:top w:val="single" w:sz="4" w:space="0" w:color="000000"/>
          <w:bottom w:val="single" w:sz="4" w:space="0" w:color="000000"/>
        </w:tblBorders>
        <w:tblLook w:val="00A0" w:firstRow="1" w:lastRow="0" w:firstColumn="1" w:lastColumn="0" w:noHBand="0" w:noVBand="0"/>
      </w:tblPr>
      <w:tblGrid>
        <w:gridCol w:w="1307"/>
        <w:gridCol w:w="1679"/>
        <w:gridCol w:w="4000"/>
        <w:gridCol w:w="2652"/>
      </w:tblGrid>
      <w:tr w:rsidR="00A77489" w:rsidRPr="00EB2BC3" w14:paraId="738DBE98" w14:textId="77777777" w:rsidTr="00C43350">
        <w:trPr>
          <w:cantSplit/>
          <w:trHeight w:val="131"/>
          <w:tblHeader/>
        </w:trPr>
        <w:tc>
          <w:tcPr>
            <w:tcW w:w="678" w:type="pct"/>
            <w:tcBorders>
              <w:top w:val="single" w:sz="4" w:space="0" w:color="000000"/>
              <w:bottom w:val="single" w:sz="4" w:space="0" w:color="000000"/>
            </w:tcBorders>
            <w:shd w:val="clear" w:color="auto" w:fill="5C2946"/>
          </w:tcPr>
          <w:p w14:paraId="37BF0D1D" w14:textId="77777777" w:rsidR="00A77489" w:rsidRPr="00C43350" w:rsidRDefault="00A77489" w:rsidP="00C43350">
            <w:pPr>
              <w:pStyle w:val="TableHead"/>
            </w:pPr>
            <w:r w:rsidRPr="00C43350">
              <w:t>Compound</w:t>
            </w:r>
          </w:p>
        </w:tc>
        <w:tc>
          <w:tcPr>
            <w:tcW w:w="871" w:type="pct"/>
            <w:tcBorders>
              <w:top w:val="single" w:sz="4" w:space="0" w:color="000000"/>
              <w:bottom w:val="single" w:sz="4" w:space="0" w:color="000000"/>
            </w:tcBorders>
            <w:shd w:val="clear" w:color="auto" w:fill="5C2946"/>
          </w:tcPr>
          <w:p w14:paraId="3766E934" w14:textId="77777777" w:rsidR="00A77489" w:rsidRPr="00C43350" w:rsidRDefault="00A77489" w:rsidP="00C43350">
            <w:pPr>
              <w:pStyle w:val="TableHead"/>
            </w:pPr>
            <w:r w:rsidRPr="00C43350">
              <w:t>Food</w:t>
            </w:r>
          </w:p>
        </w:tc>
        <w:tc>
          <w:tcPr>
            <w:tcW w:w="2074" w:type="pct"/>
            <w:tcBorders>
              <w:top w:val="single" w:sz="4" w:space="0" w:color="000000"/>
              <w:bottom w:val="single" w:sz="4" w:space="0" w:color="000000"/>
            </w:tcBorders>
            <w:shd w:val="clear" w:color="auto" w:fill="5C2946"/>
          </w:tcPr>
          <w:p w14:paraId="020D374D" w14:textId="77777777" w:rsidR="00A77489" w:rsidRPr="00C43350" w:rsidRDefault="00A77489" w:rsidP="00C43350">
            <w:pPr>
              <w:pStyle w:val="TableHead"/>
            </w:pPr>
          </w:p>
        </w:tc>
        <w:tc>
          <w:tcPr>
            <w:tcW w:w="1376" w:type="pct"/>
            <w:tcBorders>
              <w:top w:val="single" w:sz="4" w:space="0" w:color="000000"/>
              <w:bottom w:val="single" w:sz="4" w:space="0" w:color="000000"/>
            </w:tcBorders>
            <w:shd w:val="clear" w:color="auto" w:fill="5C2946"/>
          </w:tcPr>
          <w:p w14:paraId="500F3C6B" w14:textId="77777777" w:rsidR="00A77489" w:rsidRPr="00C43350" w:rsidRDefault="00A77489" w:rsidP="00C43350">
            <w:pPr>
              <w:pStyle w:val="TableHeadRight"/>
            </w:pPr>
            <w:r w:rsidRPr="00C43350">
              <w:t>MRL (mg/kg)</w:t>
            </w:r>
          </w:p>
        </w:tc>
      </w:tr>
      <w:tr w:rsidR="00A77489" w:rsidRPr="00AD6E28" w14:paraId="4A181C72" w14:textId="77777777" w:rsidTr="00C43350">
        <w:trPr>
          <w:cantSplit/>
          <w:trHeight w:val="427"/>
        </w:trPr>
        <w:tc>
          <w:tcPr>
            <w:tcW w:w="3624" w:type="pct"/>
            <w:gridSpan w:val="3"/>
            <w:tcBorders>
              <w:top w:val="single" w:sz="4" w:space="0" w:color="000000"/>
              <w:bottom w:val="single" w:sz="4" w:space="0" w:color="auto"/>
            </w:tcBorders>
          </w:tcPr>
          <w:p w14:paraId="1FD5C961" w14:textId="7CA93B7D" w:rsidR="00A77489" w:rsidRPr="00C43350" w:rsidRDefault="00C43350" w:rsidP="00C43350">
            <w:pPr>
              <w:pStyle w:val="MRLActiveName"/>
            </w:pPr>
            <w:r w:rsidRPr="00C43350">
              <w:t>Neomycin</w:t>
            </w:r>
          </w:p>
        </w:tc>
        <w:tc>
          <w:tcPr>
            <w:tcW w:w="1376" w:type="pct"/>
            <w:tcBorders>
              <w:top w:val="single" w:sz="4" w:space="0" w:color="000000"/>
              <w:bottom w:val="single" w:sz="4" w:space="0" w:color="auto"/>
            </w:tcBorders>
          </w:tcPr>
          <w:p w14:paraId="679B40F6" w14:textId="77777777" w:rsidR="00A77489" w:rsidRPr="00C43350" w:rsidRDefault="00A77489" w:rsidP="00C43350">
            <w:pPr>
              <w:pStyle w:val="APVMATableTextRight"/>
            </w:pPr>
          </w:p>
        </w:tc>
      </w:tr>
      <w:tr w:rsidR="00A77489" w:rsidRPr="00AD6E28" w14:paraId="18A4A193" w14:textId="77777777" w:rsidTr="00C43350">
        <w:trPr>
          <w:cantSplit/>
          <w:trHeight w:val="317"/>
        </w:trPr>
        <w:tc>
          <w:tcPr>
            <w:tcW w:w="678" w:type="pct"/>
            <w:tcBorders>
              <w:top w:val="single" w:sz="4" w:space="0" w:color="auto"/>
              <w:bottom w:val="single" w:sz="4" w:space="0" w:color="auto"/>
            </w:tcBorders>
          </w:tcPr>
          <w:p w14:paraId="1A081DA7"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44665A26" w14:textId="77777777" w:rsidR="00A77489" w:rsidRPr="00C43350" w:rsidRDefault="00A77489" w:rsidP="00C43350">
            <w:pPr>
              <w:pStyle w:val="APVMATableText"/>
            </w:pPr>
            <w:r w:rsidRPr="00C43350">
              <w:t>PE</w:t>
            </w:r>
            <w:r w:rsidRPr="00C43350">
              <w:tab/>
              <w:t>0112</w:t>
            </w:r>
          </w:p>
        </w:tc>
        <w:tc>
          <w:tcPr>
            <w:tcW w:w="2074" w:type="pct"/>
            <w:tcBorders>
              <w:top w:val="single" w:sz="4" w:space="0" w:color="auto"/>
              <w:left w:val="nil"/>
              <w:bottom w:val="single" w:sz="4" w:space="0" w:color="auto"/>
              <w:right w:val="nil"/>
            </w:tcBorders>
          </w:tcPr>
          <w:p w14:paraId="259D2C6A" w14:textId="77777777" w:rsidR="00A77489" w:rsidRPr="00C43350" w:rsidRDefault="00A77489" w:rsidP="00C43350">
            <w:pPr>
              <w:pStyle w:val="APVMATableText"/>
            </w:pPr>
            <w:r w:rsidRPr="00C43350">
              <w:t>Eggs</w:t>
            </w:r>
          </w:p>
        </w:tc>
        <w:tc>
          <w:tcPr>
            <w:tcW w:w="1376" w:type="pct"/>
            <w:tcBorders>
              <w:top w:val="single" w:sz="4" w:space="0" w:color="auto"/>
              <w:left w:val="nil"/>
              <w:bottom w:val="single" w:sz="4" w:space="0" w:color="auto"/>
              <w:right w:val="nil"/>
            </w:tcBorders>
          </w:tcPr>
          <w:p w14:paraId="19BD925C" w14:textId="77777777" w:rsidR="00A77489" w:rsidRPr="00C43350" w:rsidRDefault="00A77489" w:rsidP="00C43350">
            <w:pPr>
              <w:pStyle w:val="APVMATableTextRight"/>
            </w:pPr>
            <w:r w:rsidRPr="00C43350">
              <w:t>T0.5</w:t>
            </w:r>
          </w:p>
        </w:tc>
      </w:tr>
      <w:tr w:rsidR="00A77489" w:rsidRPr="00AD6E28" w14:paraId="338D3485" w14:textId="77777777" w:rsidTr="00C43350">
        <w:trPr>
          <w:cantSplit/>
          <w:trHeight w:val="514"/>
        </w:trPr>
        <w:tc>
          <w:tcPr>
            <w:tcW w:w="678" w:type="pct"/>
            <w:tcBorders>
              <w:top w:val="single" w:sz="4" w:space="0" w:color="auto"/>
              <w:bottom w:val="single" w:sz="4" w:space="0" w:color="auto"/>
            </w:tcBorders>
          </w:tcPr>
          <w:p w14:paraId="7ED7492F"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241F868A" w14:textId="77777777" w:rsidR="00A77489" w:rsidRPr="00C43350" w:rsidRDefault="00A77489" w:rsidP="00C43350">
            <w:pPr>
              <w:pStyle w:val="APVMATableText"/>
            </w:pPr>
            <w:r w:rsidRPr="00C43350">
              <w:t>MO</w:t>
            </w:r>
            <w:r w:rsidRPr="00C43350">
              <w:tab/>
              <w:t>0098</w:t>
            </w:r>
          </w:p>
        </w:tc>
        <w:tc>
          <w:tcPr>
            <w:tcW w:w="2074" w:type="pct"/>
            <w:tcBorders>
              <w:top w:val="single" w:sz="4" w:space="0" w:color="auto"/>
              <w:left w:val="nil"/>
              <w:bottom w:val="single" w:sz="4" w:space="0" w:color="auto"/>
              <w:right w:val="nil"/>
            </w:tcBorders>
          </w:tcPr>
          <w:p w14:paraId="6879165A" w14:textId="77777777" w:rsidR="00A77489" w:rsidRPr="00C43350" w:rsidRDefault="00A77489" w:rsidP="00C43350">
            <w:pPr>
              <w:pStyle w:val="APVMATableText"/>
            </w:pPr>
            <w:r w:rsidRPr="00C43350">
              <w:t xml:space="preserve">Kidney of cattle, goats, </w:t>
            </w:r>
            <w:proofErr w:type="gramStart"/>
            <w:r w:rsidRPr="00C43350">
              <w:t>pigs</w:t>
            </w:r>
            <w:proofErr w:type="gramEnd"/>
            <w:r w:rsidRPr="00C43350">
              <w:t xml:space="preserve"> and sheep</w:t>
            </w:r>
          </w:p>
        </w:tc>
        <w:tc>
          <w:tcPr>
            <w:tcW w:w="1376" w:type="pct"/>
            <w:tcBorders>
              <w:top w:val="single" w:sz="4" w:space="0" w:color="auto"/>
              <w:left w:val="nil"/>
              <w:bottom w:val="single" w:sz="4" w:space="0" w:color="auto"/>
              <w:right w:val="nil"/>
            </w:tcBorders>
          </w:tcPr>
          <w:p w14:paraId="085B59B5" w14:textId="77777777" w:rsidR="00A77489" w:rsidRPr="00C43350" w:rsidRDefault="00A77489" w:rsidP="00C43350">
            <w:pPr>
              <w:pStyle w:val="APVMATableTextRight"/>
            </w:pPr>
            <w:r w:rsidRPr="00C43350">
              <w:t>T10</w:t>
            </w:r>
          </w:p>
        </w:tc>
      </w:tr>
      <w:tr w:rsidR="00A77489" w:rsidRPr="00AD6E28" w14:paraId="75326447" w14:textId="77777777" w:rsidTr="00C43350">
        <w:trPr>
          <w:cantSplit/>
          <w:trHeight w:val="306"/>
        </w:trPr>
        <w:tc>
          <w:tcPr>
            <w:tcW w:w="678" w:type="pct"/>
            <w:tcBorders>
              <w:top w:val="single" w:sz="4" w:space="0" w:color="auto"/>
              <w:bottom w:val="single" w:sz="4" w:space="0" w:color="auto"/>
            </w:tcBorders>
          </w:tcPr>
          <w:p w14:paraId="4B249BE5"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567D8844" w14:textId="77777777" w:rsidR="00A77489" w:rsidRPr="00C43350" w:rsidRDefault="00A77489" w:rsidP="00C43350">
            <w:pPr>
              <w:pStyle w:val="APVMATableText"/>
            </w:pPr>
            <w:r w:rsidRPr="00C43350">
              <w:t>MO</w:t>
            </w:r>
            <w:r w:rsidRPr="00C43350">
              <w:tab/>
              <w:t>0099</w:t>
            </w:r>
          </w:p>
        </w:tc>
        <w:tc>
          <w:tcPr>
            <w:tcW w:w="2074" w:type="pct"/>
            <w:tcBorders>
              <w:top w:val="single" w:sz="4" w:space="0" w:color="auto"/>
              <w:left w:val="nil"/>
              <w:bottom w:val="single" w:sz="4" w:space="0" w:color="auto"/>
              <w:right w:val="nil"/>
            </w:tcBorders>
          </w:tcPr>
          <w:p w14:paraId="28E17E02" w14:textId="77777777" w:rsidR="00A77489" w:rsidRPr="00C43350" w:rsidRDefault="00A77489" w:rsidP="00C43350">
            <w:pPr>
              <w:pStyle w:val="APVMATableText"/>
            </w:pPr>
            <w:r w:rsidRPr="00C43350">
              <w:t xml:space="preserve">Liver of cattle, goats, </w:t>
            </w:r>
            <w:proofErr w:type="gramStart"/>
            <w:r w:rsidRPr="00C43350">
              <w:t>pigs</w:t>
            </w:r>
            <w:proofErr w:type="gramEnd"/>
            <w:r w:rsidRPr="00C43350">
              <w:t xml:space="preserve"> and sheep</w:t>
            </w:r>
          </w:p>
        </w:tc>
        <w:tc>
          <w:tcPr>
            <w:tcW w:w="1376" w:type="pct"/>
            <w:tcBorders>
              <w:top w:val="single" w:sz="4" w:space="0" w:color="auto"/>
              <w:left w:val="nil"/>
              <w:bottom w:val="single" w:sz="4" w:space="0" w:color="auto"/>
              <w:right w:val="nil"/>
            </w:tcBorders>
          </w:tcPr>
          <w:p w14:paraId="6DABDC61" w14:textId="77777777" w:rsidR="00A77489" w:rsidRPr="00C43350" w:rsidRDefault="00A77489" w:rsidP="00C43350">
            <w:pPr>
              <w:pStyle w:val="APVMATableTextRight"/>
            </w:pPr>
            <w:r w:rsidRPr="00C43350">
              <w:t>T0.5</w:t>
            </w:r>
          </w:p>
        </w:tc>
      </w:tr>
      <w:tr w:rsidR="00A77489" w:rsidRPr="00AD6E28" w14:paraId="3C33CFFC" w14:textId="77777777" w:rsidTr="00C43350">
        <w:trPr>
          <w:cantSplit/>
          <w:trHeight w:val="317"/>
        </w:trPr>
        <w:tc>
          <w:tcPr>
            <w:tcW w:w="678" w:type="pct"/>
            <w:tcBorders>
              <w:top w:val="single" w:sz="4" w:space="0" w:color="auto"/>
              <w:bottom w:val="single" w:sz="4" w:space="0" w:color="auto"/>
            </w:tcBorders>
          </w:tcPr>
          <w:p w14:paraId="293DFF7D"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4A7F3673" w14:textId="77777777" w:rsidR="00A77489" w:rsidRPr="00C43350" w:rsidRDefault="00A77489" w:rsidP="00C43350">
            <w:pPr>
              <w:pStyle w:val="APVMATableText"/>
            </w:pPr>
            <w:r w:rsidRPr="00C43350">
              <w:t>MF</w:t>
            </w:r>
            <w:r w:rsidRPr="00C43350">
              <w:tab/>
              <w:t>0100</w:t>
            </w:r>
          </w:p>
        </w:tc>
        <w:tc>
          <w:tcPr>
            <w:tcW w:w="2074" w:type="pct"/>
            <w:tcBorders>
              <w:top w:val="single" w:sz="4" w:space="0" w:color="auto"/>
              <w:left w:val="nil"/>
              <w:bottom w:val="single" w:sz="4" w:space="0" w:color="auto"/>
              <w:right w:val="nil"/>
            </w:tcBorders>
          </w:tcPr>
          <w:p w14:paraId="0D58C407" w14:textId="77777777" w:rsidR="00A77489" w:rsidRPr="00C43350" w:rsidRDefault="00A77489" w:rsidP="00C43350">
            <w:pPr>
              <w:pStyle w:val="APVMATableText"/>
            </w:pPr>
            <w:r w:rsidRPr="00C43350">
              <w:t>Mammalian fats {except Milk fats}</w:t>
            </w:r>
          </w:p>
        </w:tc>
        <w:tc>
          <w:tcPr>
            <w:tcW w:w="1376" w:type="pct"/>
            <w:tcBorders>
              <w:top w:val="single" w:sz="4" w:space="0" w:color="auto"/>
              <w:left w:val="nil"/>
              <w:bottom w:val="single" w:sz="4" w:space="0" w:color="auto"/>
              <w:right w:val="nil"/>
            </w:tcBorders>
          </w:tcPr>
          <w:p w14:paraId="216509C0" w14:textId="77777777" w:rsidR="00A77489" w:rsidRPr="00C43350" w:rsidRDefault="00A77489" w:rsidP="00C43350">
            <w:pPr>
              <w:pStyle w:val="APVMATableTextRight"/>
            </w:pPr>
            <w:r w:rsidRPr="00C43350">
              <w:t>T0.5</w:t>
            </w:r>
          </w:p>
        </w:tc>
      </w:tr>
      <w:tr w:rsidR="00A77489" w:rsidRPr="00AD6E28" w14:paraId="25107979" w14:textId="77777777" w:rsidTr="00C43350">
        <w:trPr>
          <w:cantSplit/>
          <w:trHeight w:val="317"/>
        </w:trPr>
        <w:tc>
          <w:tcPr>
            <w:tcW w:w="678" w:type="pct"/>
            <w:tcBorders>
              <w:top w:val="single" w:sz="4" w:space="0" w:color="auto"/>
              <w:bottom w:val="single" w:sz="4" w:space="0" w:color="auto"/>
            </w:tcBorders>
          </w:tcPr>
          <w:p w14:paraId="2ABECA18"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745BC27F" w14:textId="77777777" w:rsidR="00A77489" w:rsidRPr="00C43350" w:rsidRDefault="00A77489" w:rsidP="00C43350">
            <w:pPr>
              <w:pStyle w:val="APVMATableText"/>
            </w:pPr>
            <w:r w:rsidRPr="00C43350">
              <w:t>MM</w:t>
            </w:r>
            <w:r w:rsidRPr="00C43350">
              <w:tab/>
              <w:t>0095</w:t>
            </w:r>
          </w:p>
        </w:tc>
        <w:tc>
          <w:tcPr>
            <w:tcW w:w="2074" w:type="pct"/>
            <w:tcBorders>
              <w:top w:val="single" w:sz="4" w:space="0" w:color="auto"/>
              <w:left w:val="nil"/>
              <w:bottom w:val="single" w:sz="4" w:space="0" w:color="auto"/>
              <w:right w:val="nil"/>
            </w:tcBorders>
          </w:tcPr>
          <w:p w14:paraId="7F4182C9" w14:textId="77777777" w:rsidR="00A77489" w:rsidRPr="00C43350" w:rsidRDefault="00A77489" w:rsidP="00C43350">
            <w:pPr>
              <w:pStyle w:val="APVMATableText"/>
            </w:pPr>
            <w:r w:rsidRPr="00C43350">
              <w:t>Meat (mammalian)</w:t>
            </w:r>
          </w:p>
        </w:tc>
        <w:tc>
          <w:tcPr>
            <w:tcW w:w="1376" w:type="pct"/>
            <w:tcBorders>
              <w:top w:val="single" w:sz="4" w:space="0" w:color="auto"/>
              <w:left w:val="nil"/>
              <w:bottom w:val="single" w:sz="4" w:space="0" w:color="auto"/>
              <w:right w:val="nil"/>
            </w:tcBorders>
          </w:tcPr>
          <w:p w14:paraId="0F435494" w14:textId="77777777" w:rsidR="00A77489" w:rsidRPr="00C43350" w:rsidRDefault="00A77489" w:rsidP="00C43350">
            <w:pPr>
              <w:pStyle w:val="APVMATableTextRight"/>
            </w:pPr>
            <w:r w:rsidRPr="00C43350">
              <w:t>T0.5</w:t>
            </w:r>
          </w:p>
        </w:tc>
      </w:tr>
      <w:tr w:rsidR="00A77489" w:rsidRPr="00AD6E28" w14:paraId="21E1C825" w14:textId="77777777" w:rsidTr="00C43350">
        <w:trPr>
          <w:cantSplit/>
          <w:trHeight w:val="306"/>
        </w:trPr>
        <w:tc>
          <w:tcPr>
            <w:tcW w:w="678" w:type="pct"/>
            <w:tcBorders>
              <w:top w:val="single" w:sz="4" w:space="0" w:color="auto"/>
              <w:bottom w:val="single" w:sz="4" w:space="0" w:color="auto"/>
            </w:tcBorders>
          </w:tcPr>
          <w:p w14:paraId="0410EA48"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17F87F09" w14:textId="77777777" w:rsidR="00A77489" w:rsidRPr="00C43350" w:rsidRDefault="00A77489" w:rsidP="00C43350">
            <w:pPr>
              <w:pStyle w:val="APVMATableText"/>
            </w:pPr>
            <w:r w:rsidRPr="00C43350">
              <w:t>ML</w:t>
            </w:r>
            <w:r w:rsidRPr="00C43350">
              <w:tab/>
              <w:t>0106</w:t>
            </w:r>
          </w:p>
        </w:tc>
        <w:tc>
          <w:tcPr>
            <w:tcW w:w="2074" w:type="pct"/>
            <w:tcBorders>
              <w:top w:val="single" w:sz="4" w:space="0" w:color="auto"/>
              <w:left w:val="nil"/>
              <w:bottom w:val="single" w:sz="4" w:space="0" w:color="auto"/>
              <w:right w:val="nil"/>
            </w:tcBorders>
          </w:tcPr>
          <w:p w14:paraId="332E3C8F" w14:textId="77777777" w:rsidR="00A77489" w:rsidRPr="00C43350" w:rsidRDefault="00A77489" w:rsidP="00C43350">
            <w:pPr>
              <w:pStyle w:val="APVMATableText"/>
            </w:pPr>
            <w:r w:rsidRPr="00C43350">
              <w:t>Milks</w:t>
            </w:r>
          </w:p>
        </w:tc>
        <w:tc>
          <w:tcPr>
            <w:tcW w:w="1376" w:type="pct"/>
            <w:tcBorders>
              <w:top w:val="single" w:sz="4" w:space="0" w:color="auto"/>
              <w:left w:val="nil"/>
              <w:bottom w:val="single" w:sz="4" w:space="0" w:color="auto"/>
              <w:right w:val="nil"/>
            </w:tcBorders>
          </w:tcPr>
          <w:p w14:paraId="0FD60DF2" w14:textId="77777777" w:rsidR="00A77489" w:rsidRPr="00C43350" w:rsidRDefault="00A77489" w:rsidP="00C43350">
            <w:pPr>
              <w:pStyle w:val="APVMATableTextRight"/>
            </w:pPr>
            <w:r w:rsidRPr="00C43350">
              <w:t>T1.5</w:t>
            </w:r>
          </w:p>
        </w:tc>
      </w:tr>
      <w:bookmarkEnd w:id="79"/>
      <w:tr w:rsidR="00A77489" w:rsidRPr="00AD6E28" w14:paraId="43FB5EDB" w14:textId="77777777" w:rsidTr="00C43350">
        <w:trPr>
          <w:cantSplit/>
          <w:trHeight w:val="317"/>
        </w:trPr>
        <w:tc>
          <w:tcPr>
            <w:tcW w:w="678" w:type="pct"/>
            <w:tcBorders>
              <w:top w:val="single" w:sz="4" w:space="0" w:color="auto"/>
              <w:bottom w:val="single" w:sz="4" w:space="0" w:color="auto"/>
            </w:tcBorders>
          </w:tcPr>
          <w:p w14:paraId="6DC7F500"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2B0EFEBB" w14:textId="77777777" w:rsidR="00A77489" w:rsidRPr="00C43350" w:rsidRDefault="00A77489" w:rsidP="00C43350">
            <w:pPr>
              <w:pStyle w:val="APVMATableText"/>
            </w:pPr>
          </w:p>
        </w:tc>
        <w:tc>
          <w:tcPr>
            <w:tcW w:w="2074" w:type="pct"/>
            <w:tcBorders>
              <w:top w:val="single" w:sz="4" w:space="0" w:color="auto"/>
              <w:left w:val="nil"/>
              <w:bottom w:val="single" w:sz="4" w:space="0" w:color="auto"/>
              <w:right w:val="nil"/>
            </w:tcBorders>
          </w:tcPr>
          <w:p w14:paraId="794F1DFA" w14:textId="77777777" w:rsidR="00A77489" w:rsidRPr="00C43350" w:rsidRDefault="00A77489" w:rsidP="00C43350">
            <w:pPr>
              <w:pStyle w:val="APVMATableText"/>
            </w:pPr>
            <w:r w:rsidRPr="00C43350">
              <w:t>Poultry kidney</w:t>
            </w:r>
          </w:p>
        </w:tc>
        <w:tc>
          <w:tcPr>
            <w:tcW w:w="1376" w:type="pct"/>
            <w:tcBorders>
              <w:top w:val="single" w:sz="4" w:space="0" w:color="auto"/>
              <w:left w:val="nil"/>
              <w:bottom w:val="single" w:sz="4" w:space="0" w:color="auto"/>
              <w:right w:val="nil"/>
            </w:tcBorders>
          </w:tcPr>
          <w:p w14:paraId="6B3DFC0D" w14:textId="77777777" w:rsidR="00A77489" w:rsidRPr="00C43350" w:rsidRDefault="00A77489" w:rsidP="00C43350">
            <w:pPr>
              <w:pStyle w:val="APVMATableTextRight"/>
            </w:pPr>
            <w:r w:rsidRPr="00C43350">
              <w:t>T10</w:t>
            </w:r>
          </w:p>
        </w:tc>
      </w:tr>
      <w:tr w:rsidR="00A77489" w:rsidRPr="00AD6E28" w14:paraId="6C257DD3" w14:textId="77777777" w:rsidTr="00C43350">
        <w:trPr>
          <w:cantSplit/>
          <w:trHeight w:val="306"/>
        </w:trPr>
        <w:tc>
          <w:tcPr>
            <w:tcW w:w="678" w:type="pct"/>
            <w:tcBorders>
              <w:top w:val="single" w:sz="4" w:space="0" w:color="auto"/>
              <w:bottom w:val="single" w:sz="4" w:space="0" w:color="auto"/>
            </w:tcBorders>
          </w:tcPr>
          <w:p w14:paraId="1D72D333"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591D049F" w14:textId="77777777" w:rsidR="00A77489" w:rsidRPr="00C43350" w:rsidRDefault="00A77489" w:rsidP="00C43350">
            <w:pPr>
              <w:pStyle w:val="APVMATableText"/>
            </w:pPr>
          </w:p>
        </w:tc>
        <w:tc>
          <w:tcPr>
            <w:tcW w:w="2074" w:type="pct"/>
            <w:tcBorders>
              <w:top w:val="single" w:sz="4" w:space="0" w:color="auto"/>
              <w:left w:val="nil"/>
              <w:bottom w:val="single" w:sz="4" w:space="0" w:color="auto"/>
              <w:right w:val="nil"/>
            </w:tcBorders>
          </w:tcPr>
          <w:p w14:paraId="49473156" w14:textId="77777777" w:rsidR="00A77489" w:rsidRPr="00C43350" w:rsidRDefault="00A77489" w:rsidP="00C43350">
            <w:pPr>
              <w:pStyle w:val="APVMATableText"/>
            </w:pPr>
            <w:r w:rsidRPr="00C43350">
              <w:t>Poultry, liver</w:t>
            </w:r>
          </w:p>
        </w:tc>
        <w:tc>
          <w:tcPr>
            <w:tcW w:w="1376" w:type="pct"/>
            <w:tcBorders>
              <w:top w:val="single" w:sz="4" w:space="0" w:color="auto"/>
              <w:left w:val="nil"/>
              <w:bottom w:val="single" w:sz="4" w:space="0" w:color="auto"/>
              <w:right w:val="nil"/>
            </w:tcBorders>
          </w:tcPr>
          <w:p w14:paraId="4B3C8775" w14:textId="77777777" w:rsidR="00A77489" w:rsidRPr="00C43350" w:rsidRDefault="00A77489" w:rsidP="00C43350">
            <w:pPr>
              <w:pStyle w:val="APVMATableTextRight"/>
            </w:pPr>
            <w:r w:rsidRPr="00C43350">
              <w:t>T0.5</w:t>
            </w:r>
          </w:p>
        </w:tc>
      </w:tr>
      <w:tr w:rsidR="00A77489" w:rsidRPr="00AD6E28" w14:paraId="4EE2390E" w14:textId="77777777" w:rsidTr="00C43350">
        <w:trPr>
          <w:cantSplit/>
          <w:trHeight w:val="317"/>
        </w:trPr>
        <w:tc>
          <w:tcPr>
            <w:tcW w:w="678" w:type="pct"/>
            <w:tcBorders>
              <w:top w:val="single" w:sz="4" w:space="0" w:color="auto"/>
              <w:bottom w:val="single" w:sz="4" w:space="0" w:color="auto"/>
            </w:tcBorders>
          </w:tcPr>
          <w:p w14:paraId="7558FE30" w14:textId="77777777" w:rsidR="00A77489" w:rsidRPr="00C43350" w:rsidRDefault="00A77489" w:rsidP="00C43350">
            <w:pPr>
              <w:pStyle w:val="APVMATableText"/>
            </w:pPr>
          </w:p>
        </w:tc>
        <w:tc>
          <w:tcPr>
            <w:tcW w:w="871" w:type="pct"/>
            <w:tcBorders>
              <w:top w:val="single" w:sz="4" w:space="0" w:color="auto"/>
              <w:left w:val="nil"/>
              <w:bottom w:val="single" w:sz="4" w:space="0" w:color="auto"/>
              <w:right w:val="nil"/>
            </w:tcBorders>
          </w:tcPr>
          <w:p w14:paraId="721C5F10" w14:textId="77777777" w:rsidR="00A77489" w:rsidRPr="00C43350" w:rsidRDefault="00A77489" w:rsidP="00C43350">
            <w:pPr>
              <w:pStyle w:val="APVMATableText"/>
            </w:pPr>
            <w:r w:rsidRPr="00C43350">
              <w:t>PM</w:t>
            </w:r>
            <w:r w:rsidRPr="00C43350">
              <w:tab/>
              <w:t>0110</w:t>
            </w:r>
          </w:p>
        </w:tc>
        <w:tc>
          <w:tcPr>
            <w:tcW w:w="2074" w:type="pct"/>
            <w:tcBorders>
              <w:top w:val="single" w:sz="4" w:space="0" w:color="auto"/>
              <w:left w:val="nil"/>
              <w:bottom w:val="single" w:sz="4" w:space="0" w:color="auto"/>
              <w:right w:val="nil"/>
            </w:tcBorders>
          </w:tcPr>
          <w:p w14:paraId="4577CABE" w14:textId="77777777" w:rsidR="00A77489" w:rsidRPr="00C43350" w:rsidRDefault="00A77489" w:rsidP="00C43350">
            <w:pPr>
              <w:pStyle w:val="APVMATableText"/>
            </w:pPr>
            <w:r w:rsidRPr="00C43350">
              <w:t>Poultry meat</w:t>
            </w:r>
          </w:p>
        </w:tc>
        <w:tc>
          <w:tcPr>
            <w:tcW w:w="1376" w:type="pct"/>
            <w:tcBorders>
              <w:top w:val="single" w:sz="4" w:space="0" w:color="auto"/>
              <w:left w:val="nil"/>
              <w:bottom w:val="single" w:sz="4" w:space="0" w:color="auto"/>
              <w:right w:val="nil"/>
            </w:tcBorders>
          </w:tcPr>
          <w:p w14:paraId="1FA9C473" w14:textId="77777777" w:rsidR="00A77489" w:rsidRPr="00C43350" w:rsidRDefault="00A77489" w:rsidP="00C43350">
            <w:pPr>
              <w:pStyle w:val="APVMATableTextRight"/>
            </w:pPr>
            <w:r w:rsidRPr="00C43350">
              <w:t>T0.5</w:t>
            </w:r>
          </w:p>
        </w:tc>
      </w:tr>
    </w:tbl>
    <w:p w14:paraId="57B3C0A6" w14:textId="407DE825" w:rsidR="00A77489" w:rsidRPr="00C43350" w:rsidRDefault="00A77489" w:rsidP="00C43350">
      <w:pPr>
        <w:pStyle w:val="APVMAText"/>
      </w:pPr>
      <w:r w:rsidRPr="00C43350">
        <w:t>There are no entries for neomycin in either Table 4 or Table 5 of the MRL Standard.</w:t>
      </w:r>
    </w:p>
    <w:p w14:paraId="4673BF07" w14:textId="29A35055" w:rsidR="009A2650" w:rsidRPr="00C43350" w:rsidRDefault="009A2650" w:rsidP="00C43350">
      <w:pPr>
        <w:pStyle w:val="Heading2"/>
      </w:pPr>
      <w:bookmarkStart w:id="80" w:name="_Toc158818258"/>
      <w:bookmarkStart w:id="81" w:name="_Toc152266096"/>
      <w:r w:rsidRPr="00C43350">
        <w:t xml:space="preserve">Reconsideration of the </w:t>
      </w:r>
      <w:r w:rsidR="00B102FF">
        <w:t>r</w:t>
      </w:r>
      <w:r w:rsidRPr="00C43350">
        <w:t xml:space="preserve">esidue </w:t>
      </w:r>
      <w:r w:rsidR="00B102FF">
        <w:t>d</w:t>
      </w:r>
      <w:r w:rsidR="008D7E36" w:rsidRPr="00C43350">
        <w:t>efinition</w:t>
      </w:r>
      <w:r w:rsidRPr="00C43350">
        <w:t xml:space="preserve"> for neomycin</w:t>
      </w:r>
      <w:bookmarkEnd w:id="80"/>
    </w:p>
    <w:p w14:paraId="6FE6C789" w14:textId="7DAE0668" w:rsidR="006955F2" w:rsidRPr="00C43350" w:rsidRDefault="006955F2" w:rsidP="00C43350">
      <w:pPr>
        <w:pStyle w:val="APVMAText"/>
      </w:pPr>
      <w:r w:rsidRPr="00C43350">
        <w:t xml:space="preserve">The current Australian residues definition for neomycin is expressed as </w:t>
      </w:r>
      <w:r w:rsidR="00092592">
        <w:t>‘</w:t>
      </w:r>
      <w:r w:rsidRPr="00C43350">
        <w:t>Inhibitory substance, identified as neomycin</w:t>
      </w:r>
      <w:r w:rsidR="00092592">
        <w:t>’</w:t>
      </w:r>
      <w:r w:rsidR="00092592" w:rsidRPr="00C43350">
        <w:t xml:space="preserve">. </w:t>
      </w:r>
      <w:r w:rsidRPr="00C43350">
        <w:t xml:space="preserve">For </w:t>
      </w:r>
      <w:r w:rsidR="002D767D" w:rsidRPr="00C43350">
        <w:t xml:space="preserve">the </w:t>
      </w:r>
      <w:r w:rsidRPr="00C43350">
        <w:t>detection of neomycin</w:t>
      </w:r>
      <w:r w:rsidR="002D767D" w:rsidRPr="00C43350">
        <w:t>,</w:t>
      </w:r>
      <w:r w:rsidRPr="00C43350">
        <w:t xml:space="preserve"> instrumental methods are now available in addition to microbiological assay methods which were available when the current residue </w:t>
      </w:r>
      <w:r w:rsidR="008D7E36" w:rsidRPr="00C43350">
        <w:t>definition</w:t>
      </w:r>
      <w:r w:rsidRPr="00C43350">
        <w:t xml:space="preserve"> was established. It is understood that contemporary chromatography methods for analysis of neomycin have several advantages in contemporary practice over microbiological method in terms of precision, accuracy, and shorter testing time.</w:t>
      </w:r>
    </w:p>
    <w:p w14:paraId="1A5A6762" w14:textId="6F493FCB" w:rsidR="009A2650" w:rsidRPr="00C43350" w:rsidRDefault="009A2650" w:rsidP="00C43350">
      <w:pPr>
        <w:pStyle w:val="APVMAText"/>
      </w:pPr>
      <w:r w:rsidRPr="00C43350">
        <w:t xml:space="preserve">As neomycin is subject to negligible metabolism in animals, it is considered appropriate to align the Australian residue definition (marker compound) of neomycin to that established by Codex as ‘neomycin’. The microbiological and </w:t>
      </w:r>
      <w:r w:rsidR="006955F2" w:rsidRPr="00C43350">
        <w:t xml:space="preserve">instrumental </w:t>
      </w:r>
      <w:r w:rsidRPr="00C43350">
        <w:t xml:space="preserve">methods are considered comparable for the quantification of neomycin, </w:t>
      </w:r>
      <w:r w:rsidRPr="00C43350">
        <w:lastRenderedPageBreak/>
        <w:t>therefore residues data which utilised the microbiological method are considered relevant to the proposed residue definition of ‘neomycin’.</w:t>
      </w:r>
    </w:p>
    <w:p w14:paraId="4909FC31" w14:textId="1E693DC7" w:rsidR="00A77489" w:rsidRPr="00C43350" w:rsidRDefault="00A77489" w:rsidP="00C43350">
      <w:pPr>
        <w:pStyle w:val="Heading2"/>
      </w:pPr>
      <w:bookmarkStart w:id="82" w:name="_Toc158818259"/>
      <w:r w:rsidRPr="00C43350">
        <w:t>Residues risk assessment</w:t>
      </w:r>
      <w:bookmarkEnd w:id="81"/>
      <w:bookmarkEnd w:id="82"/>
    </w:p>
    <w:p w14:paraId="1F1CC01D" w14:textId="23714586" w:rsidR="00A77489" w:rsidRPr="00C43350" w:rsidRDefault="00A77489" w:rsidP="00C43350">
      <w:pPr>
        <w:pStyle w:val="APVMAText"/>
      </w:pPr>
      <w:r w:rsidRPr="00C43350">
        <w:t xml:space="preserve">The available residues data that is relevant to currently approved use patterns for neomycin in food producing species (cattle, sheep, </w:t>
      </w:r>
      <w:proofErr w:type="gramStart"/>
      <w:r w:rsidRPr="00C43350">
        <w:t>pigs</w:t>
      </w:r>
      <w:proofErr w:type="gramEnd"/>
      <w:r w:rsidRPr="00C43350">
        <w:t xml:space="preserve"> and poultry) are considered in this section. </w:t>
      </w:r>
      <w:r w:rsidR="00047811" w:rsidRPr="00C43350">
        <w:t>Horses are not generally considered a food producing species in Australia, however appropriate label instructions to manage potential residue concerns</w:t>
      </w:r>
      <w:r w:rsidR="002D767D" w:rsidRPr="00C43350">
        <w:t xml:space="preserve"> in horses</w:t>
      </w:r>
      <w:r w:rsidR="00047811" w:rsidRPr="00C43350">
        <w:t xml:space="preserve"> will be considered.</w:t>
      </w:r>
    </w:p>
    <w:p w14:paraId="63D72D08" w14:textId="603AF347" w:rsidR="00A77489" w:rsidRPr="00C43350" w:rsidRDefault="00872D8E" w:rsidP="00C43350">
      <w:pPr>
        <w:pStyle w:val="APVMAText"/>
      </w:pPr>
      <w:r w:rsidRPr="00C43350">
        <w:t>T</w:t>
      </w:r>
      <w:r w:rsidR="00A77489" w:rsidRPr="00C43350">
        <w:t xml:space="preserve">he residues risk assessment </w:t>
      </w:r>
      <w:r w:rsidR="009A2650" w:rsidRPr="00C43350">
        <w:t xml:space="preserve">is </w:t>
      </w:r>
      <w:r w:rsidR="00A77489" w:rsidRPr="00C43350">
        <w:t>aimed at addressing consumer safety, and for setting appropriate withholding periods</w:t>
      </w:r>
      <w:r w:rsidR="00266EBF" w:rsidRPr="00C43350">
        <w:t xml:space="preserve"> (WHP)</w:t>
      </w:r>
      <w:r w:rsidR="00A77489" w:rsidRPr="00C43350">
        <w:t>, re-treatment intervals and export slaughter intervals</w:t>
      </w:r>
      <w:r w:rsidR="009A2650" w:rsidRPr="00C43350">
        <w:t xml:space="preserve"> </w:t>
      </w:r>
      <w:r w:rsidR="002D767D" w:rsidRPr="00C43350">
        <w:t xml:space="preserve">(ESI) </w:t>
      </w:r>
      <w:r w:rsidR="009A2650" w:rsidRPr="00C43350">
        <w:t>on product labels</w:t>
      </w:r>
      <w:r w:rsidR="00696BD7" w:rsidRPr="00C43350">
        <w:t>.</w:t>
      </w:r>
      <w:r w:rsidR="00A77489" w:rsidRPr="00C43350">
        <w:t xml:space="preserve"> </w:t>
      </w:r>
      <w:r w:rsidR="00696BD7" w:rsidRPr="00C43350">
        <w:t>I</w:t>
      </w:r>
      <w:r w:rsidR="00A77489" w:rsidRPr="00C43350">
        <w:t xml:space="preserve">t is critical that the APVMA have access to residues data that </w:t>
      </w:r>
      <w:r w:rsidR="002D767D" w:rsidRPr="00C43350">
        <w:t>wa</w:t>
      </w:r>
      <w:r w:rsidR="00A77489" w:rsidRPr="00C43350">
        <w:t xml:space="preserve">s generated utilising the </w:t>
      </w:r>
      <w:r w:rsidR="00047811" w:rsidRPr="00C43350">
        <w:t xml:space="preserve">specific </w:t>
      </w:r>
      <w:r w:rsidR="00A77489" w:rsidRPr="00C43350">
        <w:t>formulation</w:t>
      </w:r>
      <w:r w:rsidR="00047811" w:rsidRPr="00C43350">
        <w:t xml:space="preserve"> of the product</w:t>
      </w:r>
      <w:r w:rsidR="00994708" w:rsidRPr="00C43350">
        <w:t xml:space="preserve"> registration</w:t>
      </w:r>
      <w:r w:rsidR="00047811" w:rsidRPr="00C43350">
        <w:t xml:space="preserve"> in question</w:t>
      </w:r>
      <w:r w:rsidR="00A77489" w:rsidRPr="00C43350">
        <w:t xml:space="preserve">. This is consistent with the </w:t>
      </w:r>
      <w:hyperlink r:id="rId36" w:history="1">
        <w:r w:rsidR="00A77489" w:rsidRPr="00FE6AAC">
          <w:rPr>
            <w:rStyle w:val="Hyperlink"/>
          </w:rPr>
          <w:t>APVMA residue guidance</w:t>
        </w:r>
      </w:hyperlink>
      <w:r w:rsidR="00A77489" w:rsidRPr="00C43350">
        <w:t xml:space="preserve"> and </w:t>
      </w:r>
      <w:hyperlink r:id="rId37" w:history="1">
        <w:r w:rsidR="00A77489" w:rsidRPr="00FE6AAC">
          <w:rPr>
            <w:rStyle w:val="Hyperlink"/>
          </w:rPr>
          <w:t>VICH guidelines</w:t>
        </w:r>
      </w:hyperlink>
      <w:r w:rsidR="00A77489" w:rsidRPr="00C43350">
        <w:t xml:space="preserve"> that clearly states the test product employed in the study should be representative of the commercial formulation.</w:t>
      </w:r>
    </w:p>
    <w:p w14:paraId="50E7667E" w14:textId="130A8D9D" w:rsidR="00A77489" w:rsidRPr="00C43350" w:rsidRDefault="00047811" w:rsidP="00C43350">
      <w:pPr>
        <w:pStyle w:val="APVMAText"/>
      </w:pPr>
      <w:r w:rsidRPr="00C43350">
        <w:t>The</w:t>
      </w:r>
      <w:r w:rsidR="00A77489" w:rsidRPr="00C43350">
        <w:t xml:space="preserve"> use</w:t>
      </w:r>
      <w:r w:rsidRPr="00C43350">
        <w:t xml:space="preserve"> of neomycin</w:t>
      </w:r>
      <w:r w:rsidR="00A77489" w:rsidRPr="00C43350">
        <w:t xml:space="preserve"> in cattle, </w:t>
      </w:r>
      <w:r w:rsidR="009A2650" w:rsidRPr="00C43350">
        <w:t xml:space="preserve">horses, </w:t>
      </w:r>
      <w:r w:rsidR="00A77489" w:rsidRPr="00C43350">
        <w:t>pigs</w:t>
      </w:r>
      <w:r w:rsidR="009A2650" w:rsidRPr="00C43350">
        <w:t xml:space="preserve">, </w:t>
      </w:r>
      <w:proofErr w:type="gramStart"/>
      <w:r w:rsidR="00A77489" w:rsidRPr="00C43350">
        <w:t>poultry</w:t>
      </w:r>
      <w:proofErr w:type="gramEnd"/>
      <w:r w:rsidR="009A2650" w:rsidRPr="00C43350">
        <w:t xml:space="preserve"> and sheep</w:t>
      </w:r>
      <w:r w:rsidR="00A77489" w:rsidRPr="00C43350">
        <w:t xml:space="preserve"> </w:t>
      </w:r>
      <w:r w:rsidRPr="00C43350">
        <w:t xml:space="preserve">are </w:t>
      </w:r>
      <w:r w:rsidR="00A77489" w:rsidRPr="00C43350">
        <w:t>considered below</w:t>
      </w:r>
      <w:r w:rsidRPr="00C43350">
        <w:t>, separated based on the route</w:t>
      </w:r>
      <w:r w:rsidR="008E179A" w:rsidRPr="00C43350">
        <w:t>s</w:t>
      </w:r>
      <w:r w:rsidRPr="00C43350">
        <w:t xml:space="preserve"> of administration and product</w:t>
      </w:r>
      <w:r w:rsidR="008E179A" w:rsidRPr="00C43350">
        <w:t>s</w:t>
      </w:r>
      <w:r w:rsidR="00A77489" w:rsidRPr="00C43350">
        <w:t>.</w:t>
      </w:r>
    </w:p>
    <w:p w14:paraId="3DFBEEA1" w14:textId="664E9E4B" w:rsidR="00280856" w:rsidRPr="00C43350" w:rsidRDefault="00280856" w:rsidP="00C43350">
      <w:pPr>
        <w:pStyle w:val="Heading3"/>
      </w:pPr>
      <w:bookmarkStart w:id="83" w:name="_Toc158818260"/>
      <w:r w:rsidRPr="00C43350">
        <w:t xml:space="preserve">Solution for </w:t>
      </w:r>
      <w:r w:rsidR="00B102FF">
        <w:t>i</w:t>
      </w:r>
      <w:r w:rsidRPr="00C43350">
        <w:t>njection</w:t>
      </w:r>
      <w:bookmarkEnd w:id="83"/>
    </w:p>
    <w:p w14:paraId="2D61136F" w14:textId="2FA0ABD6" w:rsidR="00047811" w:rsidRPr="00C43350" w:rsidRDefault="00047811" w:rsidP="00C43350">
      <w:pPr>
        <w:pStyle w:val="APVMAText"/>
      </w:pPr>
      <w:r w:rsidRPr="00C43350">
        <w:t xml:space="preserve">There are </w:t>
      </w:r>
      <w:r w:rsidR="00C43350">
        <w:t>2</w:t>
      </w:r>
      <w:r w:rsidR="00C43350" w:rsidRPr="00C43350">
        <w:t xml:space="preserve"> </w:t>
      </w:r>
      <w:r w:rsidRPr="00C43350">
        <w:t xml:space="preserve">neomycin products registered for injection into cattle, sheep, </w:t>
      </w:r>
      <w:proofErr w:type="gramStart"/>
      <w:r w:rsidRPr="00C43350">
        <w:t>pigs</w:t>
      </w:r>
      <w:proofErr w:type="gramEnd"/>
      <w:r w:rsidRPr="00C43350">
        <w:t xml:space="preserve"> and horses. These are:</w:t>
      </w:r>
    </w:p>
    <w:p w14:paraId="3A9B1EE8" w14:textId="26F84A06" w:rsidR="00047811" w:rsidRPr="00C43350" w:rsidRDefault="00B102FF" w:rsidP="00C43350">
      <w:pPr>
        <w:pStyle w:val="Bullet1"/>
      </w:pPr>
      <w:r>
        <w:t>r</w:t>
      </w:r>
      <w:r w:rsidRPr="00C43350">
        <w:t xml:space="preserve">egistered </w:t>
      </w:r>
      <w:r w:rsidR="00047811" w:rsidRPr="00C43350">
        <w:t xml:space="preserve">product number 36237, which contains </w:t>
      </w:r>
      <w:r w:rsidR="00031F04" w:rsidRPr="00C43350">
        <w:t>200</w:t>
      </w:r>
      <w:r w:rsidR="00031F04">
        <w:t> </w:t>
      </w:r>
      <w:r w:rsidR="00047811" w:rsidRPr="00C43350">
        <w:t xml:space="preserve">mg/mL neomycin </w:t>
      </w:r>
      <w:proofErr w:type="spellStart"/>
      <w:r w:rsidR="00047811" w:rsidRPr="00C43350">
        <w:t>sulfate</w:t>
      </w:r>
      <w:proofErr w:type="spellEnd"/>
    </w:p>
    <w:p w14:paraId="5DD31BCC" w14:textId="7F591FDA" w:rsidR="00047811" w:rsidRPr="00C43350" w:rsidRDefault="00B102FF" w:rsidP="00C43350">
      <w:pPr>
        <w:pStyle w:val="Bullet1"/>
      </w:pPr>
      <w:r>
        <w:t>r</w:t>
      </w:r>
      <w:r w:rsidRPr="00C43350">
        <w:t xml:space="preserve">egistered </w:t>
      </w:r>
      <w:r w:rsidR="00047811" w:rsidRPr="00C43350">
        <w:t xml:space="preserve">product number 37241, which contains </w:t>
      </w:r>
      <w:r w:rsidR="00031F04" w:rsidRPr="00C43350">
        <w:t>100</w:t>
      </w:r>
      <w:r w:rsidR="00031F04">
        <w:t> </w:t>
      </w:r>
      <w:r w:rsidR="00047811" w:rsidRPr="00C43350">
        <w:t xml:space="preserve">mg/mL neomycin (as the </w:t>
      </w:r>
      <w:proofErr w:type="spellStart"/>
      <w:r w:rsidR="00047811" w:rsidRPr="00C43350">
        <w:t>sulfate</w:t>
      </w:r>
      <w:proofErr w:type="spellEnd"/>
      <w:r w:rsidR="00047811" w:rsidRPr="00C43350">
        <w:t xml:space="preserve">) and </w:t>
      </w:r>
      <w:r w:rsidR="00031F04" w:rsidRPr="00C43350">
        <w:t>200</w:t>
      </w:r>
      <w:r w:rsidR="00031F04">
        <w:t> </w:t>
      </w:r>
      <w:r w:rsidR="00047811" w:rsidRPr="00C43350">
        <w:t>mg/mL procaine penicillin</w:t>
      </w:r>
      <w:r w:rsidR="009529F9" w:rsidRPr="00C43350">
        <w:t>.</w:t>
      </w:r>
    </w:p>
    <w:p w14:paraId="6A0376CF" w14:textId="5DB1A3B6" w:rsidR="00047811" w:rsidRPr="00C43350" w:rsidRDefault="00047811" w:rsidP="00C43350">
      <w:pPr>
        <w:pStyle w:val="Heading4"/>
      </w:pPr>
      <w:r w:rsidRPr="00C43350">
        <w:t>Product 36237</w:t>
      </w:r>
    </w:p>
    <w:p w14:paraId="2FB7FD3C" w14:textId="61479D41" w:rsidR="00280856" w:rsidRPr="00C43350" w:rsidRDefault="00280856" w:rsidP="00C43350">
      <w:pPr>
        <w:pStyle w:val="APVMAText"/>
      </w:pPr>
      <w:r w:rsidRPr="00C43350">
        <w:t>Residues data is not available for cattle</w:t>
      </w:r>
      <w:r w:rsidR="00047811" w:rsidRPr="00C43350">
        <w:t xml:space="preserve">, sheep, </w:t>
      </w:r>
      <w:proofErr w:type="gramStart"/>
      <w:r w:rsidR="00047811" w:rsidRPr="00C43350">
        <w:t>pig</w:t>
      </w:r>
      <w:proofErr w:type="gramEnd"/>
      <w:r w:rsidR="00047811" w:rsidRPr="00C43350">
        <w:t xml:space="preserve"> and horse</w:t>
      </w:r>
      <w:r w:rsidRPr="00C43350">
        <w:t xml:space="preserve"> tissues</w:t>
      </w:r>
      <w:r w:rsidR="00DE7D16" w:rsidRPr="00C43350">
        <w:t xml:space="preserve"> for this product</w:t>
      </w:r>
      <w:r w:rsidRPr="00C43350">
        <w:t xml:space="preserve">. </w:t>
      </w:r>
      <w:r w:rsidR="00047811" w:rsidRPr="00C43350">
        <w:t>The available cattle, sheep and pig tissue studies involve</w:t>
      </w:r>
      <w:r w:rsidR="00083DA3" w:rsidRPr="00C43350">
        <w:t>d</w:t>
      </w:r>
      <w:r w:rsidR="00047811" w:rsidRPr="00C43350">
        <w:t xml:space="preserve"> a dose rate of 5</w:t>
      </w:r>
      <w:r w:rsidR="00B102FF">
        <w:t> </w:t>
      </w:r>
      <w:r w:rsidR="00047811" w:rsidRPr="00C43350">
        <w:t>mg neomycin/</w:t>
      </w:r>
      <w:r w:rsidR="00D76256" w:rsidRPr="00C43350">
        <w:t>kg</w:t>
      </w:r>
      <w:r w:rsidR="00D76256">
        <w:t> </w:t>
      </w:r>
      <w:proofErr w:type="spellStart"/>
      <w:r w:rsidR="00047811" w:rsidRPr="00C43350">
        <w:t>bw</w:t>
      </w:r>
      <w:proofErr w:type="spellEnd"/>
      <w:r w:rsidR="00047811" w:rsidRPr="00C43350">
        <w:t xml:space="preserve"> (24 hrs apart for </w:t>
      </w:r>
      <w:r w:rsidR="00C43350">
        <w:t>3</w:t>
      </w:r>
      <w:r w:rsidR="00C43350" w:rsidRPr="00C43350">
        <w:t xml:space="preserve"> </w:t>
      </w:r>
      <w:r w:rsidR="00047811" w:rsidRPr="00C43350">
        <w:t xml:space="preserve">days) (De </w:t>
      </w:r>
      <w:proofErr w:type="spellStart"/>
      <w:r w:rsidR="00047811" w:rsidRPr="00C43350">
        <w:t>Kleyne</w:t>
      </w:r>
      <w:proofErr w:type="spellEnd"/>
      <w:r w:rsidR="00047811" w:rsidRPr="00C43350">
        <w:t xml:space="preserve"> 1989a, 1989b</w:t>
      </w:r>
      <w:r w:rsidR="008941B6" w:rsidRPr="00C43350">
        <w:t>,</w:t>
      </w:r>
      <w:r w:rsidR="00047811" w:rsidRPr="00C43350">
        <w:t xml:space="preserve"> 1989c). This differs from label dose rate of 2</w:t>
      </w:r>
      <w:r w:rsidR="00B102FF">
        <w:t xml:space="preserve"> to </w:t>
      </w:r>
      <w:r w:rsidR="00047811" w:rsidRPr="00C43350">
        <w:t>4</w:t>
      </w:r>
      <w:r w:rsidR="00B102FF">
        <w:t> </w:t>
      </w:r>
      <w:r w:rsidR="00047811" w:rsidRPr="00C43350">
        <w:t>mg neomycin/</w:t>
      </w:r>
      <w:r w:rsidR="00D76256" w:rsidRPr="00C43350">
        <w:t>kg</w:t>
      </w:r>
      <w:r w:rsidR="00D76256">
        <w:t> </w:t>
      </w:r>
      <w:proofErr w:type="spellStart"/>
      <w:r w:rsidR="00047811" w:rsidRPr="00C43350">
        <w:t>bw</w:t>
      </w:r>
      <w:proofErr w:type="spellEnd"/>
      <w:r w:rsidR="00047811" w:rsidRPr="00C43350">
        <w:t xml:space="preserve"> (every 8</w:t>
      </w:r>
      <w:r w:rsidR="00B102FF">
        <w:t> to </w:t>
      </w:r>
      <w:r w:rsidR="00047811" w:rsidRPr="00C43350">
        <w:t>12 hours) for product 36237. It is also noted that the current meat withholding period of 10 days was not addressed in this study (sampling from 28</w:t>
      </w:r>
      <w:r w:rsidR="00B102FF">
        <w:t> </w:t>
      </w:r>
      <w:r w:rsidR="00047811" w:rsidRPr="00C43350">
        <w:t xml:space="preserve">days). </w:t>
      </w:r>
      <w:r w:rsidRPr="00C43350">
        <w:t xml:space="preserve">A </w:t>
      </w:r>
      <w:r w:rsidR="00047811" w:rsidRPr="00C43350">
        <w:t xml:space="preserve">cattle </w:t>
      </w:r>
      <w:r w:rsidRPr="00C43350">
        <w:t>milk residue study is available</w:t>
      </w:r>
      <w:r w:rsidR="00CC1827" w:rsidRPr="00C43350">
        <w:t xml:space="preserve"> for a similar formulation</w:t>
      </w:r>
      <w:r w:rsidR="00047811" w:rsidRPr="00C43350">
        <w:t xml:space="preserve"> </w:t>
      </w:r>
      <w:r w:rsidR="00DA18C6" w:rsidRPr="00C43350">
        <w:t>(</w:t>
      </w:r>
      <w:proofErr w:type="spellStart"/>
      <w:r w:rsidR="00DA18C6" w:rsidRPr="00C43350">
        <w:t>Barbiers</w:t>
      </w:r>
      <w:proofErr w:type="spellEnd"/>
      <w:r w:rsidR="00DA18C6" w:rsidRPr="00C43350">
        <w:t xml:space="preserve"> </w:t>
      </w:r>
      <w:r w:rsidR="00DA18C6" w:rsidRPr="00B102FF">
        <w:rPr>
          <w:i/>
          <w:iCs/>
        </w:rPr>
        <w:t>et. al</w:t>
      </w:r>
      <w:r w:rsidR="00DA18C6" w:rsidRPr="00C43350">
        <w:t>. 1965)</w:t>
      </w:r>
      <w:r w:rsidRPr="00C43350">
        <w:t>, but it involved a dose rate of 10</w:t>
      </w:r>
      <w:r w:rsidR="00B102FF">
        <w:t> </w:t>
      </w:r>
      <w:r w:rsidRPr="00C43350">
        <w:t>mg/</w:t>
      </w:r>
      <w:r w:rsidR="00D76256" w:rsidRPr="00C43350">
        <w:t>kg</w:t>
      </w:r>
      <w:r w:rsidR="00D76256">
        <w:t> </w:t>
      </w:r>
      <w:proofErr w:type="spellStart"/>
      <w:r w:rsidRPr="00C43350">
        <w:t>bw</w:t>
      </w:r>
      <w:proofErr w:type="spellEnd"/>
      <w:r w:rsidRPr="00C43350">
        <w:t>,</w:t>
      </w:r>
      <w:r w:rsidR="00CC1827" w:rsidRPr="00C43350">
        <w:t xml:space="preserve"> which is</w:t>
      </w:r>
      <w:r w:rsidRPr="00C43350">
        <w:t xml:space="preserve"> higher than the label dose rate of 2</w:t>
      </w:r>
      <w:r w:rsidR="00B102FF">
        <w:t xml:space="preserve"> to </w:t>
      </w:r>
      <w:r w:rsidRPr="00C43350">
        <w:t>4</w:t>
      </w:r>
      <w:r w:rsidR="00B102FF">
        <w:t> </w:t>
      </w:r>
      <w:r w:rsidRPr="00C43350">
        <w:t xml:space="preserve">mg/kg </w:t>
      </w:r>
      <w:r w:rsidR="00CC1827" w:rsidRPr="00C43350">
        <w:t xml:space="preserve">for this product </w:t>
      </w:r>
      <w:r w:rsidRPr="00C43350">
        <w:t>and is therefore not considered relevant to this label use.</w:t>
      </w:r>
    </w:p>
    <w:p w14:paraId="60FE9AA0" w14:textId="6738EF10" w:rsidR="00047811" w:rsidRPr="00C43350" w:rsidRDefault="00280856" w:rsidP="00C43350">
      <w:pPr>
        <w:pStyle w:val="APVMAText"/>
      </w:pPr>
      <w:r w:rsidRPr="00C43350">
        <w:t>In the absence of cattle tissue</w:t>
      </w:r>
      <w:r w:rsidR="00047811" w:rsidRPr="00C43350">
        <w:t xml:space="preserve">, cattle </w:t>
      </w:r>
      <w:r w:rsidRPr="00C43350">
        <w:t>milk</w:t>
      </w:r>
      <w:r w:rsidR="00047811" w:rsidRPr="00C43350">
        <w:t>, sheep tissue and pig tissue</w:t>
      </w:r>
      <w:r w:rsidRPr="00C43350">
        <w:t xml:space="preserve"> residue data addressing this product formulation and use pattern</w:t>
      </w:r>
      <w:r w:rsidR="00047811" w:rsidRPr="00C43350">
        <w:t>s</w:t>
      </w:r>
      <w:r w:rsidRPr="00C43350">
        <w:t xml:space="preserve">, </w:t>
      </w:r>
      <w:r w:rsidR="00047811" w:rsidRPr="00C43350">
        <w:t>there is insufficient data to enable a robust assessment of the residue depletion profile for this formulation when administered</w:t>
      </w:r>
      <w:r w:rsidR="008E3A9D" w:rsidRPr="00C43350">
        <w:t xml:space="preserve"> to cattle, </w:t>
      </w:r>
      <w:proofErr w:type="gramStart"/>
      <w:r w:rsidR="008E3A9D" w:rsidRPr="00C43350">
        <w:t>sheep</w:t>
      </w:r>
      <w:proofErr w:type="gramEnd"/>
      <w:r w:rsidR="008E3A9D" w:rsidRPr="00C43350">
        <w:t xml:space="preserve"> and pigs</w:t>
      </w:r>
      <w:r w:rsidR="00047811" w:rsidRPr="00C43350">
        <w:t xml:space="preserve"> via injection; and a WHP, re-treatment interval and ESI cannot be determined. The</w:t>
      </w:r>
      <w:r w:rsidRPr="00C43350">
        <w:t xml:space="preserve"> use </w:t>
      </w:r>
      <w:r w:rsidR="00DB7FA5" w:rsidRPr="00C43350">
        <w:t xml:space="preserve">of </w:t>
      </w:r>
      <w:r w:rsidR="00237144" w:rsidRPr="00C43350">
        <w:t>product</w:t>
      </w:r>
      <w:r w:rsidR="00CC1827" w:rsidRPr="00C43350">
        <w:t xml:space="preserve"> 36237</w:t>
      </w:r>
      <w:r w:rsidR="00237144" w:rsidRPr="00C43350">
        <w:t xml:space="preserve"> </w:t>
      </w:r>
      <w:r w:rsidRPr="00C43350">
        <w:t>in cattle</w:t>
      </w:r>
      <w:r w:rsidR="00047811" w:rsidRPr="00C43350">
        <w:t>, sheep and pigs</w:t>
      </w:r>
      <w:r w:rsidRPr="00C43350">
        <w:t xml:space="preserve"> is </w:t>
      </w:r>
      <w:r w:rsidR="00047811" w:rsidRPr="00C43350">
        <w:t xml:space="preserve">therefore </w:t>
      </w:r>
      <w:r w:rsidRPr="00C43350">
        <w:t>not supported</w:t>
      </w:r>
      <w:r w:rsidR="00047811" w:rsidRPr="00C43350">
        <w:t>.</w:t>
      </w:r>
    </w:p>
    <w:p w14:paraId="407AA117" w14:textId="0DC40FBA" w:rsidR="00280856" w:rsidRPr="00C43350" w:rsidRDefault="00047811" w:rsidP="00C43350">
      <w:pPr>
        <w:pStyle w:val="APVMAText"/>
      </w:pPr>
      <w:r w:rsidRPr="00C43350">
        <w:lastRenderedPageBreak/>
        <w:t xml:space="preserve">The use of product 36237 in horses is supported from a </w:t>
      </w:r>
      <w:proofErr w:type="gramStart"/>
      <w:r w:rsidRPr="00C43350">
        <w:t>residues</w:t>
      </w:r>
      <w:proofErr w:type="gramEnd"/>
      <w:r w:rsidRPr="00C43350">
        <w:t xml:space="preserve"> perspective, provided the restraint ‘DO NOT USE in horses that may be used for human consumption’ is added to the label and the current meat WHP for horses </w:t>
      </w:r>
      <w:r w:rsidR="002D767D" w:rsidRPr="00C43350">
        <w:t>is</w:t>
      </w:r>
      <w:r w:rsidRPr="00C43350">
        <w:t xml:space="preserve"> removed.</w:t>
      </w:r>
    </w:p>
    <w:p w14:paraId="134FA5D0" w14:textId="64A959F8" w:rsidR="00047811" w:rsidRPr="00C43350" w:rsidRDefault="00047811" w:rsidP="00C43350">
      <w:pPr>
        <w:pStyle w:val="Heading4"/>
      </w:pPr>
      <w:r w:rsidRPr="00C43350">
        <w:t>Product 37241</w:t>
      </w:r>
    </w:p>
    <w:p w14:paraId="5689BD5E" w14:textId="09A19326" w:rsidR="00047811" w:rsidRPr="00C43350" w:rsidRDefault="00047811" w:rsidP="00C43350">
      <w:pPr>
        <w:pStyle w:val="Heading5"/>
      </w:pPr>
      <w:r w:rsidRPr="00C43350">
        <w:t>Cattle</w:t>
      </w:r>
    </w:p>
    <w:p w14:paraId="3B82D555" w14:textId="07D9FA40" w:rsidR="00280856" w:rsidRPr="00C43350" w:rsidRDefault="00047811" w:rsidP="00C43350">
      <w:pPr>
        <w:pStyle w:val="APVMAText"/>
      </w:pPr>
      <w:r w:rsidRPr="00C43350">
        <w:t>Residues data is available for cattle tissues for this product (</w:t>
      </w:r>
      <w:bookmarkStart w:id="84" w:name="_Hlk157023027"/>
      <w:r w:rsidRPr="00C43350">
        <w:t xml:space="preserve">De </w:t>
      </w:r>
      <w:proofErr w:type="spellStart"/>
      <w:r w:rsidRPr="00C43350">
        <w:t>Kleyne</w:t>
      </w:r>
      <w:proofErr w:type="spellEnd"/>
      <w:r w:rsidRPr="00C43350">
        <w:t xml:space="preserve"> 1989a</w:t>
      </w:r>
      <w:bookmarkEnd w:id="84"/>
      <w:r w:rsidRPr="00C43350">
        <w:t xml:space="preserve">). </w:t>
      </w:r>
      <w:r w:rsidR="00CB6306" w:rsidRPr="00C43350">
        <w:t>C</w:t>
      </w:r>
      <w:r w:rsidR="00280856" w:rsidRPr="00C43350">
        <w:t xml:space="preserve">alves (n=16) were administered </w:t>
      </w:r>
      <w:r w:rsidR="00CB6306" w:rsidRPr="00C43350">
        <w:t>3 doses of 5</w:t>
      </w:r>
      <w:r w:rsidR="00B102FF">
        <w:t> </w:t>
      </w:r>
      <w:r w:rsidR="00CB6306" w:rsidRPr="00C43350">
        <w:t xml:space="preserve">mg neomycin/kg </w:t>
      </w:r>
      <w:proofErr w:type="spellStart"/>
      <w:r w:rsidR="00CB6306" w:rsidRPr="00C43350">
        <w:t>bw</w:t>
      </w:r>
      <w:proofErr w:type="spellEnd"/>
      <w:r w:rsidR="00CB6306" w:rsidRPr="00C43350">
        <w:t xml:space="preserve"> with 10</w:t>
      </w:r>
      <w:r w:rsidR="00B102FF">
        <w:t> </w:t>
      </w:r>
      <w:r w:rsidR="00CB6306" w:rsidRPr="00C43350">
        <w:t xml:space="preserve">mg procaine penicillin/kg </w:t>
      </w:r>
      <w:proofErr w:type="spellStart"/>
      <w:r w:rsidR="00CB6306" w:rsidRPr="00C43350">
        <w:t>bw</w:t>
      </w:r>
      <w:proofErr w:type="spellEnd"/>
      <w:r w:rsidR="00CB6306" w:rsidRPr="00C43350">
        <w:t xml:space="preserve"> 24</w:t>
      </w:r>
      <w:r w:rsidR="00B102FF">
        <w:t> </w:t>
      </w:r>
      <w:r w:rsidR="00CB6306" w:rsidRPr="00C43350">
        <w:t xml:space="preserve">hours apart </w:t>
      </w:r>
      <w:r w:rsidR="00280856" w:rsidRPr="00C43350">
        <w:t>via intramuscular injections. Animals were sacrificed (n=4) at 28, 42, 56 and 70</w:t>
      </w:r>
      <w:r w:rsidR="00B102FF">
        <w:t> </w:t>
      </w:r>
      <w:r w:rsidR="00280856" w:rsidRPr="00C43350">
        <w:t xml:space="preserve">days after treatment and samples from fat, liver, </w:t>
      </w:r>
      <w:proofErr w:type="gramStart"/>
      <w:r w:rsidR="00280856" w:rsidRPr="00C43350">
        <w:t>kidney</w:t>
      </w:r>
      <w:proofErr w:type="gramEnd"/>
      <w:r w:rsidR="00280856" w:rsidRPr="00C43350">
        <w:t xml:space="preserve"> and muscle (inc. injection site) were collected for residues analysis. The limit of detections for neomycin in fat, liver, </w:t>
      </w:r>
      <w:proofErr w:type="gramStart"/>
      <w:r w:rsidR="00280856" w:rsidRPr="00C43350">
        <w:t>kidney</w:t>
      </w:r>
      <w:proofErr w:type="gramEnd"/>
      <w:r w:rsidR="00280856" w:rsidRPr="00C43350">
        <w:t xml:space="preserve"> and muscle were 0.10 mg/kg, 0.16</w:t>
      </w:r>
      <w:r w:rsidR="00B102FF">
        <w:t> </w:t>
      </w:r>
      <w:r w:rsidR="00280856" w:rsidRPr="00C43350">
        <w:t>mg/kg, 0.16</w:t>
      </w:r>
      <w:r w:rsidR="00B102FF">
        <w:t> </w:t>
      </w:r>
      <w:r w:rsidR="00280856" w:rsidRPr="00C43350">
        <w:t>mg/kg and 0.08</w:t>
      </w:r>
      <w:r w:rsidR="00B102FF">
        <w:t> </w:t>
      </w:r>
      <w:r w:rsidR="00280856" w:rsidRPr="00C43350">
        <w:t>mg/kg, respectively.</w:t>
      </w:r>
    </w:p>
    <w:p w14:paraId="253EFFE3" w14:textId="1E058CB3" w:rsidR="00280856" w:rsidRPr="00C43350" w:rsidRDefault="00280856" w:rsidP="00C43350">
      <w:pPr>
        <w:pStyle w:val="APVMAText"/>
      </w:pPr>
      <w:r w:rsidRPr="00C43350">
        <w:t xml:space="preserve">Finite residues of penicillin were not detected in muscle, liver, </w:t>
      </w:r>
      <w:proofErr w:type="gramStart"/>
      <w:r w:rsidRPr="00C43350">
        <w:t>kidney</w:t>
      </w:r>
      <w:proofErr w:type="gramEnd"/>
      <w:r w:rsidRPr="00C43350">
        <w:t xml:space="preserve"> or fat at any time point (28 days to 70</w:t>
      </w:r>
      <w:r w:rsidR="00B102FF">
        <w:t> </w:t>
      </w:r>
      <w:r w:rsidRPr="00C43350">
        <w:t>days) and appropriate MRLs for penicillin (Benzyl G penicillin) are established in the MRL standard at *0.06</w:t>
      </w:r>
      <w:r w:rsidR="00B102FF">
        <w:t> </w:t>
      </w:r>
      <w:r w:rsidRPr="00C43350">
        <w:t>mg/kg for meat (mammalian) and edible offal (mammalian) and at *0.0015</w:t>
      </w:r>
      <w:r w:rsidR="00B102FF">
        <w:t> </w:t>
      </w:r>
      <w:r w:rsidRPr="00C43350">
        <w:t>mg/kg milk</w:t>
      </w:r>
      <w:r w:rsidR="000654D7" w:rsidRPr="00C43350">
        <w:t>.</w:t>
      </w:r>
      <w:r w:rsidRPr="00C43350">
        <w:t xml:space="preserve"> </w:t>
      </w:r>
      <w:r w:rsidR="001116A2" w:rsidRPr="00C43350">
        <w:t>T</w:t>
      </w:r>
      <w:r w:rsidRPr="00C43350">
        <w:t>herefore</w:t>
      </w:r>
      <w:r w:rsidR="001116A2" w:rsidRPr="00C43350">
        <w:t>,</w:t>
      </w:r>
      <w:r w:rsidRPr="00C43350">
        <w:t xml:space="preserve"> residue and trade aspects relating to penicillin are not discussed any further. For this product, WHP and ESI will be driven by neomycin which showed quantifiable residues in edible tissues.</w:t>
      </w:r>
    </w:p>
    <w:p w14:paraId="7CEB716A" w14:textId="754DF6F9" w:rsidR="00280856" w:rsidRPr="00C43350" w:rsidRDefault="00280856" w:rsidP="00C43350">
      <w:pPr>
        <w:pStyle w:val="APVMAText"/>
      </w:pPr>
      <w:r w:rsidRPr="00C43350">
        <w:t>At the first time-point, 28</w:t>
      </w:r>
      <w:r w:rsidR="00B102FF">
        <w:t> </w:t>
      </w:r>
      <w:r w:rsidRPr="00C43350">
        <w:t xml:space="preserve">days after treatment, the highest </w:t>
      </w:r>
      <w:r w:rsidR="00696BD7" w:rsidRPr="00C43350">
        <w:t xml:space="preserve">neomycin </w:t>
      </w:r>
      <w:r w:rsidRPr="00C43350">
        <w:t xml:space="preserve">residue (HR) in liver was 1.19 mg/kg and residues generally declined to &lt;LOD at </w:t>
      </w:r>
      <w:r w:rsidR="00B102FF" w:rsidRPr="00C43350">
        <w:t>56- and 70-days</w:t>
      </w:r>
      <w:r w:rsidRPr="00C43350">
        <w:t xml:space="preserve"> post-treatment, aside from a single sample (out of 4 samples at each time-point) with residues of 0.17</w:t>
      </w:r>
      <w:r w:rsidR="00B102FF">
        <w:t> </w:t>
      </w:r>
      <w:r w:rsidRPr="00C43350">
        <w:t xml:space="preserve">mg/kg on </w:t>
      </w:r>
      <w:r w:rsidR="00031F04">
        <w:t>d</w:t>
      </w:r>
      <w:r w:rsidRPr="00C43350">
        <w:t>ay 70. At the first time-point (</w:t>
      </w:r>
      <w:r w:rsidR="00031F04">
        <w:t>d</w:t>
      </w:r>
      <w:r w:rsidRPr="00C43350">
        <w:t>ay 28), which is the closest time-point to the current meat WHP of 35 days, the HR for kidney samples was 7.31</w:t>
      </w:r>
      <w:r w:rsidR="00B102FF">
        <w:t> </w:t>
      </w:r>
      <w:r w:rsidRPr="00C43350">
        <w:t xml:space="preserve">mg/kg. Kidney was the target tissue noting higher finite residues of neomycin, when compared to liver, </w:t>
      </w:r>
      <w:proofErr w:type="gramStart"/>
      <w:r w:rsidRPr="00C43350">
        <w:t>muscle</w:t>
      </w:r>
      <w:proofErr w:type="gramEnd"/>
      <w:r w:rsidRPr="00C43350">
        <w:t xml:space="preserve"> and fat, at </w:t>
      </w:r>
      <w:proofErr w:type="spellStart"/>
      <w:r w:rsidRPr="00C43350">
        <w:t>all time</w:t>
      </w:r>
      <w:proofErr w:type="spellEnd"/>
      <w:r w:rsidRPr="00C43350">
        <w:t xml:space="preserve"> points including at the last time point of 70</w:t>
      </w:r>
      <w:r w:rsidR="00B102FF">
        <w:t> </w:t>
      </w:r>
      <w:r w:rsidRPr="00C43350">
        <w:t xml:space="preserve">days post treatment where residues were 0.62 </w:t>
      </w:r>
      <w:r w:rsidR="00B102FF">
        <w:t>to</w:t>
      </w:r>
      <w:r w:rsidR="00B102FF" w:rsidRPr="00C43350">
        <w:t xml:space="preserve"> </w:t>
      </w:r>
      <w:r w:rsidRPr="00C43350">
        <w:t>3.52</w:t>
      </w:r>
      <w:r w:rsidR="00B102FF">
        <w:t> </w:t>
      </w:r>
      <w:r w:rsidRPr="00C43350">
        <w:t>mg/kg. Residues of neomycin in injection site muscle tissues were below the LOQ of 0.16</w:t>
      </w:r>
      <w:r w:rsidR="00B102FF">
        <w:t> </w:t>
      </w:r>
      <w:r w:rsidRPr="00C43350">
        <w:t xml:space="preserve">mg/kg in all samples taken at </w:t>
      </w:r>
      <w:r w:rsidR="00031F04">
        <w:t>d</w:t>
      </w:r>
      <w:r w:rsidRPr="00C43350">
        <w:t xml:space="preserve">ays 28, 42 and 56 (samples not analysed at </w:t>
      </w:r>
      <w:r w:rsidR="00031F04">
        <w:t>d</w:t>
      </w:r>
      <w:r w:rsidRPr="00C43350">
        <w:t xml:space="preserve">ay 70) except for one </w:t>
      </w:r>
      <w:r w:rsidR="00031F04">
        <w:t>d</w:t>
      </w:r>
      <w:r w:rsidRPr="00C43350">
        <w:t>ay 42 sample where a residue of 0.20</w:t>
      </w:r>
      <w:r w:rsidR="00B102FF">
        <w:t> </w:t>
      </w:r>
      <w:r w:rsidRPr="00C43350">
        <w:t xml:space="preserve">mg/kg was observed. Residues were below limit </w:t>
      </w:r>
      <w:r w:rsidR="006F7C06" w:rsidRPr="00C43350">
        <w:t xml:space="preserve">of </w:t>
      </w:r>
      <w:r w:rsidRPr="00C43350">
        <w:t>determination for muscle (&lt;0.08</w:t>
      </w:r>
      <w:r w:rsidR="00B102FF">
        <w:t> </w:t>
      </w:r>
      <w:r w:rsidRPr="00C43350">
        <w:t>mg/kg) and fat (&lt;0.10</w:t>
      </w:r>
      <w:r w:rsidR="00B102FF">
        <w:t> </w:t>
      </w:r>
      <w:r w:rsidRPr="00C43350">
        <w:t xml:space="preserve">mg/kg) in all samples taken at </w:t>
      </w:r>
      <w:r w:rsidR="00031F04">
        <w:t>d</w:t>
      </w:r>
      <w:r w:rsidRPr="00C43350">
        <w:t>ays 28, 42, 56 and 70.</w:t>
      </w:r>
    </w:p>
    <w:p w14:paraId="6F6AFA6C" w14:textId="13F670E8" w:rsidR="00280856" w:rsidRPr="00C43350" w:rsidRDefault="00280856" w:rsidP="00C43350">
      <w:pPr>
        <w:pStyle w:val="APVMAText"/>
      </w:pPr>
      <w:bookmarkStart w:id="85" w:name="_Hlk155622375"/>
      <w:r w:rsidRPr="00C43350">
        <w:t>The appropriateness of the cattle commodity temporary MRLs for neomycin (10</w:t>
      </w:r>
      <w:r w:rsidR="00B102FF">
        <w:t> </w:t>
      </w:r>
      <w:r w:rsidRPr="00C43350">
        <w:t>mg/kg for kidney, 0.5</w:t>
      </w:r>
      <w:r w:rsidR="00B102FF">
        <w:t> </w:t>
      </w:r>
      <w:r w:rsidRPr="00C43350">
        <w:t>mg/kg for liver, 0.5</w:t>
      </w:r>
      <w:r w:rsidR="00B102FF">
        <w:t> </w:t>
      </w:r>
      <w:r w:rsidRPr="00C43350">
        <w:t>mg/kg for Mammalian fats [except Milk fat], 0.5</w:t>
      </w:r>
      <w:r w:rsidR="00B102FF">
        <w:t> </w:t>
      </w:r>
      <w:r w:rsidRPr="00C43350">
        <w:t>mg/kg for Meat (mammalian) for the registered critical use rate and associated WHPs (35 days) were assessed through statistical analysis of the neomycin residues depletion curves of the individual edible cattle tissues using the EMA Meat WT v</w:t>
      </w:r>
      <w:r w:rsidR="00B102FF">
        <w:t>ersion</w:t>
      </w:r>
      <w:r w:rsidRPr="00C43350">
        <w:t>.1.4</w:t>
      </w:r>
      <w:r w:rsidR="00644AD6">
        <w:t> </w:t>
      </w:r>
      <w:r w:rsidRPr="00C43350">
        <w:t>software.</w:t>
      </w:r>
    </w:p>
    <w:bookmarkEnd w:id="85"/>
    <w:p w14:paraId="3C2FACC2" w14:textId="4E022F34" w:rsidR="00A0526E" w:rsidRPr="00C43350" w:rsidRDefault="00280856" w:rsidP="00C43350">
      <w:pPr>
        <w:pStyle w:val="APVMAText"/>
      </w:pPr>
      <w:r w:rsidRPr="00C43350">
        <w:t xml:space="preserve">Statistical analysis </w:t>
      </w:r>
      <w:r w:rsidR="00A0526E" w:rsidRPr="00C43350">
        <w:t xml:space="preserve">of </w:t>
      </w:r>
      <w:r w:rsidRPr="00C43350">
        <w:t xml:space="preserve">the </w:t>
      </w:r>
      <w:bookmarkStart w:id="86" w:name="_Hlk155095024"/>
      <w:r w:rsidRPr="00C43350">
        <w:t xml:space="preserve">95 </w:t>
      </w:r>
      <w:proofErr w:type="gramStart"/>
      <w:r w:rsidRPr="00C43350">
        <w:t>percentile</w:t>
      </w:r>
      <w:proofErr w:type="gramEnd"/>
      <w:r w:rsidRPr="00C43350">
        <w:t xml:space="preserve"> decline profile </w:t>
      </w:r>
      <w:bookmarkEnd w:id="86"/>
      <w:r w:rsidRPr="00C43350">
        <w:t xml:space="preserve">of </w:t>
      </w:r>
      <w:r w:rsidR="006955F2" w:rsidRPr="00C43350">
        <w:t xml:space="preserve">neomycin </w:t>
      </w:r>
      <w:r w:rsidRPr="00C43350">
        <w:t>residues indicated that a WHP of 42</w:t>
      </w:r>
      <w:r w:rsidR="00B102FF">
        <w:t> </w:t>
      </w:r>
      <w:r w:rsidRPr="00C43350">
        <w:t xml:space="preserve">days would comply with the current </w:t>
      </w:r>
      <w:r w:rsidR="00A0526E" w:rsidRPr="00C43350">
        <w:t>temporary</w:t>
      </w:r>
      <w:r w:rsidRPr="00C43350">
        <w:t xml:space="preserve"> kidney MRL of 10</w:t>
      </w:r>
      <w:r w:rsidR="00B102FF">
        <w:t> </w:t>
      </w:r>
      <w:r w:rsidRPr="00C43350">
        <w:t>mg/kg.</w:t>
      </w:r>
      <w:r w:rsidR="00A0526E" w:rsidRPr="00C43350">
        <w:t xml:space="preserve"> On that basis, a</w:t>
      </w:r>
      <w:r w:rsidRPr="00C43350">
        <w:t xml:space="preserve"> </w:t>
      </w:r>
      <w:r w:rsidR="00EB2BC3" w:rsidRPr="00C43350">
        <w:t>42-day</w:t>
      </w:r>
      <w:r w:rsidRPr="00C43350">
        <w:t xml:space="preserve"> </w:t>
      </w:r>
      <w:r w:rsidR="00266EBF" w:rsidRPr="00C43350">
        <w:t>WHP</w:t>
      </w:r>
      <w:r w:rsidRPr="00C43350">
        <w:t xml:space="preserve"> is considered necessary for cattle kidney </w:t>
      </w:r>
      <w:r w:rsidR="00A0526E" w:rsidRPr="00C43350">
        <w:t xml:space="preserve">to establish an </w:t>
      </w:r>
      <w:r w:rsidRPr="00C43350">
        <w:t>Australian MRL at 10</w:t>
      </w:r>
      <w:r w:rsidR="00B102FF">
        <w:t> </w:t>
      </w:r>
      <w:r w:rsidRPr="00C43350">
        <w:t>mg/</w:t>
      </w:r>
      <w:r w:rsidR="00A0526E" w:rsidRPr="00C43350">
        <w:t>kg</w:t>
      </w:r>
      <w:r w:rsidRPr="00C43350">
        <w:t>.</w:t>
      </w:r>
    </w:p>
    <w:p w14:paraId="2E73CE08" w14:textId="2CD8515D" w:rsidR="00A0526E" w:rsidRPr="00C43350" w:rsidRDefault="00A0526E" w:rsidP="00C43350">
      <w:pPr>
        <w:pStyle w:val="APVMAText"/>
      </w:pPr>
      <w:r w:rsidRPr="00C43350">
        <w:t>A</w:t>
      </w:r>
      <w:r w:rsidR="00280856" w:rsidRPr="00C43350">
        <w:t xml:space="preserve"> WHP of 42 days</w:t>
      </w:r>
      <w:r w:rsidR="00C53912" w:rsidRPr="00C43350">
        <w:t>,</w:t>
      </w:r>
      <w:r w:rsidR="00280856" w:rsidRPr="00C43350">
        <w:t xml:space="preserve"> </w:t>
      </w:r>
      <w:r w:rsidRPr="00C43350">
        <w:t xml:space="preserve">driven by the residues in the target tissue kidney, </w:t>
      </w:r>
      <w:r w:rsidR="00280856" w:rsidRPr="00C43350">
        <w:t xml:space="preserve">would </w:t>
      </w:r>
      <w:r w:rsidR="002D767D" w:rsidRPr="00C43350">
        <w:t xml:space="preserve">require </w:t>
      </w:r>
      <w:r w:rsidRPr="00C43350">
        <w:t>an MRL</w:t>
      </w:r>
      <w:r w:rsidR="00280856" w:rsidRPr="00C43350">
        <w:t xml:space="preserve"> of 1.3</w:t>
      </w:r>
      <w:r w:rsidR="00B102FF">
        <w:t> </w:t>
      </w:r>
      <w:r w:rsidR="00280856" w:rsidRPr="00C43350">
        <w:t>mg/kg</w:t>
      </w:r>
      <w:r w:rsidR="00696BD7" w:rsidRPr="00C43350">
        <w:t xml:space="preserve"> for liver </w:t>
      </w:r>
      <w:r w:rsidR="00C53912" w:rsidRPr="00C43350">
        <w:t xml:space="preserve">based on statistical analysis of the 95 </w:t>
      </w:r>
      <w:proofErr w:type="gramStart"/>
      <w:r w:rsidR="00C53912" w:rsidRPr="00C43350">
        <w:t>percentile</w:t>
      </w:r>
      <w:proofErr w:type="gramEnd"/>
      <w:r w:rsidR="00C53912" w:rsidRPr="00C43350">
        <w:t xml:space="preserve"> decline profile</w:t>
      </w:r>
      <w:r w:rsidR="00280856" w:rsidRPr="00C43350">
        <w:t>.</w:t>
      </w:r>
    </w:p>
    <w:p w14:paraId="2C9FB39D" w14:textId="3ED1E90C" w:rsidR="00A0526E" w:rsidRPr="00C43350" w:rsidRDefault="00A0526E" w:rsidP="00C43350">
      <w:pPr>
        <w:pStyle w:val="APVMAText"/>
      </w:pPr>
      <w:r w:rsidRPr="00C43350">
        <w:t>Residues in fat and muscle were below the limit of determination of 0.10</w:t>
      </w:r>
      <w:r w:rsidR="00B102FF">
        <w:t> </w:t>
      </w:r>
      <w:r w:rsidRPr="00C43350">
        <w:t>mg/kg and 0.08</w:t>
      </w:r>
      <w:r w:rsidR="00B102FF">
        <w:t> </w:t>
      </w:r>
      <w:r w:rsidRPr="00C43350">
        <w:t>mg/kg respectively at all time points (28, 42, 56 and 70 days). Therefore, MRLs at *0.1</w:t>
      </w:r>
      <w:r w:rsidR="00B102FF">
        <w:t> </w:t>
      </w:r>
      <w:r w:rsidRPr="00C43350">
        <w:t>mg/kg for cattle fat and *0.08</w:t>
      </w:r>
      <w:r w:rsidR="00B102FF">
        <w:t> </w:t>
      </w:r>
      <w:r w:rsidRPr="00C43350">
        <w:t xml:space="preserve">mg/kg for </w:t>
      </w:r>
      <w:r w:rsidRPr="00C43350">
        <w:lastRenderedPageBreak/>
        <w:t xml:space="preserve">cattle muscle are considered appropriate based on the available data for the supported use pattern with a </w:t>
      </w:r>
      <w:r w:rsidR="00EB2BC3" w:rsidRPr="00C43350">
        <w:t>42-day</w:t>
      </w:r>
      <w:r w:rsidRPr="00C43350">
        <w:t xml:space="preserve"> meat </w:t>
      </w:r>
      <w:r w:rsidR="00266EBF" w:rsidRPr="00C43350">
        <w:t>WHP</w:t>
      </w:r>
      <w:r w:rsidRPr="00C43350">
        <w:t>.</w:t>
      </w:r>
    </w:p>
    <w:p w14:paraId="5D2E7E08" w14:textId="2ABD6BC8" w:rsidR="00DA18C6" w:rsidRPr="00C43350" w:rsidRDefault="00DA18C6" w:rsidP="00C43350">
      <w:pPr>
        <w:pStyle w:val="APVMAText"/>
      </w:pPr>
      <w:r w:rsidRPr="00C43350">
        <w:t xml:space="preserve">The following withholding period is recommended for the use of this product </w:t>
      </w:r>
      <w:r w:rsidR="002D767D" w:rsidRPr="00C43350">
        <w:t xml:space="preserve">in </w:t>
      </w:r>
      <w:r w:rsidRPr="00C43350">
        <w:t>cattle:</w:t>
      </w:r>
    </w:p>
    <w:p w14:paraId="0575A556" w14:textId="77777777" w:rsidR="00DA18C6" w:rsidRPr="00C43350" w:rsidRDefault="00DA18C6" w:rsidP="007D6865">
      <w:pPr>
        <w:pStyle w:val="APVMAQuote"/>
      </w:pPr>
      <w:r w:rsidRPr="00C43350">
        <w:t>MEAT: Cattle: DO NOT USE less than 42 days before slaughter for human consumption.</w:t>
      </w:r>
    </w:p>
    <w:p w14:paraId="5DBC9AE0" w14:textId="274C9E88" w:rsidR="00280856" w:rsidRPr="00C43350" w:rsidRDefault="00DA18C6" w:rsidP="00C43350">
      <w:pPr>
        <w:pStyle w:val="APVMAText"/>
        <w:rPr>
          <w:rStyle w:val="APVMATextChar"/>
        </w:rPr>
      </w:pPr>
      <w:r w:rsidRPr="00C43350">
        <w:t xml:space="preserve">The </w:t>
      </w:r>
      <w:r w:rsidR="00047811" w:rsidRPr="00C43350">
        <w:t xml:space="preserve">supported MRLs for neomycin </w:t>
      </w:r>
      <w:r w:rsidRPr="00C43350">
        <w:t>in</w:t>
      </w:r>
      <w:r w:rsidR="00047811" w:rsidRPr="00C43350">
        <w:t xml:space="preserve"> cattle tissues </w:t>
      </w:r>
      <w:r w:rsidRPr="00C43350">
        <w:t xml:space="preserve">for this use are detailed </w:t>
      </w:r>
      <w:r w:rsidR="00047811" w:rsidRPr="00C43350">
        <w:t>in</w:t>
      </w:r>
      <w:r w:rsidRPr="00C43350">
        <w:t xml:space="preserve"> Table </w:t>
      </w:r>
      <w:r w:rsidR="00853764">
        <w:t>11</w:t>
      </w:r>
      <w:r w:rsidRPr="00C43350">
        <w:t xml:space="preserve"> below.</w:t>
      </w:r>
    </w:p>
    <w:p w14:paraId="2ED6A712" w14:textId="1A5AE658" w:rsidR="00047811" w:rsidRPr="00C43350" w:rsidRDefault="00047811" w:rsidP="00C43350">
      <w:pPr>
        <w:pStyle w:val="Caption"/>
      </w:pPr>
      <w:bookmarkStart w:id="87" w:name="_Toc158818300"/>
      <w:r w:rsidRPr="00C43350">
        <w:t xml:space="preserve">Table </w:t>
      </w:r>
      <w:fldSimple w:instr=" SEQ Table \* ARABIC ">
        <w:r w:rsidR="00A75CD4">
          <w:rPr>
            <w:noProof/>
          </w:rPr>
          <w:t>11</w:t>
        </w:r>
      </w:fldSimple>
      <w:r w:rsidRPr="00C43350">
        <w:t>:</w:t>
      </w:r>
      <w:r w:rsidRPr="00C43350">
        <w:tab/>
        <w:t>Supported MRLs for neomycin in cattle tissues</w:t>
      </w:r>
      <w:bookmarkEnd w:id="87"/>
    </w:p>
    <w:tbl>
      <w:tblPr>
        <w:tblW w:w="5000" w:type="pct"/>
        <w:tblLook w:val="04A0" w:firstRow="1" w:lastRow="0" w:firstColumn="1" w:lastColumn="0" w:noHBand="0" w:noVBand="1"/>
      </w:tblPr>
      <w:tblGrid>
        <w:gridCol w:w="2357"/>
        <w:gridCol w:w="5461"/>
        <w:gridCol w:w="1820"/>
      </w:tblGrid>
      <w:tr w:rsidR="00047811" w:rsidRPr="00304B1D" w14:paraId="04B6F9A9" w14:textId="77777777" w:rsidTr="00C43350">
        <w:trPr>
          <w:cantSplit/>
          <w:trHeight w:val="324"/>
          <w:tblHeader/>
        </w:trPr>
        <w:tc>
          <w:tcPr>
            <w:tcW w:w="1223" w:type="pct"/>
            <w:tcBorders>
              <w:top w:val="single" w:sz="4" w:space="0" w:color="auto"/>
              <w:left w:val="nil"/>
              <w:bottom w:val="single" w:sz="4" w:space="0" w:color="auto"/>
              <w:right w:val="nil"/>
            </w:tcBorders>
            <w:shd w:val="clear" w:color="auto" w:fill="5C2946"/>
            <w:noWrap/>
          </w:tcPr>
          <w:p w14:paraId="7BD4232E" w14:textId="77777777" w:rsidR="00047811" w:rsidRPr="00C43350" w:rsidRDefault="00047811" w:rsidP="00C43350">
            <w:pPr>
              <w:pStyle w:val="TableHead"/>
            </w:pPr>
            <w:r w:rsidRPr="00C43350">
              <w:t>Compound</w:t>
            </w:r>
          </w:p>
        </w:tc>
        <w:tc>
          <w:tcPr>
            <w:tcW w:w="2833" w:type="pct"/>
            <w:tcBorders>
              <w:top w:val="single" w:sz="4" w:space="0" w:color="auto"/>
              <w:left w:val="nil"/>
              <w:bottom w:val="single" w:sz="4" w:space="0" w:color="auto"/>
              <w:right w:val="nil"/>
            </w:tcBorders>
            <w:shd w:val="clear" w:color="auto" w:fill="5C2946"/>
            <w:noWrap/>
          </w:tcPr>
          <w:p w14:paraId="1456A8C4" w14:textId="77777777" w:rsidR="00047811" w:rsidRPr="00C43350" w:rsidRDefault="00047811" w:rsidP="00C43350">
            <w:pPr>
              <w:pStyle w:val="TableHead"/>
            </w:pPr>
            <w:r w:rsidRPr="00C43350">
              <w:t>Food</w:t>
            </w:r>
          </w:p>
        </w:tc>
        <w:tc>
          <w:tcPr>
            <w:tcW w:w="944" w:type="pct"/>
            <w:tcBorders>
              <w:top w:val="single" w:sz="4" w:space="0" w:color="auto"/>
              <w:left w:val="nil"/>
              <w:bottom w:val="single" w:sz="4" w:space="0" w:color="auto"/>
              <w:right w:val="nil"/>
            </w:tcBorders>
            <w:shd w:val="clear" w:color="auto" w:fill="5C2946"/>
            <w:noWrap/>
          </w:tcPr>
          <w:p w14:paraId="5B952B9C" w14:textId="77777777" w:rsidR="00047811" w:rsidRPr="00C43350" w:rsidRDefault="00047811" w:rsidP="00C43350">
            <w:pPr>
              <w:pStyle w:val="TableHeadRight"/>
            </w:pPr>
            <w:r w:rsidRPr="00C43350">
              <w:t>MRL (mg/kg)</w:t>
            </w:r>
          </w:p>
        </w:tc>
      </w:tr>
      <w:tr w:rsidR="00C43350" w:rsidRPr="00304B1D" w14:paraId="608E40B0" w14:textId="77777777" w:rsidTr="00C43350">
        <w:trPr>
          <w:cantSplit/>
          <w:trHeight w:val="464"/>
        </w:trPr>
        <w:tc>
          <w:tcPr>
            <w:tcW w:w="5000" w:type="pct"/>
            <w:gridSpan w:val="3"/>
            <w:tcBorders>
              <w:top w:val="single" w:sz="4" w:space="0" w:color="auto"/>
              <w:left w:val="nil"/>
              <w:bottom w:val="single" w:sz="4" w:space="0" w:color="auto"/>
              <w:right w:val="nil"/>
            </w:tcBorders>
            <w:noWrap/>
          </w:tcPr>
          <w:p w14:paraId="39893A4C" w14:textId="7341571F" w:rsidR="00C43350" w:rsidRPr="00C43350" w:rsidRDefault="00C43350" w:rsidP="00C43350">
            <w:pPr>
              <w:pStyle w:val="MRLActiveName"/>
            </w:pPr>
            <w:r w:rsidRPr="00C43350">
              <w:t>Neomycin</w:t>
            </w:r>
          </w:p>
        </w:tc>
      </w:tr>
      <w:tr w:rsidR="00047811" w:rsidRPr="00304B1D" w14:paraId="0C94B4E5" w14:textId="77777777" w:rsidTr="00C43350">
        <w:trPr>
          <w:cantSplit/>
          <w:trHeight w:val="417"/>
        </w:trPr>
        <w:tc>
          <w:tcPr>
            <w:tcW w:w="1223" w:type="pct"/>
            <w:tcBorders>
              <w:top w:val="single" w:sz="4" w:space="0" w:color="auto"/>
              <w:left w:val="nil"/>
              <w:bottom w:val="single" w:sz="4" w:space="0" w:color="auto"/>
              <w:right w:val="nil"/>
            </w:tcBorders>
            <w:shd w:val="clear" w:color="auto" w:fill="FFFFFF"/>
            <w:noWrap/>
          </w:tcPr>
          <w:p w14:paraId="4C5479ED" w14:textId="77777777" w:rsidR="00047811" w:rsidRPr="00C43350" w:rsidRDefault="00047811" w:rsidP="00C43350">
            <w:pPr>
              <w:pStyle w:val="TableText"/>
            </w:pPr>
            <w:r w:rsidRPr="00C43350">
              <w:t>MF 0812</w:t>
            </w:r>
          </w:p>
        </w:tc>
        <w:tc>
          <w:tcPr>
            <w:tcW w:w="2833" w:type="pct"/>
            <w:tcBorders>
              <w:top w:val="single" w:sz="4" w:space="0" w:color="auto"/>
              <w:left w:val="nil"/>
              <w:bottom w:val="single" w:sz="4" w:space="0" w:color="auto"/>
              <w:right w:val="nil"/>
            </w:tcBorders>
            <w:shd w:val="clear" w:color="auto" w:fill="FFFFFF"/>
            <w:noWrap/>
          </w:tcPr>
          <w:p w14:paraId="5FD658B4" w14:textId="77777777" w:rsidR="00047811" w:rsidRPr="00C43350" w:rsidRDefault="00047811" w:rsidP="00C43350">
            <w:pPr>
              <w:pStyle w:val="TableText"/>
            </w:pPr>
            <w:r w:rsidRPr="00C43350">
              <w:t>Cattle fat</w:t>
            </w:r>
          </w:p>
        </w:tc>
        <w:tc>
          <w:tcPr>
            <w:tcW w:w="944" w:type="pct"/>
            <w:tcBorders>
              <w:top w:val="single" w:sz="4" w:space="0" w:color="auto"/>
              <w:left w:val="nil"/>
              <w:bottom w:val="single" w:sz="4" w:space="0" w:color="auto"/>
              <w:right w:val="nil"/>
            </w:tcBorders>
            <w:shd w:val="clear" w:color="auto" w:fill="FFFFFF"/>
            <w:noWrap/>
          </w:tcPr>
          <w:p w14:paraId="3D15E8E7" w14:textId="77777777" w:rsidR="00047811" w:rsidRPr="00C43350" w:rsidRDefault="00047811" w:rsidP="00C43350">
            <w:pPr>
              <w:pStyle w:val="TableTextRight"/>
            </w:pPr>
            <w:r w:rsidRPr="00C43350">
              <w:t>*0.1</w:t>
            </w:r>
          </w:p>
        </w:tc>
      </w:tr>
      <w:tr w:rsidR="00047811" w:rsidRPr="00304B1D" w14:paraId="0711EDA8" w14:textId="77777777" w:rsidTr="00C43350">
        <w:trPr>
          <w:cantSplit/>
          <w:trHeight w:val="402"/>
        </w:trPr>
        <w:tc>
          <w:tcPr>
            <w:tcW w:w="1223" w:type="pct"/>
            <w:tcBorders>
              <w:top w:val="single" w:sz="4" w:space="0" w:color="auto"/>
              <w:left w:val="nil"/>
              <w:bottom w:val="single" w:sz="4" w:space="0" w:color="auto"/>
              <w:right w:val="nil"/>
            </w:tcBorders>
            <w:shd w:val="clear" w:color="auto" w:fill="FFFFFF"/>
            <w:noWrap/>
          </w:tcPr>
          <w:p w14:paraId="3FEC79E7" w14:textId="77777777" w:rsidR="00047811" w:rsidRPr="00C43350" w:rsidRDefault="00047811" w:rsidP="00C43350">
            <w:pPr>
              <w:pStyle w:val="TableText"/>
            </w:pPr>
          </w:p>
        </w:tc>
        <w:tc>
          <w:tcPr>
            <w:tcW w:w="2833" w:type="pct"/>
            <w:tcBorders>
              <w:top w:val="single" w:sz="4" w:space="0" w:color="auto"/>
              <w:left w:val="nil"/>
              <w:bottom w:val="single" w:sz="4" w:space="0" w:color="auto"/>
              <w:right w:val="nil"/>
            </w:tcBorders>
            <w:shd w:val="clear" w:color="auto" w:fill="FFFFFF"/>
            <w:noWrap/>
          </w:tcPr>
          <w:p w14:paraId="6E0D5C0C" w14:textId="77777777" w:rsidR="00047811" w:rsidRPr="00C43350" w:rsidRDefault="00047811" w:rsidP="00C43350">
            <w:pPr>
              <w:pStyle w:val="TableText"/>
            </w:pPr>
            <w:r w:rsidRPr="00C43350">
              <w:t>Cattle muscle</w:t>
            </w:r>
          </w:p>
        </w:tc>
        <w:tc>
          <w:tcPr>
            <w:tcW w:w="944" w:type="pct"/>
            <w:tcBorders>
              <w:top w:val="single" w:sz="4" w:space="0" w:color="auto"/>
              <w:left w:val="nil"/>
              <w:bottom w:val="single" w:sz="4" w:space="0" w:color="auto"/>
              <w:right w:val="nil"/>
            </w:tcBorders>
            <w:shd w:val="clear" w:color="auto" w:fill="FFFFFF"/>
            <w:noWrap/>
          </w:tcPr>
          <w:p w14:paraId="11911CFE" w14:textId="77777777" w:rsidR="00047811" w:rsidRPr="00C43350" w:rsidRDefault="00047811" w:rsidP="00C43350">
            <w:pPr>
              <w:pStyle w:val="TableTextRight"/>
            </w:pPr>
            <w:r w:rsidRPr="00C43350">
              <w:t>*0.08</w:t>
            </w:r>
          </w:p>
        </w:tc>
      </w:tr>
      <w:tr w:rsidR="00047811" w:rsidRPr="00304B1D" w14:paraId="3BD7BC1E" w14:textId="77777777" w:rsidTr="00C43350">
        <w:trPr>
          <w:cantSplit/>
          <w:trHeight w:val="417"/>
        </w:trPr>
        <w:tc>
          <w:tcPr>
            <w:tcW w:w="1223" w:type="pct"/>
            <w:tcBorders>
              <w:top w:val="single" w:sz="4" w:space="0" w:color="auto"/>
              <w:left w:val="nil"/>
              <w:bottom w:val="single" w:sz="4" w:space="0" w:color="auto"/>
              <w:right w:val="nil"/>
            </w:tcBorders>
            <w:shd w:val="clear" w:color="auto" w:fill="FFFFFF"/>
            <w:noWrap/>
          </w:tcPr>
          <w:p w14:paraId="55D6EE0B" w14:textId="77777777" w:rsidR="00047811" w:rsidRPr="00C43350" w:rsidRDefault="00047811" w:rsidP="00C43350">
            <w:pPr>
              <w:pStyle w:val="TableText"/>
            </w:pPr>
            <w:r w:rsidRPr="00C43350">
              <w:t>MO 1280</w:t>
            </w:r>
          </w:p>
        </w:tc>
        <w:tc>
          <w:tcPr>
            <w:tcW w:w="2833" w:type="pct"/>
            <w:tcBorders>
              <w:top w:val="single" w:sz="4" w:space="0" w:color="auto"/>
              <w:left w:val="nil"/>
              <w:bottom w:val="single" w:sz="4" w:space="0" w:color="auto"/>
              <w:right w:val="nil"/>
            </w:tcBorders>
            <w:shd w:val="clear" w:color="auto" w:fill="FFFFFF"/>
            <w:noWrap/>
          </w:tcPr>
          <w:p w14:paraId="3176F5B0" w14:textId="77777777" w:rsidR="00047811" w:rsidRPr="00C43350" w:rsidRDefault="00047811" w:rsidP="00C43350">
            <w:pPr>
              <w:pStyle w:val="TableText"/>
            </w:pPr>
            <w:r w:rsidRPr="00C43350">
              <w:t>Cattle, kidney</w:t>
            </w:r>
          </w:p>
        </w:tc>
        <w:tc>
          <w:tcPr>
            <w:tcW w:w="944" w:type="pct"/>
            <w:tcBorders>
              <w:top w:val="single" w:sz="4" w:space="0" w:color="auto"/>
              <w:left w:val="nil"/>
              <w:bottom w:val="single" w:sz="4" w:space="0" w:color="auto"/>
              <w:right w:val="nil"/>
            </w:tcBorders>
            <w:shd w:val="clear" w:color="auto" w:fill="FFFFFF"/>
            <w:noWrap/>
          </w:tcPr>
          <w:p w14:paraId="3BBC24AC" w14:textId="66E16FAD" w:rsidR="00047811" w:rsidRPr="00C43350" w:rsidRDefault="00047811" w:rsidP="00C43350">
            <w:pPr>
              <w:pStyle w:val="TableTextRight"/>
            </w:pPr>
            <w:r w:rsidRPr="00C43350">
              <w:t>10</w:t>
            </w:r>
          </w:p>
        </w:tc>
      </w:tr>
      <w:tr w:rsidR="00047811" w:rsidRPr="00304B1D" w14:paraId="723369D5" w14:textId="77777777" w:rsidTr="00C43350">
        <w:trPr>
          <w:cantSplit/>
          <w:trHeight w:val="402"/>
        </w:trPr>
        <w:tc>
          <w:tcPr>
            <w:tcW w:w="1223" w:type="pct"/>
            <w:tcBorders>
              <w:top w:val="single" w:sz="4" w:space="0" w:color="auto"/>
              <w:left w:val="nil"/>
              <w:bottom w:val="single" w:sz="4" w:space="0" w:color="auto"/>
              <w:right w:val="nil"/>
            </w:tcBorders>
            <w:shd w:val="clear" w:color="auto" w:fill="FFFFFF"/>
            <w:noWrap/>
          </w:tcPr>
          <w:p w14:paraId="5E58985F" w14:textId="77777777" w:rsidR="00047811" w:rsidRPr="00C43350" w:rsidRDefault="00047811" w:rsidP="00C43350">
            <w:pPr>
              <w:pStyle w:val="TableText"/>
            </w:pPr>
            <w:r w:rsidRPr="00C43350">
              <w:t>MO 1281</w:t>
            </w:r>
          </w:p>
        </w:tc>
        <w:tc>
          <w:tcPr>
            <w:tcW w:w="2833" w:type="pct"/>
            <w:tcBorders>
              <w:top w:val="single" w:sz="4" w:space="0" w:color="auto"/>
              <w:left w:val="nil"/>
              <w:bottom w:val="single" w:sz="4" w:space="0" w:color="auto"/>
              <w:right w:val="nil"/>
            </w:tcBorders>
            <w:shd w:val="clear" w:color="auto" w:fill="FFFFFF"/>
            <w:noWrap/>
          </w:tcPr>
          <w:p w14:paraId="07DA6DAD" w14:textId="77777777" w:rsidR="00047811" w:rsidRPr="00C43350" w:rsidRDefault="00047811" w:rsidP="00C43350">
            <w:pPr>
              <w:pStyle w:val="TableText"/>
            </w:pPr>
            <w:r w:rsidRPr="00C43350">
              <w:t>Cattle, liver</w:t>
            </w:r>
          </w:p>
        </w:tc>
        <w:tc>
          <w:tcPr>
            <w:tcW w:w="944" w:type="pct"/>
            <w:tcBorders>
              <w:top w:val="single" w:sz="4" w:space="0" w:color="auto"/>
              <w:left w:val="nil"/>
              <w:bottom w:val="single" w:sz="4" w:space="0" w:color="auto"/>
              <w:right w:val="nil"/>
            </w:tcBorders>
            <w:shd w:val="clear" w:color="auto" w:fill="FFFFFF"/>
            <w:noWrap/>
          </w:tcPr>
          <w:p w14:paraId="61AE2E4F" w14:textId="77777777" w:rsidR="00047811" w:rsidRPr="00C43350" w:rsidRDefault="00047811" w:rsidP="00C43350">
            <w:pPr>
              <w:pStyle w:val="TableTextRight"/>
            </w:pPr>
            <w:r w:rsidRPr="00C43350">
              <w:t>1.3</w:t>
            </w:r>
          </w:p>
        </w:tc>
      </w:tr>
    </w:tbl>
    <w:p w14:paraId="1F0D50F4" w14:textId="77CFEE00" w:rsidR="00280856" w:rsidRPr="00C43350" w:rsidRDefault="00280856" w:rsidP="00C43350">
      <w:pPr>
        <w:pStyle w:val="Heading6"/>
      </w:pPr>
      <w:r w:rsidRPr="00C43350">
        <w:t>Re-treatment interval (between courses)</w:t>
      </w:r>
    </w:p>
    <w:p w14:paraId="5CE7547D" w14:textId="7A0D6D1C" w:rsidR="00280856" w:rsidRPr="00C43350" w:rsidRDefault="00280856" w:rsidP="00C43350">
      <w:pPr>
        <w:pStyle w:val="APVMAText"/>
      </w:pPr>
      <w:r w:rsidRPr="00C43350">
        <w:t xml:space="preserve">The available residues data addressed one treatment course involving 3 consecutive injections, made </w:t>
      </w:r>
      <w:r w:rsidR="00644AD6">
        <w:t>one</w:t>
      </w:r>
      <w:r w:rsidR="00B102FF">
        <w:t> </w:t>
      </w:r>
      <w:r w:rsidRPr="00C43350">
        <w:t>day apart, at 5</w:t>
      </w:r>
      <w:r w:rsidR="00B102FF">
        <w:t> </w:t>
      </w:r>
      <w:r w:rsidRPr="00C43350">
        <w:t xml:space="preserve">mg neomycin/kg </w:t>
      </w:r>
      <w:proofErr w:type="spellStart"/>
      <w:r w:rsidRPr="00C43350">
        <w:t>bw</w:t>
      </w:r>
      <w:proofErr w:type="spellEnd"/>
      <w:r w:rsidRPr="00C43350">
        <w:t xml:space="preserve"> and 10</w:t>
      </w:r>
      <w:r w:rsidR="00B102FF">
        <w:t> </w:t>
      </w:r>
      <w:r w:rsidRPr="00C43350">
        <w:t xml:space="preserve">mg procaine penicillin/kg </w:t>
      </w:r>
      <w:proofErr w:type="spellStart"/>
      <w:r w:rsidRPr="00C43350">
        <w:t>bw</w:t>
      </w:r>
      <w:proofErr w:type="spellEnd"/>
      <w:r w:rsidRPr="00C43350">
        <w:t xml:space="preserve">. The approved label for </w:t>
      </w:r>
      <w:r w:rsidR="001B3EE3" w:rsidRPr="00C43350">
        <w:t>registered product number 37241</w:t>
      </w:r>
      <w:r w:rsidR="00047811" w:rsidRPr="00C43350">
        <w:t xml:space="preserve"> </w:t>
      </w:r>
      <w:r w:rsidRPr="00C43350">
        <w:t>does not carry a minimum retreatment interval between courses and the submitted trial does not include a re-treatment interval. A re-treatment interval between courses is considered important to prevent a second course being administered to the same animal before residues have declined as this may lead to residues in tissues above the recommended MRLs.</w:t>
      </w:r>
    </w:p>
    <w:p w14:paraId="31A133ED" w14:textId="65D217C1" w:rsidR="00280856" w:rsidRPr="00C43350" w:rsidRDefault="00280856" w:rsidP="00C43350">
      <w:pPr>
        <w:pStyle w:val="APVMAText"/>
      </w:pPr>
      <w:r w:rsidRPr="00C43350">
        <w:t xml:space="preserve">For neomycin residues in cattle kidney, the target tissue, finite residues (0.62 </w:t>
      </w:r>
      <w:r w:rsidR="00B102FF">
        <w:t>to</w:t>
      </w:r>
      <w:r w:rsidR="00B102FF" w:rsidRPr="00C43350">
        <w:t xml:space="preserve"> </w:t>
      </w:r>
      <w:r w:rsidRPr="00C43350">
        <w:t>3.52</w:t>
      </w:r>
      <w:r w:rsidR="00B102FF">
        <w:t> </w:t>
      </w:r>
      <w:r w:rsidRPr="00C43350">
        <w:t>mg/kg) were observed at the last time point of 70</w:t>
      </w:r>
      <w:r w:rsidR="00B102FF">
        <w:t> </w:t>
      </w:r>
      <w:r w:rsidRPr="00C43350">
        <w:t>days post treatment. Statistical analysis at the 95 percentile of the decline profile indicates that after 365</w:t>
      </w:r>
      <w:r w:rsidR="00B102FF">
        <w:t> </w:t>
      </w:r>
      <w:r w:rsidRPr="00C43350">
        <w:t>days (12</w:t>
      </w:r>
      <w:r w:rsidR="00B102FF">
        <w:t> </w:t>
      </w:r>
      <w:r w:rsidRPr="00C43350">
        <w:t>months), residues will decline to 0.25</w:t>
      </w:r>
      <w:r w:rsidR="00B102FF">
        <w:t> </w:t>
      </w:r>
      <w:r w:rsidRPr="00C43350">
        <w:t>mg/kg, which is just above the limit of determination from the study of 0.16</w:t>
      </w:r>
      <w:r w:rsidR="00B102FF">
        <w:t> </w:t>
      </w:r>
      <w:r w:rsidRPr="00C43350">
        <w:t xml:space="preserve">mg/kg. It is considered that a </w:t>
      </w:r>
      <w:r w:rsidR="00A0526E" w:rsidRPr="00C43350">
        <w:t>12-month</w:t>
      </w:r>
      <w:r w:rsidRPr="00C43350">
        <w:t xml:space="preserve"> re-treatment interval </w:t>
      </w:r>
      <w:r w:rsidR="00CB6306" w:rsidRPr="00C43350">
        <w:t xml:space="preserve">is required to </w:t>
      </w:r>
      <w:r w:rsidRPr="00C43350">
        <w:t>manage the risk of unacceptable accumulation of neomycin residues between treatments in cattle.</w:t>
      </w:r>
    </w:p>
    <w:p w14:paraId="5B1B015B" w14:textId="3FDCB252" w:rsidR="00DA18C6" w:rsidRPr="00C43350" w:rsidRDefault="00DA18C6" w:rsidP="00C43350">
      <w:pPr>
        <w:pStyle w:val="APVMAText"/>
      </w:pPr>
      <w:r w:rsidRPr="00C43350">
        <w:t xml:space="preserve">The following restraint is recommended for the use of this product </w:t>
      </w:r>
      <w:r w:rsidR="002D767D" w:rsidRPr="00C43350">
        <w:t xml:space="preserve">in </w:t>
      </w:r>
      <w:r w:rsidRPr="00C43350">
        <w:t>cattle:</w:t>
      </w:r>
    </w:p>
    <w:p w14:paraId="22A82139" w14:textId="77777777" w:rsidR="00047811" w:rsidRPr="003C4CDD" w:rsidRDefault="00047811" w:rsidP="007D6865">
      <w:pPr>
        <w:pStyle w:val="APVMAQuote"/>
      </w:pPr>
      <w:r w:rsidRPr="003C4CDD">
        <w:t>RESTRAINT: RE-TREATMENT INTERVAL</w:t>
      </w:r>
    </w:p>
    <w:p w14:paraId="785C5B65" w14:textId="1E5028F8" w:rsidR="00B102FF" w:rsidRDefault="00047811" w:rsidP="007D6865">
      <w:pPr>
        <w:pStyle w:val="APVMAQuote"/>
      </w:pPr>
      <w:r w:rsidRPr="003C4CDD">
        <w:t>DO NOT RE-TREAT cattle for 12 months after the last dose in one course of treatment</w:t>
      </w:r>
      <w:r w:rsidR="00B102FF">
        <w:br w:type="page"/>
      </w:r>
    </w:p>
    <w:p w14:paraId="0FEC420A" w14:textId="79FCEF8C" w:rsidR="00280856" w:rsidRPr="00C43350" w:rsidRDefault="00280856" w:rsidP="00C43350">
      <w:pPr>
        <w:pStyle w:val="Heading6"/>
      </w:pPr>
      <w:r w:rsidRPr="00C43350">
        <w:lastRenderedPageBreak/>
        <w:t>Milk withholding period</w:t>
      </w:r>
    </w:p>
    <w:p w14:paraId="75AE2B4F" w14:textId="12271FC7" w:rsidR="00280856" w:rsidRPr="00C43350" w:rsidRDefault="00280856" w:rsidP="00C43350">
      <w:pPr>
        <w:pStyle w:val="APVMAText"/>
      </w:pPr>
      <w:r w:rsidRPr="00C43350">
        <w:t>Residues depletion data in milk is available (</w:t>
      </w:r>
      <w:r w:rsidR="007963D0" w:rsidRPr="00C43350">
        <w:t>Anonymous 1973</w:t>
      </w:r>
      <w:r w:rsidR="00B102FF">
        <w:t>–</w:t>
      </w:r>
      <w:r w:rsidR="007963D0" w:rsidRPr="00C43350">
        <w:t>79</w:t>
      </w:r>
      <w:r w:rsidRPr="00C43350">
        <w:t xml:space="preserve">) for the product </w:t>
      </w:r>
      <w:r w:rsidR="00CC1827" w:rsidRPr="00C43350">
        <w:t>37241 (</w:t>
      </w:r>
      <w:r w:rsidRPr="00C43350">
        <w:t>contain</w:t>
      </w:r>
      <w:r w:rsidR="001116A2" w:rsidRPr="00C43350">
        <w:t>ing</w:t>
      </w:r>
      <w:r w:rsidRPr="00C43350">
        <w:t xml:space="preserve"> neomycin and penicillin</w:t>
      </w:r>
      <w:r w:rsidR="00CC1827" w:rsidRPr="00C43350">
        <w:t>)</w:t>
      </w:r>
      <w:r w:rsidRPr="00C43350">
        <w:t xml:space="preserve"> however, the residue study is lacking in critical details that are required to determine the residue depletion profile in milk and </w:t>
      </w:r>
      <w:r w:rsidR="00CC1827" w:rsidRPr="00C43350">
        <w:t xml:space="preserve">ascertain whether the product meets the safety criteria and whether its use would present an undue risk to trade. </w:t>
      </w:r>
      <w:r w:rsidRPr="00C43350">
        <w:t xml:space="preserve">Thus, the following </w:t>
      </w:r>
      <w:r w:rsidR="00DA18C6" w:rsidRPr="00C43350">
        <w:t xml:space="preserve">withholding period </w:t>
      </w:r>
      <w:r w:rsidRPr="00C43350">
        <w:t xml:space="preserve">is recommended </w:t>
      </w:r>
      <w:bookmarkStart w:id="88" w:name="_Hlk153461176"/>
      <w:r w:rsidR="00DA18C6" w:rsidRPr="00C43350">
        <w:t xml:space="preserve">for use of this product </w:t>
      </w:r>
      <w:r w:rsidR="002D767D" w:rsidRPr="00C43350">
        <w:t>i</w:t>
      </w:r>
      <w:r w:rsidR="00DA18C6" w:rsidRPr="00C43350">
        <w:t>n cattle:</w:t>
      </w:r>
      <w:bookmarkEnd w:id="88"/>
    </w:p>
    <w:p w14:paraId="56E85BEC" w14:textId="5D3F1F20" w:rsidR="002D767D" w:rsidRPr="00C43350" w:rsidRDefault="00047811" w:rsidP="007D6865">
      <w:pPr>
        <w:pStyle w:val="APVMAQuote"/>
      </w:pPr>
      <w:r w:rsidRPr="00C43350">
        <w:t>MILK: DO NOT USE in lactating or pregnant cows where milk may be used or processed for human consumption</w:t>
      </w:r>
    </w:p>
    <w:p w14:paraId="35C05FF3" w14:textId="109235E0" w:rsidR="00280856" w:rsidRPr="00C43350" w:rsidRDefault="00280856" w:rsidP="00C43350">
      <w:pPr>
        <w:pStyle w:val="Heading6"/>
      </w:pPr>
      <w:r w:rsidRPr="00C43350">
        <w:t>Export Slaughter Interval</w:t>
      </w:r>
      <w:r w:rsidR="00B102FF">
        <w:t xml:space="preserve"> (ESI)</w:t>
      </w:r>
    </w:p>
    <w:p w14:paraId="302DB6A2" w14:textId="1D19E2A8" w:rsidR="00280856" w:rsidRPr="00C43350" w:rsidRDefault="009A2650" w:rsidP="00C43350">
      <w:pPr>
        <w:pStyle w:val="APVMAText"/>
      </w:pPr>
      <w:r w:rsidRPr="00C43350">
        <w:t>Noting the neomycin MRLs established by major export markets (see the ‘Trade</w:t>
      </w:r>
      <w:r w:rsidR="006955F2" w:rsidRPr="00C43350">
        <w:t xml:space="preserve"> consideration</w:t>
      </w:r>
      <w:r w:rsidRPr="00C43350">
        <w:t>’ section below’), the</w:t>
      </w:r>
      <w:r w:rsidR="00280856" w:rsidRPr="00C43350">
        <w:t xml:space="preserve"> ESI for neomycin in cattle should be based upon the time required for residues to decline to 7.2</w:t>
      </w:r>
      <w:r w:rsidR="00B102FF">
        <w:t> </w:t>
      </w:r>
      <w:r w:rsidR="00280856" w:rsidRPr="00C43350">
        <w:t>mg/kg in cattle kidney and 0.5</w:t>
      </w:r>
      <w:r w:rsidR="00B102FF">
        <w:t> </w:t>
      </w:r>
      <w:r w:rsidR="00280856" w:rsidRPr="00C43350">
        <w:t xml:space="preserve">mg/kg in cattle liver to prevent an undue risk to trade. The output of the Statistical analysis for the determination of an ESI for this use on cattle is shown below: </w:t>
      </w:r>
    </w:p>
    <w:p w14:paraId="64C43805" w14:textId="2AD6F405" w:rsidR="00280856" w:rsidRPr="00C43350" w:rsidRDefault="00280856" w:rsidP="00C43350">
      <w:pPr>
        <w:pStyle w:val="APVMAText"/>
      </w:pPr>
      <w:r w:rsidRPr="00C43350">
        <w:t xml:space="preserve">Statistical analysis at the 95 </w:t>
      </w:r>
      <w:proofErr w:type="gramStart"/>
      <w:r w:rsidRPr="00C43350">
        <w:t>percentile</w:t>
      </w:r>
      <w:proofErr w:type="gramEnd"/>
      <w:r w:rsidRPr="00C43350">
        <w:t xml:space="preserve"> of the decline profile indicated that a ESI of 50</w:t>
      </w:r>
      <w:r w:rsidR="00B102FF">
        <w:t> </w:t>
      </w:r>
      <w:r w:rsidRPr="00C43350">
        <w:t>days would allow residues to comply with the lowest international MRL for cattle kidney at 7.2</w:t>
      </w:r>
      <w:r w:rsidR="00B102FF">
        <w:t> </w:t>
      </w:r>
      <w:r w:rsidRPr="00C43350">
        <w:t>mg/kg.</w:t>
      </w:r>
    </w:p>
    <w:p w14:paraId="56A6097B" w14:textId="0678A799" w:rsidR="00280856" w:rsidRPr="00C43350" w:rsidRDefault="00280856" w:rsidP="00C43350">
      <w:pPr>
        <w:pStyle w:val="APVMAText"/>
      </w:pPr>
      <w:r w:rsidRPr="00C43350">
        <w:t xml:space="preserve">Statistical analysis at the 95 </w:t>
      </w:r>
      <w:proofErr w:type="gramStart"/>
      <w:r w:rsidRPr="00C43350">
        <w:t>percentile</w:t>
      </w:r>
      <w:proofErr w:type="gramEnd"/>
      <w:r w:rsidRPr="00C43350">
        <w:t xml:space="preserve"> of the decline profile indicated that a ESI of 57</w:t>
      </w:r>
      <w:r w:rsidR="00B102FF">
        <w:t> </w:t>
      </w:r>
      <w:r w:rsidRPr="00C43350">
        <w:t>days would allow residues to comply with the lowest international MRL for cattle liver at 0.5</w:t>
      </w:r>
      <w:r w:rsidR="00B102FF">
        <w:t> </w:t>
      </w:r>
      <w:r w:rsidRPr="00C43350">
        <w:t>mg/kg.</w:t>
      </w:r>
    </w:p>
    <w:p w14:paraId="3AC6A294" w14:textId="7DD8F7A1" w:rsidR="00280856" w:rsidRPr="00C43350" w:rsidRDefault="00280856" w:rsidP="00C43350">
      <w:pPr>
        <w:pStyle w:val="APVMAText"/>
      </w:pPr>
      <w:r w:rsidRPr="00C43350">
        <w:t>Based on the available information, an ESI of 57</w:t>
      </w:r>
      <w:r w:rsidR="00B102FF">
        <w:t> </w:t>
      </w:r>
      <w:r w:rsidRPr="00C43350">
        <w:t>days will be required for neomycin residues to meet overseas standards and to comply with</w:t>
      </w:r>
      <w:r w:rsidR="00CB6306" w:rsidRPr="00C43350">
        <w:t xml:space="preserve"> international</w:t>
      </w:r>
      <w:r w:rsidRPr="00C43350">
        <w:t xml:space="preserve"> MRLs. </w:t>
      </w:r>
    </w:p>
    <w:p w14:paraId="20960077" w14:textId="6FBE6D25" w:rsidR="00DA18C6" w:rsidRPr="00C43350" w:rsidRDefault="00DA18C6" w:rsidP="00C43350">
      <w:pPr>
        <w:pStyle w:val="APVMAText"/>
      </w:pPr>
      <w:r w:rsidRPr="00C43350">
        <w:t xml:space="preserve">The following trade advice statement is recommended for the use of this product </w:t>
      </w:r>
      <w:r w:rsidR="002D767D" w:rsidRPr="00C43350">
        <w:t>i</w:t>
      </w:r>
      <w:r w:rsidRPr="00C43350">
        <w:t>n cattle:</w:t>
      </w:r>
    </w:p>
    <w:p w14:paraId="090F3D8C" w14:textId="77777777" w:rsidR="00047811" w:rsidRPr="003C4CDD" w:rsidRDefault="00047811" w:rsidP="007D6865">
      <w:pPr>
        <w:pStyle w:val="APVMAQuote"/>
      </w:pPr>
      <w:r w:rsidRPr="003C4CDD">
        <w:t>TRADE ADVICE: EXPORT SLAUGHTER INTERVAL</w:t>
      </w:r>
    </w:p>
    <w:p w14:paraId="28B8E6C6" w14:textId="5C35AF14" w:rsidR="00047811" w:rsidRPr="003C4CDD" w:rsidRDefault="00047811" w:rsidP="007D6865">
      <w:pPr>
        <w:pStyle w:val="APVMAQuote"/>
      </w:pPr>
      <w:r w:rsidRPr="003C4CDD">
        <w:t xml:space="preserve">EXPORT SLAUGHTER INTERVAL (ESI): DO NOT USE less than 57 days for cattle before slaughter for export. Before using this product, confirm the current ESI from the manufacturer on </w:t>
      </w:r>
      <w:r w:rsidR="00E36E26" w:rsidRPr="003C4CDD">
        <w:t>1800</w:t>
      </w:r>
      <w:r w:rsidR="00E36E26">
        <w:t> </w:t>
      </w:r>
      <w:r w:rsidRPr="003C4CDD">
        <w:t>033461 or the APVMA website (apvma.gov.au/residues).</w:t>
      </w:r>
    </w:p>
    <w:p w14:paraId="7FF38F73" w14:textId="0C772E4A" w:rsidR="00280856" w:rsidRPr="00C43350" w:rsidRDefault="00280856" w:rsidP="00C43350">
      <w:pPr>
        <w:pStyle w:val="Heading5"/>
      </w:pPr>
      <w:r w:rsidRPr="00C43350">
        <w:t>Sheep</w:t>
      </w:r>
    </w:p>
    <w:p w14:paraId="2959541E" w14:textId="540A918E" w:rsidR="00280856" w:rsidRDefault="00047811" w:rsidP="00C43350">
      <w:pPr>
        <w:pStyle w:val="APVMAText"/>
      </w:pPr>
      <w:r w:rsidRPr="00EB2BC3">
        <w:rPr>
          <w:szCs w:val="19"/>
        </w:rPr>
        <w:t xml:space="preserve">Residues data is available for </w:t>
      </w:r>
      <w:r>
        <w:rPr>
          <w:szCs w:val="19"/>
        </w:rPr>
        <w:t>sheep</w:t>
      </w:r>
      <w:r w:rsidRPr="00EB2BC3">
        <w:rPr>
          <w:szCs w:val="19"/>
        </w:rPr>
        <w:t xml:space="preserve"> tissues for this product</w:t>
      </w:r>
      <w:r>
        <w:rPr>
          <w:szCs w:val="19"/>
        </w:rPr>
        <w:t xml:space="preserve"> (</w:t>
      </w:r>
      <w:r w:rsidRPr="00047811">
        <w:rPr>
          <w:szCs w:val="19"/>
        </w:rPr>
        <w:t xml:space="preserve">De </w:t>
      </w:r>
      <w:proofErr w:type="spellStart"/>
      <w:r w:rsidRPr="00047811">
        <w:rPr>
          <w:szCs w:val="19"/>
        </w:rPr>
        <w:t>Kleyne</w:t>
      </w:r>
      <w:proofErr w:type="spellEnd"/>
      <w:r w:rsidRPr="00047811">
        <w:rPr>
          <w:szCs w:val="19"/>
        </w:rPr>
        <w:t xml:space="preserve"> 1989</w:t>
      </w:r>
      <w:r>
        <w:rPr>
          <w:szCs w:val="19"/>
        </w:rPr>
        <w:t>b</w:t>
      </w:r>
      <w:r w:rsidRPr="00047811">
        <w:rPr>
          <w:szCs w:val="19"/>
        </w:rPr>
        <w:t xml:space="preserve">). </w:t>
      </w:r>
      <w:r>
        <w:t>S</w:t>
      </w:r>
      <w:r w:rsidR="00280856" w:rsidRPr="00CB6306">
        <w:t>heep (n=17) were intramuscularly injected with 3 doses of 5</w:t>
      </w:r>
      <w:r w:rsidR="00B102FF">
        <w:t> </w:t>
      </w:r>
      <w:r w:rsidR="00280856" w:rsidRPr="00CB6306">
        <w:t xml:space="preserve">mg neomycin/kg </w:t>
      </w:r>
      <w:proofErr w:type="spellStart"/>
      <w:r w:rsidR="00280856" w:rsidRPr="00CB6306">
        <w:t>bw</w:t>
      </w:r>
      <w:proofErr w:type="spellEnd"/>
      <w:r w:rsidR="00280856" w:rsidRPr="00CB6306">
        <w:t>, and 10</w:t>
      </w:r>
      <w:r w:rsidR="00B102FF">
        <w:t> </w:t>
      </w:r>
      <w:r w:rsidR="00280856" w:rsidRPr="00CB6306">
        <w:t xml:space="preserve">mg procaine penicillin/kg </w:t>
      </w:r>
      <w:proofErr w:type="spellStart"/>
      <w:r w:rsidR="00280856" w:rsidRPr="00CB6306">
        <w:t>bw</w:t>
      </w:r>
      <w:proofErr w:type="spellEnd"/>
      <w:r w:rsidR="00280856" w:rsidRPr="00CB6306">
        <w:t>, 24</w:t>
      </w:r>
      <w:r w:rsidR="00B102FF">
        <w:t> </w:t>
      </w:r>
      <w:r w:rsidR="00280856" w:rsidRPr="00CB6306">
        <w:t xml:space="preserve">hours apart. Animals were sacrificed at 28, 42, 56 and 70 days after treatment and samples of edible tissues (injection site, muscle, liver, kidney, fat) were collected and analysed (using an agar-diffusion method). The method LOD for </w:t>
      </w:r>
      <w:r w:rsidR="00E4250D">
        <w:t xml:space="preserve">neomycin in </w:t>
      </w:r>
      <w:r w:rsidR="00280856" w:rsidRPr="00CB6306">
        <w:t xml:space="preserve">fat, liver, </w:t>
      </w:r>
      <w:proofErr w:type="gramStart"/>
      <w:r w:rsidR="00280856" w:rsidRPr="00CB6306">
        <w:t>kidney</w:t>
      </w:r>
      <w:proofErr w:type="gramEnd"/>
      <w:r w:rsidR="00280856" w:rsidRPr="00CB6306">
        <w:t xml:space="preserve"> and muscle were 0.1, 0.2, 0.2 and 0.08</w:t>
      </w:r>
      <w:r w:rsidR="00B102FF">
        <w:t> </w:t>
      </w:r>
      <w:r w:rsidR="00280856" w:rsidRPr="00CB6306">
        <w:t>mg/kg, respectively.</w:t>
      </w:r>
    </w:p>
    <w:p w14:paraId="62FCD5EB" w14:textId="6BB79712" w:rsidR="00280856" w:rsidRPr="00053BAB" w:rsidRDefault="00280856" w:rsidP="00C43350">
      <w:pPr>
        <w:pStyle w:val="APVMAText"/>
      </w:pPr>
      <w:r w:rsidRPr="00053BAB">
        <w:t xml:space="preserve">Finite residues of penicillin were not detected in muscle, liver, </w:t>
      </w:r>
      <w:proofErr w:type="gramStart"/>
      <w:r w:rsidRPr="00053BAB">
        <w:t>kidney</w:t>
      </w:r>
      <w:proofErr w:type="gramEnd"/>
      <w:r w:rsidRPr="00053BAB">
        <w:t xml:space="preserve"> or fat at any time point (28</w:t>
      </w:r>
      <w:r w:rsidR="00B102FF">
        <w:t> </w:t>
      </w:r>
      <w:r w:rsidRPr="00053BAB">
        <w:t>days to 70</w:t>
      </w:r>
      <w:r w:rsidR="00B102FF">
        <w:t> </w:t>
      </w:r>
      <w:r w:rsidRPr="00053BAB">
        <w:t>days) and appropriate MRLs for penicillin (Benzyl G penicillin) are established in the MRL standard at *0.06</w:t>
      </w:r>
      <w:r w:rsidR="00B102FF">
        <w:t> </w:t>
      </w:r>
      <w:r w:rsidRPr="00053BAB">
        <w:t>mg/kg for meat (mammalian) and edible offal (mammalian) and at *0.0015</w:t>
      </w:r>
      <w:r w:rsidR="00B102FF">
        <w:t> </w:t>
      </w:r>
      <w:r w:rsidRPr="00053BAB">
        <w:t xml:space="preserve">mg/kg milk therefore </w:t>
      </w:r>
      <w:r w:rsidRPr="00053BAB">
        <w:lastRenderedPageBreak/>
        <w:t>residue and trade aspects relating to penicillin are not discussed any further. For this product, WHP and ESI will be driven by neomycin which showed quantifiable residues in edible tissues in the study considered.</w:t>
      </w:r>
    </w:p>
    <w:p w14:paraId="18A77C1A" w14:textId="51BC807C" w:rsidR="00280856" w:rsidRPr="00C43350" w:rsidRDefault="00280856" w:rsidP="00C43350">
      <w:pPr>
        <w:pStyle w:val="APVMAText"/>
      </w:pPr>
      <w:r w:rsidRPr="00C43350">
        <w:t>Neomycin residues in the injection site tissue, muscle and fat were &lt;0.16, &lt;0.08 and &lt;0.10</w:t>
      </w:r>
      <w:r w:rsidR="00B102FF">
        <w:t> </w:t>
      </w:r>
      <w:r w:rsidRPr="00C43350">
        <w:t xml:space="preserve">mg/kg at the first 3 time-points and were not determined for the final time-point at </w:t>
      </w:r>
      <w:r w:rsidR="00031F04">
        <w:t>d</w:t>
      </w:r>
      <w:r w:rsidRPr="00C43350">
        <w:t>ay 70. For liver, only 2 samples had residues &gt;LOD (0.2</w:t>
      </w:r>
      <w:r w:rsidR="00B102FF">
        <w:t> </w:t>
      </w:r>
      <w:r w:rsidRPr="00C43350">
        <w:t>mg/kg), 0.93</w:t>
      </w:r>
      <w:r w:rsidR="00B102FF">
        <w:t> </w:t>
      </w:r>
      <w:r w:rsidRPr="00C43350">
        <w:t>mg/kg (</w:t>
      </w:r>
      <w:r w:rsidR="00031F04">
        <w:t>d</w:t>
      </w:r>
      <w:r w:rsidRPr="00C43350">
        <w:t>ay 28) and 0.67</w:t>
      </w:r>
      <w:r w:rsidR="00B102FF">
        <w:t> </w:t>
      </w:r>
      <w:r w:rsidRPr="00C43350">
        <w:t>mg/kg (</w:t>
      </w:r>
      <w:r w:rsidR="00031F04">
        <w:t>d</w:t>
      </w:r>
      <w:r w:rsidRPr="00C43350">
        <w:t>ay 42). The HR was 1.75</w:t>
      </w:r>
      <w:r w:rsidR="00B102FF">
        <w:t> </w:t>
      </w:r>
      <w:r w:rsidRPr="00C43350">
        <w:t>mg/kg (</w:t>
      </w:r>
      <w:r w:rsidR="00031F04">
        <w:t>d</w:t>
      </w:r>
      <w:r w:rsidRPr="00C43350">
        <w:t>ay</w:t>
      </w:r>
      <w:r w:rsidR="00B102FF">
        <w:t> </w:t>
      </w:r>
      <w:r w:rsidRPr="00C43350">
        <w:t xml:space="preserve">28) for kidney samples and a general decline to the final time-point was seen with the HR at </w:t>
      </w:r>
      <w:r w:rsidR="00031F04">
        <w:t>d</w:t>
      </w:r>
      <w:r w:rsidRPr="00C43350">
        <w:t>ay 70</w:t>
      </w:r>
      <w:r w:rsidR="00B102FF">
        <w:t> </w:t>
      </w:r>
      <w:r w:rsidRPr="00C43350">
        <w:t>being 0.36</w:t>
      </w:r>
      <w:r w:rsidR="00B102FF">
        <w:t> </w:t>
      </w:r>
      <w:r w:rsidRPr="00C43350">
        <w:t>mg/kg.</w:t>
      </w:r>
    </w:p>
    <w:p w14:paraId="6C50C237" w14:textId="1C804895" w:rsidR="00280856" w:rsidRPr="00C43350" w:rsidRDefault="009A2650" w:rsidP="00C43350">
      <w:pPr>
        <w:pStyle w:val="APVMAText"/>
      </w:pPr>
      <w:r w:rsidRPr="00C43350">
        <w:t xml:space="preserve">The appropriateness of the sheep commodity temporary MRLs for neomycin </w:t>
      </w:r>
      <w:r w:rsidR="00280856" w:rsidRPr="00C43350">
        <w:t>(T10</w:t>
      </w:r>
      <w:r w:rsidR="00B102FF">
        <w:t> </w:t>
      </w:r>
      <w:r w:rsidR="00280856" w:rsidRPr="00C43350">
        <w:t>mg/kg for kidney, T0.5</w:t>
      </w:r>
      <w:r w:rsidR="00B102FF">
        <w:t> </w:t>
      </w:r>
      <w:r w:rsidR="00280856" w:rsidRPr="00C43350">
        <w:t>mg/kg for liver, T0.5</w:t>
      </w:r>
      <w:r w:rsidR="00B102FF">
        <w:t> </w:t>
      </w:r>
      <w:r w:rsidR="00280856" w:rsidRPr="00C43350">
        <w:t>mg/kg for Mammalian fats [except Milk fat] and T0.5</w:t>
      </w:r>
      <w:r w:rsidR="00B102FF">
        <w:t> </w:t>
      </w:r>
      <w:r w:rsidR="00280856" w:rsidRPr="00C43350">
        <w:t>mg/kg for Meat (mammalian) for the registered critical use rate and associated WHP (35</w:t>
      </w:r>
      <w:r w:rsidR="00B102FF">
        <w:t> </w:t>
      </w:r>
      <w:r w:rsidR="00280856" w:rsidRPr="00C43350">
        <w:t>days) was assessed through statistical analysis of the residues depletion curves of the individual edible sheep tissues using the EMA Meat WT v</w:t>
      </w:r>
      <w:r w:rsidR="00B102FF">
        <w:t>ersion</w:t>
      </w:r>
      <w:r w:rsidR="00280856" w:rsidRPr="00C43350">
        <w:t>.1.4</w:t>
      </w:r>
      <w:r w:rsidR="00644AD6">
        <w:t> </w:t>
      </w:r>
      <w:r w:rsidR="00280856" w:rsidRPr="00C43350">
        <w:t>software.</w:t>
      </w:r>
    </w:p>
    <w:p w14:paraId="7137B0D6" w14:textId="48205232" w:rsidR="00280856" w:rsidRPr="00C43350" w:rsidRDefault="00280856" w:rsidP="00C43350">
      <w:pPr>
        <w:pStyle w:val="APVMAText"/>
      </w:pPr>
      <w:r w:rsidRPr="00C43350">
        <w:t>Statistical analysis based on the submitted residues data indicated that the existing sheep kidney MRL of 10</w:t>
      </w:r>
      <w:r w:rsidR="00B102FF">
        <w:t> </w:t>
      </w:r>
      <w:r w:rsidRPr="00C43350">
        <w:t>mg/kg can be reduced to 2.4</w:t>
      </w:r>
      <w:r w:rsidR="00B102FF">
        <w:t> </w:t>
      </w:r>
      <w:r w:rsidRPr="00C43350">
        <w:t>mg/kg in conjunction with the current WHP of 35</w:t>
      </w:r>
      <w:r w:rsidR="00B102FF">
        <w:t> </w:t>
      </w:r>
      <w:r w:rsidRPr="00C43350">
        <w:t>days.</w:t>
      </w:r>
    </w:p>
    <w:p w14:paraId="00880180" w14:textId="0F258C1E" w:rsidR="00280856" w:rsidRPr="00C43350" w:rsidRDefault="00280856" w:rsidP="00C43350">
      <w:pPr>
        <w:pStyle w:val="APVMAText"/>
      </w:pPr>
      <w:r w:rsidRPr="00C43350">
        <w:t>Statistical analysis based on the submitted residues data, indicated that the sheep liver MRL should be 1.4</w:t>
      </w:r>
      <w:r w:rsidR="00B102FF">
        <w:t> </w:t>
      </w:r>
      <w:r w:rsidRPr="00C43350">
        <w:t>mg/kg in conjunction with the current WHP of 35 days</w:t>
      </w:r>
      <w:r w:rsidR="007963D0" w:rsidRPr="00C43350">
        <w:t>.</w:t>
      </w:r>
    </w:p>
    <w:p w14:paraId="7CAE336F" w14:textId="6B69C634" w:rsidR="00280856" w:rsidRPr="00C43350" w:rsidRDefault="00280856" w:rsidP="00C43350">
      <w:pPr>
        <w:pStyle w:val="APVMAText"/>
      </w:pPr>
      <w:r w:rsidRPr="00C43350">
        <w:t>Residues in fat and muscle were below the limit of determination of 0.10</w:t>
      </w:r>
      <w:r w:rsidR="00B102FF">
        <w:t> </w:t>
      </w:r>
      <w:r w:rsidRPr="00C43350">
        <w:t>mg/kg and 0.08</w:t>
      </w:r>
      <w:r w:rsidR="00B102FF">
        <w:t> </w:t>
      </w:r>
      <w:r w:rsidRPr="00C43350">
        <w:t>mg/kg respectively at all time points (28, 42, 56 and 70 days). Therefore, MRLs at *0.1</w:t>
      </w:r>
      <w:r w:rsidR="00B102FF">
        <w:t> </w:t>
      </w:r>
      <w:r w:rsidRPr="00C43350">
        <w:t>mg/kg for sheep fat and *0.08</w:t>
      </w:r>
      <w:r w:rsidR="00B102FF">
        <w:t> </w:t>
      </w:r>
      <w:r w:rsidRPr="00C43350">
        <w:t xml:space="preserve">mg/kg for sheep muscle are considered appropriate based on the available data for the supported use pattern with a </w:t>
      </w:r>
      <w:r w:rsidR="00EB2BC3" w:rsidRPr="00C43350">
        <w:t>35-day</w:t>
      </w:r>
      <w:r w:rsidRPr="00C43350">
        <w:t xml:space="preserve"> meat </w:t>
      </w:r>
      <w:r w:rsidR="00266EBF" w:rsidRPr="00C43350">
        <w:t>WHP</w:t>
      </w:r>
      <w:r w:rsidRPr="00C43350">
        <w:t>.</w:t>
      </w:r>
    </w:p>
    <w:p w14:paraId="0BB2D096" w14:textId="776E10C9" w:rsidR="00DA18C6" w:rsidRPr="00C43350" w:rsidRDefault="00DA18C6" w:rsidP="00C43350">
      <w:pPr>
        <w:pStyle w:val="APVMAText"/>
      </w:pPr>
      <w:r w:rsidRPr="00C43350">
        <w:t xml:space="preserve">The following withholding period is recommended for the use of this product </w:t>
      </w:r>
      <w:r w:rsidR="002D767D" w:rsidRPr="00C43350">
        <w:t>i</w:t>
      </w:r>
      <w:r w:rsidRPr="00C43350">
        <w:t>n sheep:</w:t>
      </w:r>
    </w:p>
    <w:p w14:paraId="77F52081" w14:textId="77777777" w:rsidR="00047811" w:rsidRPr="00191526" w:rsidRDefault="00047811" w:rsidP="007D6865">
      <w:pPr>
        <w:pStyle w:val="APVMAQuote"/>
      </w:pPr>
      <w:r w:rsidRPr="00191526">
        <w:t>MEAT: Sheep: DO NOT USE less than 35 days before slaughter for human consumption.</w:t>
      </w:r>
    </w:p>
    <w:p w14:paraId="348CEE26" w14:textId="623D8909" w:rsidR="00047811" w:rsidRPr="003C4CDD" w:rsidRDefault="00047811" w:rsidP="00C43350">
      <w:pPr>
        <w:pStyle w:val="APVMAText"/>
      </w:pPr>
      <w:r w:rsidRPr="003C4CDD">
        <w:t xml:space="preserve">The supported MRLs for neomycin in sheep tissues for this use are detailed in Table </w:t>
      </w:r>
      <w:r w:rsidR="00853764">
        <w:t>12</w:t>
      </w:r>
      <w:r w:rsidRPr="003C4CDD">
        <w:t xml:space="preserve"> below:</w:t>
      </w:r>
    </w:p>
    <w:p w14:paraId="1D98F73B" w14:textId="757421CD" w:rsidR="00047811" w:rsidRPr="00B102FF" w:rsidRDefault="00047811" w:rsidP="00C43350">
      <w:pPr>
        <w:pStyle w:val="Caption"/>
      </w:pPr>
      <w:bookmarkStart w:id="89" w:name="_Toc158818301"/>
      <w:r>
        <w:t xml:space="preserve">Table </w:t>
      </w:r>
      <w:fldSimple w:instr=" SEQ Table \* ARABIC ">
        <w:r w:rsidR="00A75CD4">
          <w:rPr>
            <w:noProof/>
          </w:rPr>
          <w:t>12</w:t>
        </w:r>
      </w:fldSimple>
      <w:r>
        <w:t>:</w:t>
      </w:r>
      <w:r>
        <w:tab/>
      </w:r>
      <w:r w:rsidRPr="00A54468">
        <w:t>The supported MRLs for neomycin in sheep</w:t>
      </w:r>
      <w:bookmarkEnd w:id="89"/>
    </w:p>
    <w:tbl>
      <w:tblPr>
        <w:tblW w:w="5000" w:type="pct"/>
        <w:tblLook w:val="04A0" w:firstRow="1" w:lastRow="0" w:firstColumn="1" w:lastColumn="0" w:noHBand="0" w:noVBand="1"/>
      </w:tblPr>
      <w:tblGrid>
        <w:gridCol w:w="2357"/>
        <w:gridCol w:w="5461"/>
        <w:gridCol w:w="1820"/>
      </w:tblGrid>
      <w:tr w:rsidR="00047811" w:rsidRPr="00304B1D" w14:paraId="3FB3191D" w14:textId="77777777" w:rsidTr="00C43350">
        <w:trPr>
          <w:cantSplit/>
          <w:trHeight w:val="311"/>
          <w:tblHeader/>
        </w:trPr>
        <w:tc>
          <w:tcPr>
            <w:tcW w:w="1223" w:type="pct"/>
            <w:tcBorders>
              <w:top w:val="single" w:sz="4" w:space="0" w:color="auto"/>
              <w:left w:val="nil"/>
              <w:bottom w:val="single" w:sz="4" w:space="0" w:color="auto"/>
              <w:right w:val="nil"/>
            </w:tcBorders>
            <w:shd w:val="clear" w:color="auto" w:fill="5C2946"/>
            <w:noWrap/>
          </w:tcPr>
          <w:p w14:paraId="10515A98" w14:textId="77777777" w:rsidR="00047811" w:rsidRPr="00C43350" w:rsidRDefault="00047811" w:rsidP="00C43350">
            <w:pPr>
              <w:pStyle w:val="TableHead"/>
            </w:pPr>
            <w:r w:rsidRPr="00C43350">
              <w:t>Compound</w:t>
            </w:r>
          </w:p>
        </w:tc>
        <w:tc>
          <w:tcPr>
            <w:tcW w:w="2833" w:type="pct"/>
            <w:tcBorders>
              <w:top w:val="single" w:sz="4" w:space="0" w:color="auto"/>
              <w:left w:val="nil"/>
              <w:bottom w:val="single" w:sz="4" w:space="0" w:color="auto"/>
              <w:right w:val="nil"/>
            </w:tcBorders>
            <w:shd w:val="clear" w:color="auto" w:fill="5C2946"/>
            <w:noWrap/>
          </w:tcPr>
          <w:p w14:paraId="1C0D29A0" w14:textId="77777777" w:rsidR="00047811" w:rsidRPr="00C43350" w:rsidRDefault="00047811" w:rsidP="00C43350">
            <w:pPr>
              <w:pStyle w:val="TableHead"/>
            </w:pPr>
            <w:r w:rsidRPr="00C43350">
              <w:t>Food</w:t>
            </w:r>
          </w:p>
        </w:tc>
        <w:tc>
          <w:tcPr>
            <w:tcW w:w="944" w:type="pct"/>
            <w:tcBorders>
              <w:top w:val="single" w:sz="4" w:space="0" w:color="auto"/>
              <w:left w:val="nil"/>
              <w:bottom w:val="single" w:sz="4" w:space="0" w:color="auto"/>
              <w:right w:val="nil"/>
            </w:tcBorders>
            <w:shd w:val="clear" w:color="auto" w:fill="5C2946"/>
            <w:noWrap/>
          </w:tcPr>
          <w:p w14:paraId="40029FA3" w14:textId="77777777" w:rsidR="00047811" w:rsidRPr="00C43350" w:rsidRDefault="00047811" w:rsidP="00801280">
            <w:pPr>
              <w:pStyle w:val="TableHeadRight"/>
            </w:pPr>
            <w:r w:rsidRPr="00C43350">
              <w:t>MRL (mg/kg)</w:t>
            </w:r>
          </w:p>
        </w:tc>
      </w:tr>
      <w:tr w:rsidR="00C43350" w:rsidRPr="00304B1D" w14:paraId="77943F4B" w14:textId="77777777" w:rsidTr="00C43350">
        <w:trPr>
          <w:cantSplit/>
          <w:trHeight w:val="444"/>
        </w:trPr>
        <w:tc>
          <w:tcPr>
            <w:tcW w:w="5000" w:type="pct"/>
            <w:gridSpan w:val="3"/>
            <w:tcBorders>
              <w:top w:val="single" w:sz="4" w:space="0" w:color="auto"/>
              <w:left w:val="nil"/>
              <w:bottom w:val="single" w:sz="4" w:space="0" w:color="auto"/>
              <w:right w:val="nil"/>
            </w:tcBorders>
            <w:noWrap/>
          </w:tcPr>
          <w:p w14:paraId="7CFC56A0" w14:textId="7C284D98" w:rsidR="00C43350" w:rsidRPr="00C43350" w:rsidRDefault="00C43350" w:rsidP="00C43350">
            <w:pPr>
              <w:pStyle w:val="MRLActiveName"/>
            </w:pPr>
            <w:r w:rsidRPr="00C43350">
              <w:t>Neomycin</w:t>
            </w:r>
          </w:p>
        </w:tc>
      </w:tr>
      <w:tr w:rsidR="00047811" w:rsidRPr="00304B1D" w14:paraId="4E34BE7C" w14:textId="77777777" w:rsidTr="00C43350">
        <w:trPr>
          <w:cantSplit/>
          <w:trHeight w:val="399"/>
        </w:trPr>
        <w:tc>
          <w:tcPr>
            <w:tcW w:w="1223" w:type="pct"/>
            <w:tcBorders>
              <w:top w:val="single" w:sz="4" w:space="0" w:color="auto"/>
              <w:left w:val="nil"/>
              <w:bottom w:val="single" w:sz="4" w:space="0" w:color="auto"/>
              <w:right w:val="nil"/>
            </w:tcBorders>
            <w:shd w:val="clear" w:color="auto" w:fill="FFFFFF"/>
            <w:noWrap/>
          </w:tcPr>
          <w:p w14:paraId="0D4D142A" w14:textId="77777777" w:rsidR="00047811" w:rsidRPr="00304B1D" w:rsidRDefault="00047811" w:rsidP="00C43350">
            <w:pPr>
              <w:pStyle w:val="TableText"/>
            </w:pPr>
            <w:r w:rsidRPr="00304B1D">
              <w:t>MF 0822</w:t>
            </w:r>
          </w:p>
        </w:tc>
        <w:tc>
          <w:tcPr>
            <w:tcW w:w="2833" w:type="pct"/>
            <w:tcBorders>
              <w:top w:val="single" w:sz="4" w:space="0" w:color="auto"/>
              <w:left w:val="nil"/>
              <w:bottom w:val="single" w:sz="4" w:space="0" w:color="auto"/>
              <w:right w:val="nil"/>
            </w:tcBorders>
            <w:shd w:val="clear" w:color="auto" w:fill="FFFFFF"/>
            <w:noWrap/>
          </w:tcPr>
          <w:p w14:paraId="610B42BB" w14:textId="77777777" w:rsidR="00047811" w:rsidRPr="00304B1D" w:rsidRDefault="00047811" w:rsidP="00C43350">
            <w:pPr>
              <w:pStyle w:val="TableText"/>
            </w:pPr>
            <w:r w:rsidRPr="00304B1D">
              <w:t>Sheep fat</w:t>
            </w:r>
          </w:p>
        </w:tc>
        <w:tc>
          <w:tcPr>
            <w:tcW w:w="944" w:type="pct"/>
            <w:tcBorders>
              <w:top w:val="single" w:sz="4" w:space="0" w:color="auto"/>
              <w:left w:val="nil"/>
              <w:bottom w:val="single" w:sz="4" w:space="0" w:color="auto"/>
              <w:right w:val="nil"/>
            </w:tcBorders>
            <w:shd w:val="clear" w:color="auto" w:fill="FFFFFF"/>
            <w:noWrap/>
          </w:tcPr>
          <w:p w14:paraId="080BF7F9" w14:textId="77777777" w:rsidR="00047811" w:rsidRPr="00304B1D" w:rsidRDefault="00047811" w:rsidP="00C43350">
            <w:pPr>
              <w:pStyle w:val="TableTextRight"/>
            </w:pPr>
            <w:r>
              <w:t>*0.1</w:t>
            </w:r>
          </w:p>
        </w:tc>
      </w:tr>
      <w:tr w:rsidR="00047811" w:rsidRPr="00304B1D" w14:paraId="47D14C9B" w14:textId="77777777" w:rsidTr="00C43350">
        <w:trPr>
          <w:cantSplit/>
          <w:trHeight w:val="385"/>
        </w:trPr>
        <w:tc>
          <w:tcPr>
            <w:tcW w:w="1223" w:type="pct"/>
            <w:tcBorders>
              <w:top w:val="single" w:sz="4" w:space="0" w:color="auto"/>
              <w:left w:val="nil"/>
              <w:bottom w:val="single" w:sz="4" w:space="0" w:color="auto"/>
              <w:right w:val="nil"/>
            </w:tcBorders>
            <w:shd w:val="clear" w:color="auto" w:fill="FFFFFF"/>
            <w:noWrap/>
          </w:tcPr>
          <w:p w14:paraId="587C6945" w14:textId="77777777" w:rsidR="00047811" w:rsidRPr="00304B1D" w:rsidRDefault="00047811" w:rsidP="00C43350">
            <w:pPr>
              <w:pStyle w:val="TableText"/>
            </w:pPr>
            <w:r w:rsidRPr="00304B1D">
              <w:t>MO 1288</w:t>
            </w:r>
          </w:p>
        </w:tc>
        <w:tc>
          <w:tcPr>
            <w:tcW w:w="2833" w:type="pct"/>
            <w:tcBorders>
              <w:top w:val="single" w:sz="4" w:space="0" w:color="auto"/>
              <w:left w:val="nil"/>
              <w:bottom w:val="single" w:sz="4" w:space="0" w:color="auto"/>
              <w:right w:val="nil"/>
            </w:tcBorders>
            <w:shd w:val="clear" w:color="auto" w:fill="FFFFFF"/>
            <w:noWrap/>
          </w:tcPr>
          <w:p w14:paraId="37DF6E2F" w14:textId="77777777" w:rsidR="00047811" w:rsidRPr="00304B1D" w:rsidRDefault="00047811" w:rsidP="00C43350">
            <w:pPr>
              <w:pStyle w:val="TableText"/>
            </w:pPr>
            <w:r w:rsidRPr="00304B1D">
              <w:t>Sheep, kidney</w:t>
            </w:r>
          </w:p>
        </w:tc>
        <w:tc>
          <w:tcPr>
            <w:tcW w:w="944" w:type="pct"/>
            <w:tcBorders>
              <w:top w:val="single" w:sz="4" w:space="0" w:color="auto"/>
              <w:left w:val="nil"/>
              <w:bottom w:val="single" w:sz="4" w:space="0" w:color="auto"/>
              <w:right w:val="nil"/>
            </w:tcBorders>
            <w:shd w:val="clear" w:color="auto" w:fill="FFFFFF"/>
            <w:noWrap/>
          </w:tcPr>
          <w:p w14:paraId="1192CD0E" w14:textId="77777777" w:rsidR="00047811" w:rsidRPr="00304B1D" w:rsidRDefault="00047811" w:rsidP="00C43350">
            <w:pPr>
              <w:pStyle w:val="TableTextRight"/>
            </w:pPr>
            <w:r>
              <w:t>2.4</w:t>
            </w:r>
          </w:p>
        </w:tc>
      </w:tr>
      <w:tr w:rsidR="00047811" w:rsidRPr="00304B1D" w14:paraId="5E3A1E18" w14:textId="77777777" w:rsidTr="00C43350">
        <w:trPr>
          <w:cantSplit/>
          <w:trHeight w:val="399"/>
        </w:trPr>
        <w:tc>
          <w:tcPr>
            <w:tcW w:w="1223" w:type="pct"/>
            <w:tcBorders>
              <w:top w:val="single" w:sz="4" w:space="0" w:color="auto"/>
              <w:left w:val="nil"/>
              <w:bottom w:val="single" w:sz="4" w:space="0" w:color="auto"/>
              <w:right w:val="nil"/>
            </w:tcBorders>
            <w:shd w:val="clear" w:color="auto" w:fill="FFFFFF"/>
            <w:noWrap/>
          </w:tcPr>
          <w:p w14:paraId="4374AAD4" w14:textId="77777777" w:rsidR="00047811" w:rsidRPr="00304B1D" w:rsidRDefault="00047811" w:rsidP="00C43350">
            <w:pPr>
              <w:pStyle w:val="TableText"/>
            </w:pPr>
            <w:r w:rsidRPr="00304B1D">
              <w:t>MO 1289</w:t>
            </w:r>
          </w:p>
        </w:tc>
        <w:tc>
          <w:tcPr>
            <w:tcW w:w="2833" w:type="pct"/>
            <w:tcBorders>
              <w:top w:val="single" w:sz="4" w:space="0" w:color="auto"/>
              <w:left w:val="nil"/>
              <w:bottom w:val="single" w:sz="4" w:space="0" w:color="auto"/>
              <w:right w:val="nil"/>
            </w:tcBorders>
            <w:shd w:val="clear" w:color="auto" w:fill="FFFFFF"/>
            <w:noWrap/>
          </w:tcPr>
          <w:p w14:paraId="6DCA5CA8" w14:textId="77777777" w:rsidR="00047811" w:rsidRPr="00304B1D" w:rsidRDefault="00047811" w:rsidP="00C43350">
            <w:pPr>
              <w:pStyle w:val="TableText"/>
            </w:pPr>
            <w:r w:rsidRPr="00304B1D">
              <w:t>Sheep, liver</w:t>
            </w:r>
          </w:p>
        </w:tc>
        <w:tc>
          <w:tcPr>
            <w:tcW w:w="944" w:type="pct"/>
            <w:tcBorders>
              <w:top w:val="single" w:sz="4" w:space="0" w:color="auto"/>
              <w:left w:val="nil"/>
              <w:bottom w:val="single" w:sz="4" w:space="0" w:color="auto"/>
              <w:right w:val="nil"/>
            </w:tcBorders>
            <w:shd w:val="clear" w:color="auto" w:fill="FFFFFF"/>
            <w:noWrap/>
          </w:tcPr>
          <w:p w14:paraId="07518A7A" w14:textId="77777777" w:rsidR="00047811" w:rsidRPr="00304B1D" w:rsidRDefault="00047811" w:rsidP="00C43350">
            <w:pPr>
              <w:pStyle w:val="TableTextRight"/>
            </w:pPr>
            <w:r>
              <w:t>1.4</w:t>
            </w:r>
          </w:p>
        </w:tc>
      </w:tr>
      <w:tr w:rsidR="00047811" w:rsidRPr="00304B1D" w14:paraId="49C9F397" w14:textId="77777777" w:rsidTr="00C43350">
        <w:trPr>
          <w:cantSplit/>
          <w:trHeight w:val="385"/>
        </w:trPr>
        <w:tc>
          <w:tcPr>
            <w:tcW w:w="1223" w:type="pct"/>
            <w:tcBorders>
              <w:top w:val="single" w:sz="4" w:space="0" w:color="auto"/>
              <w:left w:val="nil"/>
              <w:bottom w:val="single" w:sz="4" w:space="0" w:color="auto"/>
              <w:right w:val="nil"/>
            </w:tcBorders>
            <w:shd w:val="clear" w:color="auto" w:fill="FFFFFF"/>
            <w:noWrap/>
          </w:tcPr>
          <w:p w14:paraId="76A16C43" w14:textId="1B9ED16B" w:rsidR="00047811" w:rsidRPr="00304B1D" w:rsidRDefault="00047811" w:rsidP="00C43350">
            <w:pPr>
              <w:pStyle w:val="TableText"/>
            </w:pPr>
          </w:p>
        </w:tc>
        <w:tc>
          <w:tcPr>
            <w:tcW w:w="2833" w:type="pct"/>
            <w:tcBorders>
              <w:top w:val="single" w:sz="4" w:space="0" w:color="auto"/>
              <w:left w:val="nil"/>
              <w:bottom w:val="single" w:sz="4" w:space="0" w:color="auto"/>
              <w:right w:val="nil"/>
            </w:tcBorders>
            <w:shd w:val="clear" w:color="auto" w:fill="FFFFFF"/>
            <w:noWrap/>
          </w:tcPr>
          <w:p w14:paraId="29C3359C" w14:textId="77777777" w:rsidR="00047811" w:rsidRPr="00304B1D" w:rsidRDefault="00047811" w:rsidP="00C43350">
            <w:pPr>
              <w:pStyle w:val="TableText"/>
            </w:pPr>
            <w:r w:rsidRPr="00304B1D">
              <w:t>Sheep muscle</w:t>
            </w:r>
          </w:p>
        </w:tc>
        <w:tc>
          <w:tcPr>
            <w:tcW w:w="944" w:type="pct"/>
            <w:tcBorders>
              <w:top w:val="single" w:sz="4" w:space="0" w:color="auto"/>
              <w:left w:val="nil"/>
              <w:bottom w:val="single" w:sz="4" w:space="0" w:color="auto"/>
              <w:right w:val="nil"/>
            </w:tcBorders>
            <w:shd w:val="clear" w:color="auto" w:fill="FFFFFF"/>
            <w:noWrap/>
          </w:tcPr>
          <w:p w14:paraId="40EC7179" w14:textId="77777777" w:rsidR="00047811" w:rsidRPr="00304B1D" w:rsidRDefault="00047811" w:rsidP="00C43350">
            <w:pPr>
              <w:pStyle w:val="TableTextRight"/>
            </w:pPr>
            <w:r>
              <w:t>*0.08</w:t>
            </w:r>
          </w:p>
        </w:tc>
      </w:tr>
    </w:tbl>
    <w:p w14:paraId="41F82269" w14:textId="7F09F26A" w:rsidR="00280856" w:rsidRPr="00C43350" w:rsidRDefault="00280856" w:rsidP="002F0423">
      <w:pPr>
        <w:pStyle w:val="Heading6"/>
        <w:keepNext/>
        <w:keepLines/>
      </w:pPr>
      <w:r w:rsidRPr="00C43350">
        <w:lastRenderedPageBreak/>
        <w:t>Re-treatment interval (between courses)</w:t>
      </w:r>
    </w:p>
    <w:p w14:paraId="674CE98A" w14:textId="7CCDAECD" w:rsidR="00280856" w:rsidRPr="00C43350" w:rsidRDefault="00280856" w:rsidP="00C43350">
      <w:pPr>
        <w:pStyle w:val="APVMAText"/>
      </w:pPr>
      <w:r w:rsidRPr="00C43350">
        <w:t xml:space="preserve">The available data addressed one treatment course involving 3 consecutive injections, made </w:t>
      </w:r>
      <w:r w:rsidR="00E36E26">
        <w:t>one</w:t>
      </w:r>
      <w:r w:rsidR="00E36E26" w:rsidRPr="00C43350">
        <w:t xml:space="preserve"> </w:t>
      </w:r>
      <w:r w:rsidRPr="00C43350">
        <w:t>day apart, at 5</w:t>
      </w:r>
      <w:r w:rsidR="00B102FF">
        <w:t> </w:t>
      </w:r>
      <w:r w:rsidRPr="00C43350">
        <w:t xml:space="preserve">mg neomycin/kg </w:t>
      </w:r>
      <w:proofErr w:type="spellStart"/>
      <w:r w:rsidRPr="00C43350">
        <w:t>bw</w:t>
      </w:r>
      <w:proofErr w:type="spellEnd"/>
      <w:r w:rsidRPr="00C43350">
        <w:t xml:space="preserve"> and 10</w:t>
      </w:r>
      <w:r w:rsidR="00B102FF">
        <w:t> </w:t>
      </w:r>
      <w:r w:rsidRPr="00C43350">
        <w:t xml:space="preserve">mg procaine penicillin/kg </w:t>
      </w:r>
      <w:proofErr w:type="spellStart"/>
      <w:r w:rsidRPr="00C43350">
        <w:t>bw</w:t>
      </w:r>
      <w:proofErr w:type="spellEnd"/>
      <w:r w:rsidRPr="00C43350">
        <w:t>. The approved label for</w:t>
      </w:r>
      <w:r w:rsidR="002C451F" w:rsidRPr="00C43350">
        <w:t xml:space="preserve"> the registered</w:t>
      </w:r>
      <w:r w:rsidRPr="00C43350">
        <w:t xml:space="preserve"> </w:t>
      </w:r>
      <w:r w:rsidR="002C451F" w:rsidRPr="00C43350">
        <w:t>product 37241</w:t>
      </w:r>
      <w:r w:rsidRPr="00C43350">
        <w:t xml:space="preserve"> does not carry a minimum retreatment interval between courses and the submitted trial does not include a re-treatment interval. A re-treatment interval between courses is considered important to prevent a second course being administered to the same animal before residues have declined as this may lead to residues in tissues above the recommended MRLs.</w:t>
      </w:r>
    </w:p>
    <w:p w14:paraId="0CA83358" w14:textId="544B7C6A" w:rsidR="00280856" w:rsidRPr="00C43350" w:rsidRDefault="00280856" w:rsidP="00C43350">
      <w:pPr>
        <w:pStyle w:val="APVMAText"/>
      </w:pPr>
      <w:r w:rsidRPr="00C43350">
        <w:t xml:space="preserve">For neomycin residues in </w:t>
      </w:r>
      <w:r w:rsidR="001116A2" w:rsidRPr="00C43350">
        <w:t xml:space="preserve">sheep </w:t>
      </w:r>
      <w:r w:rsidRPr="00C43350">
        <w:t xml:space="preserve">kidney, the marker tissue, finite residues (0.28 </w:t>
      </w:r>
      <w:r w:rsidR="00B102FF">
        <w:t>to</w:t>
      </w:r>
      <w:r w:rsidR="00B102FF" w:rsidRPr="00C43350">
        <w:t xml:space="preserve"> </w:t>
      </w:r>
      <w:r w:rsidRPr="00C43350">
        <w:t>0.36</w:t>
      </w:r>
      <w:r w:rsidR="00B102FF">
        <w:t> </w:t>
      </w:r>
      <w:r w:rsidRPr="00C43350">
        <w:t>mg/kg) were observed at the last time point of 70 days post treatment. Statistical analysis at the 95 percentile of the decline profile indicates that after 133</w:t>
      </w:r>
      <w:r w:rsidR="00B102FF">
        <w:t> </w:t>
      </w:r>
      <w:r w:rsidRPr="00C43350">
        <w:t>days (~4 months), residues will decline to below the limit of determination from the study of 0.20</w:t>
      </w:r>
      <w:r w:rsidR="00B102FF">
        <w:t> </w:t>
      </w:r>
      <w:r w:rsidRPr="00C43350">
        <w:t xml:space="preserve">mg/kg. It is considered that a </w:t>
      </w:r>
      <w:r w:rsidR="00CB6306" w:rsidRPr="00C43350">
        <w:t>4-month</w:t>
      </w:r>
      <w:r w:rsidRPr="00C43350">
        <w:t xml:space="preserve"> re-treatment interval should manage the risk of unacceptable accumulation of neomycin residues between </w:t>
      </w:r>
      <w:r w:rsidR="009A2650" w:rsidRPr="00C43350">
        <w:t xml:space="preserve">courses </w:t>
      </w:r>
      <w:r w:rsidRPr="00C43350">
        <w:t>in sheep.</w:t>
      </w:r>
    </w:p>
    <w:p w14:paraId="5E467F60" w14:textId="5486F8F6" w:rsidR="00DA18C6" w:rsidRPr="00C43350" w:rsidRDefault="00DA18C6" w:rsidP="00C43350">
      <w:pPr>
        <w:pStyle w:val="APVMAText"/>
      </w:pPr>
      <w:r w:rsidRPr="00C43350">
        <w:t xml:space="preserve">The following restraint is recommended for the use of this product </w:t>
      </w:r>
      <w:r w:rsidR="002D767D" w:rsidRPr="00C43350">
        <w:t>i</w:t>
      </w:r>
      <w:r w:rsidRPr="00C43350">
        <w:t>n sheep:</w:t>
      </w:r>
    </w:p>
    <w:p w14:paraId="30719E04" w14:textId="77777777" w:rsidR="00047811" w:rsidRPr="00C43350" w:rsidRDefault="00047811" w:rsidP="007D6865">
      <w:pPr>
        <w:pStyle w:val="APVMAQuote"/>
      </w:pPr>
      <w:r w:rsidRPr="00C43350">
        <w:t>RESTRAINT: RE-TREATMENT INTERVAL</w:t>
      </w:r>
    </w:p>
    <w:p w14:paraId="11C7D88C" w14:textId="78BB4BE9" w:rsidR="00047811" w:rsidRPr="00C43350" w:rsidRDefault="00047811" w:rsidP="007D6865">
      <w:pPr>
        <w:pStyle w:val="APVMAQuote"/>
      </w:pPr>
      <w:r w:rsidRPr="00C43350">
        <w:t xml:space="preserve">DO NOT RE-TREAT </w:t>
      </w:r>
      <w:r w:rsidR="00DA18C6" w:rsidRPr="00C43350">
        <w:t xml:space="preserve">sheep </w:t>
      </w:r>
      <w:r w:rsidRPr="00C43350">
        <w:t>for 4 months after the last dose in one course of treatment</w:t>
      </w:r>
      <w:r w:rsidR="00DA18C6" w:rsidRPr="00C43350">
        <w:t>.</w:t>
      </w:r>
    </w:p>
    <w:p w14:paraId="026A4F21" w14:textId="2C95E260" w:rsidR="00280856" w:rsidRPr="00C43350" w:rsidRDefault="00047811" w:rsidP="00C43350">
      <w:pPr>
        <w:pStyle w:val="Heading6"/>
      </w:pPr>
      <w:r w:rsidRPr="00C43350">
        <w:t>M</w:t>
      </w:r>
      <w:r w:rsidR="00280856" w:rsidRPr="00C43350">
        <w:t>ilk withholding period</w:t>
      </w:r>
    </w:p>
    <w:p w14:paraId="436A5DDC" w14:textId="78D022AE" w:rsidR="00280856" w:rsidRPr="00C43350" w:rsidRDefault="00280856" w:rsidP="00C43350">
      <w:pPr>
        <w:pStyle w:val="APVMAText"/>
      </w:pPr>
      <w:r w:rsidRPr="00C43350">
        <w:t>Residue depletion stud</w:t>
      </w:r>
      <w:r w:rsidR="00CB6306" w:rsidRPr="00C43350">
        <w:t>ies</w:t>
      </w:r>
      <w:r w:rsidRPr="00C43350">
        <w:t xml:space="preserve"> in sheep milk </w:t>
      </w:r>
      <w:r w:rsidR="00CB6306" w:rsidRPr="00C43350">
        <w:t>are</w:t>
      </w:r>
      <w:r w:rsidRPr="00C43350">
        <w:t xml:space="preserve"> not available to estimate residues of neomycin in sheep milk. Therefore, the following restraint is recommended </w:t>
      </w:r>
      <w:r w:rsidR="00DA18C6" w:rsidRPr="00C43350">
        <w:t xml:space="preserve">for use of this product </w:t>
      </w:r>
      <w:r w:rsidR="002D767D" w:rsidRPr="00C43350">
        <w:t>i</w:t>
      </w:r>
      <w:r w:rsidR="00DA18C6" w:rsidRPr="00C43350">
        <w:t xml:space="preserve">n sheep </w:t>
      </w:r>
      <w:r w:rsidRPr="00C43350">
        <w:t>to prevent consumption of milk.</w:t>
      </w:r>
    </w:p>
    <w:p w14:paraId="629F9597" w14:textId="77777777" w:rsidR="00280856" w:rsidRDefault="00280856" w:rsidP="007D6865">
      <w:pPr>
        <w:pStyle w:val="APVMAQuote"/>
      </w:pPr>
      <w:r w:rsidRPr="00CC1827">
        <w:t>DO NOT USE in lactating or pregnant ewes which are producing or may in the future produce milk that may be used or processed for human consumption.</w:t>
      </w:r>
    </w:p>
    <w:p w14:paraId="2B5BF4D2" w14:textId="4C43A956" w:rsidR="00280856" w:rsidRPr="00C43350" w:rsidRDefault="00280856" w:rsidP="00C43350">
      <w:pPr>
        <w:pStyle w:val="Heading6"/>
      </w:pPr>
      <w:r w:rsidRPr="00C43350">
        <w:t xml:space="preserve">Export </w:t>
      </w:r>
      <w:r w:rsidR="00B102FF">
        <w:t>s</w:t>
      </w:r>
      <w:r w:rsidRPr="00C43350">
        <w:t xml:space="preserve">laughter </w:t>
      </w:r>
      <w:r w:rsidR="00B102FF">
        <w:t>i</w:t>
      </w:r>
      <w:r w:rsidRPr="00C43350">
        <w:t>nterval</w:t>
      </w:r>
    </w:p>
    <w:p w14:paraId="01CBF7DB" w14:textId="0DE4A7ED" w:rsidR="00280856" w:rsidRPr="00053BAB" w:rsidRDefault="009A2650" w:rsidP="00C43350">
      <w:pPr>
        <w:pStyle w:val="APVMAText"/>
      </w:pPr>
      <w:r w:rsidRPr="009A2650">
        <w:t>Noting the neomycin MRLs established by major export marke</w:t>
      </w:r>
      <w:r>
        <w:t>t</w:t>
      </w:r>
      <w:r w:rsidRPr="009A2650">
        <w:t>s (see the ‘Trade</w:t>
      </w:r>
      <w:r w:rsidR="006955F2">
        <w:t xml:space="preserve"> consideration</w:t>
      </w:r>
      <w:r w:rsidRPr="009A2650">
        <w:t>’ section below</w:t>
      </w:r>
      <w:r>
        <w:t>),</w:t>
      </w:r>
      <w:r w:rsidRPr="009A2650">
        <w:t xml:space="preserve"> the </w:t>
      </w:r>
      <w:r w:rsidR="00280856" w:rsidRPr="00053BAB">
        <w:t>ESI for neomycin in sheep should be based upon the time required for residues to decline to 0.5</w:t>
      </w:r>
      <w:r w:rsidR="00B102FF">
        <w:t> </w:t>
      </w:r>
      <w:r w:rsidR="00280856" w:rsidRPr="00053BAB">
        <w:t>mg/kg in sheep liver to prevent an undue risk to trade.</w:t>
      </w:r>
    </w:p>
    <w:p w14:paraId="08F03EB0" w14:textId="7D8D2E85" w:rsidR="00280856" w:rsidRDefault="00280856" w:rsidP="00C43350">
      <w:pPr>
        <w:pStyle w:val="APVMAText"/>
      </w:pPr>
      <w:r w:rsidRPr="00053BAB">
        <w:t xml:space="preserve">For sheep liver, </w:t>
      </w:r>
      <w:r w:rsidR="00CB6306" w:rsidRPr="00053BAB">
        <w:t>b</w:t>
      </w:r>
      <w:r w:rsidRPr="00053BAB">
        <w:t>ased on the results of the residues study which found a residue of 0.93</w:t>
      </w:r>
      <w:r w:rsidR="00B102FF">
        <w:t> </w:t>
      </w:r>
      <w:r w:rsidRPr="00053BAB">
        <w:t>mg/kg in sheep liver at 28 days after treatment, a residue of 0.67</w:t>
      </w:r>
      <w:r w:rsidR="00B102FF">
        <w:t> </w:t>
      </w:r>
      <w:r w:rsidRPr="00053BAB">
        <w:t>mg/kg at 42 days after treatment but residues below the limit of determination at 0.2</w:t>
      </w:r>
      <w:r w:rsidR="00B102FF">
        <w:t> </w:t>
      </w:r>
      <w:r w:rsidRPr="00053BAB">
        <w:t>mg/kg at 56 days after treatment, it is considered appropriate to establish an ESI of 56 days for sheep for this product.</w:t>
      </w:r>
    </w:p>
    <w:p w14:paraId="078BD7D7" w14:textId="6AAF1B48" w:rsidR="00DA18C6" w:rsidRPr="003C4CDD" w:rsidRDefault="00DA18C6" w:rsidP="00C43350">
      <w:pPr>
        <w:pStyle w:val="APVMAText"/>
      </w:pPr>
      <w:r w:rsidRPr="003C4CDD">
        <w:t xml:space="preserve">The following trade advice statement is recommended for the use of this product </w:t>
      </w:r>
      <w:r w:rsidR="002D767D">
        <w:t>i</w:t>
      </w:r>
      <w:r w:rsidRPr="003C4CDD">
        <w:t>n sheep:</w:t>
      </w:r>
    </w:p>
    <w:p w14:paraId="415B2DCA" w14:textId="77777777" w:rsidR="00047811" w:rsidRPr="00C43350" w:rsidRDefault="00047811" w:rsidP="007D6865">
      <w:pPr>
        <w:pStyle w:val="APVMAQuote"/>
      </w:pPr>
      <w:r w:rsidRPr="00C43350">
        <w:t>TRADE ADVICE: EXPORT SLAUGHTER INTERVAL</w:t>
      </w:r>
    </w:p>
    <w:p w14:paraId="61F87500" w14:textId="5C60F85F" w:rsidR="00047811" w:rsidRPr="00C43350" w:rsidRDefault="00047811" w:rsidP="007D6865">
      <w:pPr>
        <w:pStyle w:val="APVMAQuote"/>
      </w:pPr>
      <w:r w:rsidRPr="00C43350">
        <w:t xml:space="preserve">EXPORT SLAUGHTER INTERVAL (ESI): DO NOT USE less than 56 days for sheep before slaughter for export. Before using this product, confirm the current ESI from the manufacturer on </w:t>
      </w:r>
      <w:r w:rsidR="00031F04" w:rsidRPr="00C43350">
        <w:t>1800</w:t>
      </w:r>
      <w:r w:rsidR="00031F04">
        <w:t> </w:t>
      </w:r>
      <w:r w:rsidRPr="00C43350">
        <w:t>033461 or the APVMA website (apvma.gov.au/residues).</w:t>
      </w:r>
    </w:p>
    <w:p w14:paraId="2BC67323" w14:textId="77A18809" w:rsidR="00280856" w:rsidRPr="00C43350" w:rsidRDefault="00280856" w:rsidP="00C43350">
      <w:pPr>
        <w:pStyle w:val="Heading5"/>
      </w:pPr>
      <w:r w:rsidRPr="00C43350">
        <w:lastRenderedPageBreak/>
        <w:t>Pigs</w:t>
      </w:r>
    </w:p>
    <w:p w14:paraId="38165355" w14:textId="54D58B37" w:rsidR="00280856" w:rsidRPr="00C43350" w:rsidRDefault="00047811" w:rsidP="00C43350">
      <w:pPr>
        <w:pStyle w:val="APVMAText"/>
      </w:pPr>
      <w:r w:rsidRPr="00C43350">
        <w:t xml:space="preserve">Residues data is available for pig tissues for this product (De </w:t>
      </w:r>
      <w:proofErr w:type="spellStart"/>
      <w:r w:rsidRPr="00C43350">
        <w:t>Kleyne</w:t>
      </w:r>
      <w:proofErr w:type="spellEnd"/>
      <w:r w:rsidRPr="00C43350">
        <w:t xml:space="preserve"> 1989c). </w:t>
      </w:r>
      <w:r w:rsidR="001116A2" w:rsidRPr="00C43350">
        <w:t>P</w:t>
      </w:r>
      <w:r w:rsidR="00280856" w:rsidRPr="00C43350">
        <w:t>igs (n=16) were administered 3 injections of 5</w:t>
      </w:r>
      <w:r w:rsidR="00B102FF">
        <w:t> </w:t>
      </w:r>
      <w:r w:rsidR="00280856" w:rsidRPr="00C43350">
        <w:t xml:space="preserve">mg neomycin/kg </w:t>
      </w:r>
      <w:proofErr w:type="spellStart"/>
      <w:r w:rsidR="00280856" w:rsidRPr="00C43350">
        <w:t>bw</w:t>
      </w:r>
      <w:proofErr w:type="spellEnd"/>
      <w:r w:rsidR="00280856" w:rsidRPr="00C43350">
        <w:t xml:space="preserve"> (and 10</w:t>
      </w:r>
      <w:r w:rsidR="00B102FF">
        <w:t> </w:t>
      </w:r>
      <w:r w:rsidR="00280856" w:rsidRPr="00C43350">
        <w:t xml:space="preserve">mg procaine penicillin/kg </w:t>
      </w:r>
      <w:proofErr w:type="spellStart"/>
      <w:r w:rsidR="00280856" w:rsidRPr="00C43350">
        <w:t>bw</w:t>
      </w:r>
      <w:proofErr w:type="spellEnd"/>
      <w:r w:rsidR="00280856" w:rsidRPr="00C43350">
        <w:t xml:space="preserve">) 24 hours apart. Animals (n=4) were </w:t>
      </w:r>
      <w:proofErr w:type="gramStart"/>
      <w:r w:rsidR="00280856" w:rsidRPr="00C43350">
        <w:t>sacrificed</w:t>
      </w:r>
      <w:proofErr w:type="gramEnd"/>
      <w:r w:rsidR="00280856" w:rsidRPr="00C43350">
        <w:t xml:space="preserve"> and tissue samples (injection site, muscle, liver and kidney) taken for analysis at </w:t>
      </w:r>
      <w:r w:rsidR="00031F04">
        <w:t>d</w:t>
      </w:r>
      <w:r w:rsidR="00280856" w:rsidRPr="00C43350">
        <w:t xml:space="preserve">ay 28, 42, 56 and 70 after treatment. The LOD of the method for </w:t>
      </w:r>
      <w:r w:rsidR="00E4250D" w:rsidRPr="00C43350">
        <w:t xml:space="preserve">neomycin in </w:t>
      </w:r>
      <w:r w:rsidR="00280856" w:rsidRPr="00C43350">
        <w:t xml:space="preserve">fat, liver, </w:t>
      </w:r>
      <w:proofErr w:type="gramStart"/>
      <w:r w:rsidR="00280856" w:rsidRPr="00C43350">
        <w:t>kidney</w:t>
      </w:r>
      <w:proofErr w:type="gramEnd"/>
      <w:r w:rsidR="00280856" w:rsidRPr="00C43350">
        <w:t xml:space="preserve"> and muscle was 0.1, 0.2, 0.2 and 0.08</w:t>
      </w:r>
      <w:r w:rsidR="00B102FF">
        <w:t> </w:t>
      </w:r>
      <w:r w:rsidR="00280856" w:rsidRPr="00C43350">
        <w:t>mg/kg, respectively.</w:t>
      </w:r>
    </w:p>
    <w:p w14:paraId="2F1369B6" w14:textId="00480E07" w:rsidR="00280856" w:rsidRPr="00C43350" w:rsidRDefault="00280856" w:rsidP="00C43350">
      <w:pPr>
        <w:pStyle w:val="APVMAText"/>
      </w:pPr>
      <w:r w:rsidRPr="00C43350">
        <w:t xml:space="preserve">Finite residues of penicillin were not detected in muscle, liver, </w:t>
      </w:r>
      <w:proofErr w:type="gramStart"/>
      <w:r w:rsidRPr="00C43350">
        <w:t>kidney</w:t>
      </w:r>
      <w:proofErr w:type="gramEnd"/>
      <w:r w:rsidRPr="00C43350">
        <w:t xml:space="preserve"> or fat at any time point (28 days to 70</w:t>
      </w:r>
      <w:r w:rsidR="00B102FF">
        <w:t> </w:t>
      </w:r>
      <w:r w:rsidRPr="00C43350">
        <w:t>days) and appropriate MRLs for penicillin (Benzyl G penicillin) are established in the MRL standard at *0.06</w:t>
      </w:r>
      <w:r w:rsidR="00B102FF">
        <w:t> </w:t>
      </w:r>
      <w:r w:rsidRPr="00C43350">
        <w:t>mg/kg for meat (mammalian) and edible offal (mammalian) and at *0.0015</w:t>
      </w:r>
      <w:r w:rsidR="00B102FF">
        <w:t> </w:t>
      </w:r>
      <w:r w:rsidRPr="00C43350">
        <w:t>mg/kg milk therefore residue and trade aspects relating to penicillin are not discussed any further. For this product, the WHP and ESI will be driven by neomycin which showed quantifiable residues in edible tissues in the study considered.</w:t>
      </w:r>
    </w:p>
    <w:p w14:paraId="447E4D7D" w14:textId="080C2CD3" w:rsidR="00E4250D" w:rsidRPr="00C43350" w:rsidRDefault="00E4250D" w:rsidP="00C43350">
      <w:pPr>
        <w:pStyle w:val="APVMAText"/>
      </w:pPr>
      <w:r w:rsidRPr="00C43350">
        <w:t xml:space="preserve">Residues of neomycin were &lt;LOD for the injection site, </w:t>
      </w:r>
      <w:proofErr w:type="gramStart"/>
      <w:r w:rsidRPr="00C43350">
        <w:t>muscle</w:t>
      </w:r>
      <w:proofErr w:type="gramEnd"/>
      <w:r w:rsidRPr="00C43350">
        <w:t xml:space="preserve"> and fat. The HR in liver and kidney were 1.02</w:t>
      </w:r>
      <w:r w:rsidR="00644AD6">
        <w:t> </w:t>
      </w:r>
      <w:r w:rsidRPr="00C43350">
        <w:t>(</w:t>
      </w:r>
      <w:r w:rsidR="00031F04">
        <w:t>d</w:t>
      </w:r>
      <w:r w:rsidRPr="00C43350">
        <w:t>ay 28) and 5.96</w:t>
      </w:r>
      <w:r w:rsidR="00B102FF">
        <w:t> </w:t>
      </w:r>
      <w:r w:rsidRPr="00C43350">
        <w:t>mg/kg (</w:t>
      </w:r>
      <w:r w:rsidR="00031F04">
        <w:t>d</w:t>
      </w:r>
      <w:r w:rsidRPr="00C43350">
        <w:t>ay 28). Residues in liver declined to &lt;LOD (0.2</w:t>
      </w:r>
      <w:r w:rsidR="00B102FF">
        <w:t> </w:t>
      </w:r>
      <w:r w:rsidRPr="00C43350">
        <w:t xml:space="preserve">mg/kg) at </w:t>
      </w:r>
      <w:r w:rsidR="00031F04">
        <w:t>d</w:t>
      </w:r>
      <w:r w:rsidRPr="00C43350">
        <w:t>ay 56 onwards. Residues in kidney declined to &lt;LOD (0.2</w:t>
      </w:r>
      <w:r w:rsidR="00B102FF">
        <w:t> </w:t>
      </w:r>
      <w:r w:rsidRPr="00C43350">
        <w:t>mg/kg) at the final time-point (</w:t>
      </w:r>
      <w:r w:rsidR="00031F04">
        <w:t>d</w:t>
      </w:r>
      <w:r w:rsidRPr="00C43350">
        <w:t>ay 70).</w:t>
      </w:r>
    </w:p>
    <w:p w14:paraId="16CB2E2E" w14:textId="651B2DFB" w:rsidR="00280856" w:rsidRPr="00C43350" w:rsidRDefault="001116A2" w:rsidP="00C43350">
      <w:pPr>
        <w:pStyle w:val="APVMAText"/>
      </w:pPr>
      <w:r w:rsidRPr="00C43350">
        <w:t>Neomycin r</w:t>
      </w:r>
      <w:r w:rsidR="00280856" w:rsidRPr="00C43350">
        <w:t>esidues in fat and muscle were below the limit of determination of 0.10</w:t>
      </w:r>
      <w:r w:rsidR="00B102FF">
        <w:t> </w:t>
      </w:r>
      <w:r w:rsidR="00280856" w:rsidRPr="00C43350">
        <w:t>mg/kg and 0.08</w:t>
      </w:r>
      <w:r w:rsidR="00B102FF">
        <w:t> </w:t>
      </w:r>
      <w:r w:rsidR="00280856" w:rsidRPr="00C43350">
        <w:t xml:space="preserve">mg/kg respectively at all time points (28, 42, 56 and 70 days). While finite residues were observed in pig liver at </w:t>
      </w:r>
      <w:r w:rsidR="00031F04">
        <w:t>d</w:t>
      </w:r>
      <w:r w:rsidR="00280856" w:rsidRPr="00C43350">
        <w:t xml:space="preserve">ays 28 and 42, and in pig kidney at </w:t>
      </w:r>
      <w:r w:rsidR="00031F04">
        <w:t>d</w:t>
      </w:r>
      <w:r w:rsidR="00280856" w:rsidRPr="00C43350">
        <w:t>ays 28, 42 and 56, residues in liver and kidney were below the limit of determination of 0.20</w:t>
      </w:r>
      <w:r w:rsidR="00B102FF">
        <w:t> </w:t>
      </w:r>
      <w:r w:rsidR="00280856" w:rsidRPr="00C43350">
        <w:t xml:space="preserve">mg/kg at the last time point of 70 days. Given that the current pig </w:t>
      </w:r>
      <w:r w:rsidR="00266EBF" w:rsidRPr="00C43350">
        <w:t>WHP</w:t>
      </w:r>
      <w:r w:rsidR="00280856" w:rsidRPr="00C43350">
        <w:t xml:space="preserve"> is 100 days, finite levels of neomycin residues are not expected in any tissue when label directions are followed. Therefore, MRLs at *0.2</w:t>
      </w:r>
      <w:r w:rsidR="00B102FF">
        <w:t> </w:t>
      </w:r>
      <w:r w:rsidR="00280856" w:rsidRPr="00C43350">
        <w:t>mg/kg for pig liver and pig kidney, *0.1</w:t>
      </w:r>
      <w:r w:rsidR="00B102FF">
        <w:t> </w:t>
      </w:r>
      <w:r w:rsidR="00280856" w:rsidRPr="00C43350">
        <w:t>mg/kg for pig skin/fat and *0.08</w:t>
      </w:r>
      <w:r w:rsidR="00B102FF">
        <w:t> </w:t>
      </w:r>
      <w:r w:rsidR="00280856" w:rsidRPr="00C43350">
        <w:t xml:space="preserve">mg/kg for pig muscle are considered appropriate based on the available data for the supported use pattern with a </w:t>
      </w:r>
      <w:r w:rsidR="00EB2BC3" w:rsidRPr="00C43350">
        <w:t>100-day</w:t>
      </w:r>
      <w:r w:rsidR="00280856" w:rsidRPr="00C43350">
        <w:t xml:space="preserve"> meat </w:t>
      </w:r>
      <w:r w:rsidR="00266EBF" w:rsidRPr="00C43350">
        <w:t>WHP</w:t>
      </w:r>
      <w:r w:rsidR="00280856" w:rsidRPr="00C43350">
        <w:t>.</w:t>
      </w:r>
    </w:p>
    <w:p w14:paraId="0600DF2E" w14:textId="5AB693F6" w:rsidR="00DA18C6" w:rsidRPr="00C43350" w:rsidRDefault="00DA18C6" w:rsidP="00C43350">
      <w:pPr>
        <w:pStyle w:val="APVMAText"/>
      </w:pPr>
      <w:r w:rsidRPr="00C43350">
        <w:t xml:space="preserve">The following withholding period is recommended for the use of this product </w:t>
      </w:r>
      <w:r w:rsidR="002D767D" w:rsidRPr="00C43350">
        <w:t>i</w:t>
      </w:r>
      <w:r w:rsidRPr="00C43350">
        <w:t>n pigs:</w:t>
      </w:r>
    </w:p>
    <w:p w14:paraId="5D94D35A" w14:textId="77777777" w:rsidR="00047811" w:rsidRPr="00C43350" w:rsidRDefault="00047811" w:rsidP="007D6865">
      <w:pPr>
        <w:pStyle w:val="APVMAQuote"/>
      </w:pPr>
      <w:r w:rsidRPr="00C43350">
        <w:t>MEAT: Pigs: DO NOT USE less than 100 days before slaughter for human consumption.</w:t>
      </w:r>
    </w:p>
    <w:p w14:paraId="730C1481" w14:textId="5D35B674" w:rsidR="00047811" w:rsidRPr="003C4CDD" w:rsidRDefault="00047811" w:rsidP="00C43350">
      <w:pPr>
        <w:pStyle w:val="APVMAText"/>
      </w:pPr>
      <w:r w:rsidRPr="003C4CDD">
        <w:t xml:space="preserve">The supported MRLs for neomycin in pig tissues for this use are detailed in Table </w:t>
      </w:r>
      <w:r w:rsidR="00853764">
        <w:t>13</w:t>
      </w:r>
      <w:r w:rsidRPr="003C4CDD">
        <w:t xml:space="preserve"> below.</w:t>
      </w:r>
    </w:p>
    <w:p w14:paraId="317B8B35" w14:textId="4B41FF90" w:rsidR="00047811" w:rsidRPr="00C43350" w:rsidRDefault="00047811" w:rsidP="00C43350">
      <w:pPr>
        <w:pStyle w:val="Caption"/>
      </w:pPr>
      <w:bookmarkStart w:id="90" w:name="_Toc158818302"/>
      <w:r w:rsidRPr="00C43350">
        <w:t xml:space="preserve">Table </w:t>
      </w:r>
      <w:fldSimple w:instr=" SEQ Table \* ARABIC ">
        <w:r w:rsidR="00A75CD4">
          <w:rPr>
            <w:noProof/>
          </w:rPr>
          <w:t>13</w:t>
        </w:r>
      </w:fldSimple>
      <w:r w:rsidRPr="00C43350">
        <w:t>:</w:t>
      </w:r>
      <w:r w:rsidRPr="00C43350">
        <w:tab/>
        <w:t>The supported MRLs for neomycin in pig tissues</w:t>
      </w:r>
      <w:bookmarkEnd w:id="90"/>
    </w:p>
    <w:tbl>
      <w:tblPr>
        <w:tblW w:w="5000" w:type="pct"/>
        <w:tblLook w:val="04A0" w:firstRow="1" w:lastRow="0" w:firstColumn="1" w:lastColumn="0" w:noHBand="0" w:noVBand="1"/>
      </w:tblPr>
      <w:tblGrid>
        <w:gridCol w:w="2357"/>
        <w:gridCol w:w="5461"/>
        <w:gridCol w:w="1820"/>
      </w:tblGrid>
      <w:tr w:rsidR="00047811" w:rsidRPr="00304B1D" w14:paraId="3FD4D976" w14:textId="77777777" w:rsidTr="00801280">
        <w:trPr>
          <w:cantSplit/>
          <w:trHeight w:val="326"/>
          <w:tblHeader/>
        </w:trPr>
        <w:tc>
          <w:tcPr>
            <w:tcW w:w="1223" w:type="pct"/>
            <w:tcBorders>
              <w:top w:val="single" w:sz="4" w:space="0" w:color="auto"/>
              <w:left w:val="nil"/>
              <w:bottom w:val="single" w:sz="4" w:space="0" w:color="auto"/>
              <w:right w:val="nil"/>
            </w:tcBorders>
            <w:shd w:val="clear" w:color="auto" w:fill="5C2946"/>
            <w:noWrap/>
          </w:tcPr>
          <w:p w14:paraId="6B982AEC" w14:textId="77777777" w:rsidR="00047811" w:rsidRPr="00C43350" w:rsidRDefault="00047811" w:rsidP="00C43350">
            <w:pPr>
              <w:pStyle w:val="TableHead"/>
            </w:pPr>
            <w:r w:rsidRPr="00C43350">
              <w:t>Compound</w:t>
            </w:r>
          </w:p>
        </w:tc>
        <w:tc>
          <w:tcPr>
            <w:tcW w:w="2833" w:type="pct"/>
            <w:tcBorders>
              <w:top w:val="single" w:sz="4" w:space="0" w:color="auto"/>
              <w:left w:val="nil"/>
              <w:bottom w:val="single" w:sz="4" w:space="0" w:color="auto"/>
              <w:right w:val="nil"/>
            </w:tcBorders>
            <w:shd w:val="clear" w:color="auto" w:fill="5C2946"/>
            <w:noWrap/>
          </w:tcPr>
          <w:p w14:paraId="47B38231" w14:textId="77777777" w:rsidR="00047811" w:rsidRPr="00C43350" w:rsidRDefault="00047811" w:rsidP="00C43350">
            <w:pPr>
              <w:pStyle w:val="TableHead"/>
            </w:pPr>
            <w:r w:rsidRPr="00C43350">
              <w:t>Food</w:t>
            </w:r>
          </w:p>
        </w:tc>
        <w:tc>
          <w:tcPr>
            <w:tcW w:w="944" w:type="pct"/>
            <w:tcBorders>
              <w:top w:val="single" w:sz="4" w:space="0" w:color="auto"/>
              <w:left w:val="nil"/>
              <w:bottom w:val="single" w:sz="4" w:space="0" w:color="auto"/>
              <w:right w:val="nil"/>
            </w:tcBorders>
            <w:shd w:val="clear" w:color="auto" w:fill="5C2946"/>
            <w:noWrap/>
          </w:tcPr>
          <w:p w14:paraId="4C965F5A" w14:textId="77777777" w:rsidR="00047811" w:rsidRPr="00C43350" w:rsidRDefault="00047811" w:rsidP="00C43350">
            <w:pPr>
              <w:pStyle w:val="TableHeadRight"/>
            </w:pPr>
            <w:r w:rsidRPr="00C43350">
              <w:t>MRL (mg/kg)</w:t>
            </w:r>
          </w:p>
        </w:tc>
      </w:tr>
      <w:tr w:rsidR="00047811" w:rsidRPr="00304B1D" w14:paraId="279F2F2E" w14:textId="77777777" w:rsidTr="00801280">
        <w:trPr>
          <w:cantSplit/>
          <w:trHeight w:val="466"/>
        </w:trPr>
        <w:tc>
          <w:tcPr>
            <w:tcW w:w="1223" w:type="pct"/>
            <w:tcBorders>
              <w:top w:val="single" w:sz="4" w:space="0" w:color="auto"/>
              <w:left w:val="nil"/>
              <w:bottom w:val="single" w:sz="4" w:space="0" w:color="auto"/>
              <w:right w:val="nil"/>
            </w:tcBorders>
            <w:noWrap/>
          </w:tcPr>
          <w:p w14:paraId="63A74E92" w14:textId="77777777" w:rsidR="00047811" w:rsidRPr="00C43350" w:rsidRDefault="00047811" w:rsidP="00C43350">
            <w:pPr>
              <w:pStyle w:val="MRLActiveName"/>
            </w:pPr>
            <w:r w:rsidRPr="00C43350">
              <w:t>Neomycin</w:t>
            </w:r>
          </w:p>
        </w:tc>
        <w:tc>
          <w:tcPr>
            <w:tcW w:w="2833" w:type="pct"/>
            <w:tcBorders>
              <w:top w:val="single" w:sz="4" w:space="0" w:color="auto"/>
              <w:left w:val="nil"/>
              <w:bottom w:val="single" w:sz="4" w:space="0" w:color="auto"/>
              <w:right w:val="nil"/>
            </w:tcBorders>
            <w:noWrap/>
          </w:tcPr>
          <w:p w14:paraId="247E148D" w14:textId="77777777" w:rsidR="00047811" w:rsidRPr="00C43350" w:rsidRDefault="00047811" w:rsidP="00C43350">
            <w:pPr>
              <w:pStyle w:val="MRLActiveName"/>
            </w:pPr>
          </w:p>
        </w:tc>
        <w:tc>
          <w:tcPr>
            <w:tcW w:w="944" w:type="pct"/>
            <w:tcBorders>
              <w:top w:val="single" w:sz="4" w:space="0" w:color="auto"/>
              <w:left w:val="nil"/>
              <w:bottom w:val="single" w:sz="4" w:space="0" w:color="auto"/>
              <w:right w:val="nil"/>
            </w:tcBorders>
            <w:noWrap/>
          </w:tcPr>
          <w:p w14:paraId="13E73313" w14:textId="77777777" w:rsidR="00047811" w:rsidRPr="00C43350" w:rsidRDefault="00047811" w:rsidP="00C43350">
            <w:pPr>
              <w:pStyle w:val="MRLActiveName"/>
              <w:jc w:val="right"/>
            </w:pPr>
          </w:p>
        </w:tc>
      </w:tr>
      <w:tr w:rsidR="00047811" w:rsidRPr="00304B1D" w14:paraId="49B745C9" w14:textId="77777777" w:rsidTr="00801280">
        <w:trPr>
          <w:cantSplit/>
          <w:trHeight w:val="420"/>
        </w:trPr>
        <w:tc>
          <w:tcPr>
            <w:tcW w:w="1223" w:type="pct"/>
            <w:tcBorders>
              <w:top w:val="single" w:sz="4" w:space="0" w:color="auto"/>
              <w:left w:val="nil"/>
              <w:bottom w:val="single" w:sz="4" w:space="0" w:color="auto"/>
              <w:right w:val="nil"/>
            </w:tcBorders>
            <w:shd w:val="clear" w:color="auto" w:fill="FFFFFF"/>
            <w:noWrap/>
          </w:tcPr>
          <w:p w14:paraId="20E1B1EF" w14:textId="77777777" w:rsidR="00047811" w:rsidRPr="00304B1D" w:rsidRDefault="00047811" w:rsidP="00C43350">
            <w:pPr>
              <w:pStyle w:val="TableText"/>
            </w:pPr>
          </w:p>
        </w:tc>
        <w:tc>
          <w:tcPr>
            <w:tcW w:w="2833" w:type="pct"/>
            <w:tcBorders>
              <w:top w:val="single" w:sz="4" w:space="0" w:color="auto"/>
              <w:left w:val="nil"/>
              <w:bottom w:val="single" w:sz="4" w:space="0" w:color="auto"/>
              <w:right w:val="nil"/>
            </w:tcBorders>
            <w:shd w:val="clear" w:color="auto" w:fill="FFFFFF"/>
            <w:noWrap/>
          </w:tcPr>
          <w:p w14:paraId="0D73D679" w14:textId="77777777" w:rsidR="00047811" w:rsidRPr="00304B1D" w:rsidRDefault="00047811" w:rsidP="00C43350">
            <w:pPr>
              <w:pStyle w:val="TableText"/>
            </w:pPr>
            <w:r w:rsidRPr="00304B1D">
              <w:t>Pig fat/skin</w:t>
            </w:r>
          </w:p>
        </w:tc>
        <w:tc>
          <w:tcPr>
            <w:tcW w:w="944" w:type="pct"/>
            <w:tcBorders>
              <w:top w:val="single" w:sz="4" w:space="0" w:color="auto"/>
              <w:left w:val="nil"/>
              <w:bottom w:val="single" w:sz="4" w:space="0" w:color="auto"/>
              <w:right w:val="nil"/>
            </w:tcBorders>
            <w:shd w:val="clear" w:color="auto" w:fill="FFFFFF"/>
            <w:noWrap/>
          </w:tcPr>
          <w:p w14:paraId="2FF79FB9" w14:textId="77777777" w:rsidR="00047811" w:rsidRPr="00304B1D" w:rsidRDefault="00047811" w:rsidP="00C43350">
            <w:pPr>
              <w:pStyle w:val="TableTextRight"/>
            </w:pPr>
            <w:r w:rsidRPr="007352D2">
              <w:t>*0.1</w:t>
            </w:r>
          </w:p>
        </w:tc>
      </w:tr>
      <w:tr w:rsidR="00047811" w:rsidRPr="00304B1D" w14:paraId="5BC9D36C" w14:textId="77777777" w:rsidTr="00801280">
        <w:trPr>
          <w:cantSplit/>
          <w:trHeight w:val="404"/>
        </w:trPr>
        <w:tc>
          <w:tcPr>
            <w:tcW w:w="1223" w:type="pct"/>
            <w:tcBorders>
              <w:top w:val="single" w:sz="4" w:space="0" w:color="auto"/>
              <w:left w:val="nil"/>
              <w:bottom w:val="single" w:sz="4" w:space="0" w:color="auto"/>
              <w:right w:val="nil"/>
            </w:tcBorders>
            <w:shd w:val="clear" w:color="auto" w:fill="FFFFFF"/>
            <w:noWrap/>
          </w:tcPr>
          <w:p w14:paraId="16FD1819" w14:textId="77777777" w:rsidR="00047811" w:rsidRPr="00304B1D" w:rsidRDefault="00047811" w:rsidP="00C43350">
            <w:pPr>
              <w:pStyle w:val="TableText"/>
            </w:pPr>
          </w:p>
        </w:tc>
        <w:tc>
          <w:tcPr>
            <w:tcW w:w="2833" w:type="pct"/>
            <w:tcBorders>
              <w:top w:val="single" w:sz="4" w:space="0" w:color="auto"/>
              <w:left w:val="nil"/>
              <w:bottom w:val="single" w:sz="4" w:space="0" w:color="auto"/>
              <w:right w:val="nil"/>
            </w:tcBorders>
            <w:shd w:val="clear" w:color="auto" w:fill="FFFFFF"/>
            <w:noWrap/>
          </w:tcPr>
          <w:p w14:paraId="06923607" w14:textId="77777777" w:rsidR="00047811" w:rsidRPr="00304B1D" w:rsidRDefault="00047811" w:rsidP="00C43350">
            <w:pPr>
              <w:pStyle w:val="TableText"/>
            </w:pPr>
            <w:r w:rsidRPr="00304B1D">
              <w:t>Pig muscle</w:t>
            </w:r>
          </w:p>
        </w:tc>
        <w:tc>
          <w:tcPr>
            <w:tcW w:w="944" w:type="pct"/>
            <w:tcBorders>
              <w:top w:val="single" w:sz="4" w:space="0" w:color="auto"/>
              <w:left w:val="nil"/>
              <w:bottom w:val="single" w:sz="4" w:space="0" w:color="auto"/>
              <w:right w:val="nil"/>
            </w:tcBorders>
            <w:shd w:val="clear" w:color="auto" w:fill="FFFFFF"/>
            <w:noWrap/>
          </w:tcPr>
          <w:p w14:paraId="322F4DD6" w14:textId="77777777" w:rsidR="00047811" w:rsidRPr="00304B1D" w:rsidRDefault="00047811" w:rsidP="00C43350">
            <w:pPr>
              <w:pStyle w:val="TableTextRight"/>
            </w:pPr>
            <w:r>
              <w:t>*0.08</w:t>
            </w:r>
          </w:p>
        </w:tc>
      </w:tr>
      <w:tr w:rsidR="00047811" w:rsidRPr="00304B1D" w14:paraId="325F37D8" w14:textId="77777777" w:rsidTr="00801280">
        <w:trPr>
          <w:cantSplit/>
          <w:trHeight w:val="420"/>
        </w:trPr>
        <w:tc>
          <w:tcPr>
            <w:tcW w:w="1223" w:type="pct"/>
            <w:tcBorders>
              <w:top w:val="single" w:sz="4" w:space="0" w:color="auto"/>
              <w:left w:val="nil"/>
              <w:bottom w:val="single" w:sz="4" w:space="0" w:color="auto"/>
              <w:right w:val="nil"/>
            </w:tcBorders>
            <w:shd w:val="clear" w:color="auto" w:fill="FFFFFF"/>
            <w:noWrap/>
          </w:tcPr>
          <w:p w14:paraId="68C0B76A" w14:textId="77777777" w:rsidR="00047811" w:rsidRPr="00304B1D" w:rsidRDefault="00047811" w:rsidP="00C43350">
            <w:pPr>
              <w:pStyle w:val="TableText"/>
            </w:pPr>
            <w:r w:rsidRPr="00304B1D">
              <w:t>MO 1284</w:t>
            </w:r>
          </w:p>
        </w:tc>
        <w:tc>
          <w:tcPr>
            <w:tcW w:w="2833" w:type="pct"/>
            <w:tcBorders>
              <w:top w:val="single" w:sz="4" w:space="0" w:color="auto"/>
              <w:left w:val="nil"/>
              <w:bottom w:val="single" w:sz="4" w:space="0" w:color="auto"/>
              <w:right w:val="nil"/>
            </w:tcBorders>
            <w:shd w:val="clear" w:color="auto" w:fill="FFFFFF"/>
            <w:noWrap/>
          </w:tcPr>
          <w:p w14:paraId="44494DE6" w14:textId="77777777" w:rsidR="00047811" w:rsidRPr="00304B1D" w:rsidRDefault="00047811" w:rsidP="00C43350">
            <w:pPr>
              <w:pStyle w:val="TableText"/>
            </w:pPr>
            <w:r w:rsidRPr="00304B1D">
              <w:t>Pig, kidney</w:t>
            </w:r>
          </w:p>
        </w:tc>
        <w:tc>
          <w:tcPr>
            <w:tcW w:w="944" w:type="pct"/>
            <w:tcBorders>
              <w:top w:val="single" w:sz="4" w:space="0" w:color="auto"/>
              <w:left w:val="nil"/>
              <w:bottom w:val="single" w:sz="4" w:space="0" w:color="auto"/>
              <w:right w:val="nil"/>
            </w:tcBorders>
            <w:shd w:val="clear" w:color="auto" w:fill="FFFFFF"/>
            <w:noWrap/>
          </w:tcPr>
          <w:p w14:paraId="4B3E5C14" w14:textId="77777777" w:rsidR="00047811" w:rsidRPr="00304B1D" w:rsidRDefault="00047811" w:rsidP="00C43350">
            <w:pPr>
              <w:pStyle w:val="TableTextRight"/>
            </w:pPr>
            <w:r>
              <w:t>*0.2</w:t>
            </w:r>
          </w:p>
        </w:tc>
      </w:tr>
      <w:tr w:rsidR="00047811" w:rsidRPr="00304B1D" w14:paraId="3894AE6E" w14:textId="77777777" w:rsidTr="00801280">
        <w:trPr>
          <w:cantSplit/>
          <w:trHeight w:val="404"/>
        </w:trPr>
        <w:tc>
          <w:tcPr>
            <w:tcW w:w="1223" w:type="pct"/>
            <w:tcBorders>
              <w:top w:val="single" w:sz="4" w:space="0" w:color="auto"/>
              <w:left w:val="nil"/>
              <w:bottom w:val="single" w:sz="4" w:space="0" w:color="auto"/>
              <w:right w:val="nil"/>
            </w:tcBorders>
            <w:shd w:val="clear" w:color="auto" w:fill="FFFFFF"/>
            <w:noWrap/>
          </w:tcPr>
          <w:p w14:paraId="09EE2560" w14:textId="77777777" w:rsidR="00047811" w:rsidRPr="00304B1D" w:rsidRDefault="00047811" w:rsidP="00C43350">
            <w:pPr>
              <w:pStyle w:val="TableText"/>
            </w:pPr>
            <w:r w:rsidRPr="00304B1D">
              <w:t>MO 1285</w:t>
            </w:r>
          </w:p>
        </w:tc>
        <w:tc>
          <w:tcPr>
            <w:tcW w:w="2833" w:type="pct"/>
            <w:tcBorders>
              <w:top w:val="single" w:sz="4" w:space="0" w:color="auto"/>
              <w:left w:val="nil"/>
              <w:bottom w:val="single" w:sz="4" w:space="0" w:color="auto"/>
              <w:right w:val="nil"/>
            </w:tcBorders>
            <w:shd w:val="clear" w:color="auto" w:fill="FFFFFF"/>
            <w:noWrap/>
          </w:tcPr>
          <w:p w14:paraId="101C876E" w14:textId="77777777" w:rsidR="00047811" w:rsidRPr="00304B1D" w:rsidRDefault="00047811" w:rsidP="00C43350">
            <w:pPr>
              <w:pStyle w:val="TableText"/>
            </w:pPr>
            <w:r w:rsidRPr="00304B1D">
              <w:t>Pig, liver</w:t>
            </w:r>
          </w:p>
        </w:tc>
        <w:tc>
          <w:tcPr>
            <w:tcW w:w="944" w:type="pct"/>
            <w:tcBorders>
              <w:top w:val="single" w:sz="4" w:space="0" w:color="auto"/>
              <w:left w:val="nil"/>
              <w:bottom w:val="single" w:sz="4" w:space="0" w:color="auto"/>
              <w:right w:val="nil"/>
            </w:tcBorders>
            <w:shd w:val="clear" w:color="auto" w:fill="FFFFFF"/>
            <w:noWrap/>
          </w:tcPr>
          <w:p w14:paraId="3184393D" w14:textId="77777777" w:rsidR="00047811" w:rsidRPr="00304B1D" w:rsidRDefault="00047811" w:rsidP="00C43350">
            <w:pPr>
              <w:pStyle w:val="TableTextRight"/>
            </w:pPr>
            <w:r>
              <w:t>*0.2</w:t>
            </w:r>
          </w:p>
        </w:tc>
      </w:tr>
    </w:tbl>
    <w:p w14:paraId="0BB763FF" w14:textId="48ABAD9F" w:rsidR="00280856" w:rsidRPr="00053BAB" w:rsidRDefault="00280856" w:rsidP="00853764">
      <w:pPr>
        <w:pStyle w:val="Heading6"/>
        <w:keepNext/>
        <w:keepLines/>
      </w:pPr>
      <w:r w:rsidRPr="00053BAB">
        <w:lastRenderedPageBreak/>
        <w:t>Re-treatment interval (between courses)</w:t>
      </w:r>
    </w:p>
    <w:p w14:paraId="1583D37A" w14:textId="48F4A4D6" w:rsidR="00280856" w:rsidRPr="00C43350" w:rsidRDefault="00280856" w:rsidP="00C43350">
      <w:pPr>
        <w:pStyle w:val="APVMAText"/>
      </w:pPr>
      <w:r w:rsidRPr="00C43350">
        <w:t xml:space="preserve">The available residues data addressed one treatment course involving 3 consecutive injections, made </w:t>
      </w:r>
      <w:r w:rsidR="00E36E26">
        <w:t>one</w:t>
      </w:r>
      <w:r w:rsidR="00E36E26" w:rsidRPr="00C43350">
        <w:t xml:space="preserve"> </w:t>
      </w:r>
      <w:r w:rsidRPr="00C43350">
        <w:t>day apart, at 5</w:t>
      </w:r>
      <w:r w:rsidR="00B102FF">
        <w:t> </w:t>
      </w:r>
      <w:r w:rsidRPr="00C43350">
        <w:t>mg neomycin/kg</w:t>
      </w:r>
      <w:r w:rsidR="00B102FF">
        <w:t> </w:t>
      </w:r>
      <w:proofErr w:type="spellStart"/>
      <w:r w:rsidRPr="00C43350">
        <w:t>bw</w:t>
      </w:r>
      <w:proofErr w:type="spellEnd"/>
      <w:r w:rsidRPr="00C43350">
        <w:t xml:space="preserve"> and 10</w:t>
      </w:r>
      <w:r w:rsidR="00B102FF">
        <w:t> </w:t>
      </w:r>
      <w:r w:rsidRPr="00C43350">
        <w:t>mg procaine penicillin/kg</w:t>
      </w:r>
      <w:r w:rsidR="00B102FF">
        <w:t> </w:t>
      </w:r>
      <w:proofErr w:type="spellStart"/>
      <w:r w:rsidRPr="00C43350">
        <w:t>bw</w:t>
      </w:r>
      <w:proofErr w:type="spellEnd"/>
      <w:r w:rsidRPr="00C43350">
        <w:t xml:space="preserve">. The approved label for </w:t>
      </w:r>
      <w:r w:rsidR="002C451F" w:rsidRPr="00C43350">
        <w:t>registered product 37241</w:t>
      </w:r>
      <w:r w:rsidRPr="00C43350">
        <w:t xml:space="preserve"> does not carry a minimum retreatment interval between courses and the submitted trial does not include a re-treatment interval. A re-treatment interval between courses is considered important to prevent a second course being administered to the same animal before residues have declined as this may lead to residues in tissues above the recommended MRLs.</w:t>
      </w:r>
    </w:p>
    <w:p w14:paraId="7D54BEBE" w14:textId="05FC674A" w:rsidR="00280856" w:rsidRPr="00C43350" w:rsidRDefault="00280856" w:rsidP="00C43350">
      <w:pPr>
        <w:pStyle w:val="APVMAText"/>
      </w:pPr>
      <w:r w:rsidRPr="00C43350">
        <w:t xml:space="preserve">For neomycin residues in pig kidney, the target tissue, finite residues (0.39 </w:t>
      </w:r>
      <w:r w:rsidR="00B102FF">
        <w:t>to</w:t>
      </w:r>
      <w:r w:rsidR="00B102FF" w:rsidRPr="00C43350">
        <w:t xml:space="preserve"> </w:t>
      </w:r>
      <w:r w:rsidRPr="00C43350">
        <w:t>0.44</w:t>
      </w:r>
      <w:r w:rsidR="00B102FF">
        <w:t> </w:t>
      </w:r>
      <w:r w:rsidRPr="00C43350">
        <w:t xml:space="preserve">mg/kg) were observed at 56 days post </w:t>
      </w:r>
      <w:proofErr w:type="gramStart"/>
      <w:r w:rsidRPr="00C43350">
        <w:t>treatment</w:t>
      </w:r>
      <w:proofErr w:type="gramEnd"/>
      <w:r w:rsidRPr="00C43350">
        <w:t xml:space="preserve"> but residues were below the limit of determination of the study (0.2</w:t>
      </w:r>
      <w:r w:rsidR="00B102FF">
        <w:t> </w:t>
      </w:r>
      <w:r w:rsidRPr="00C43350">
        <w:t>mg/kg) at 70</w:t>
      </w:r>
      <w:r w:rsidR="00B102FF">
        <w:t> </w:t>
      </w:r>
      <w:r w:rsidRPr="00C43350">
        <w:t xml:space="preserve">days (10 weeks) post treatment. It is considered that a </w:t>
      </w:r>
      <w:r w:rsidR="00CB6306" w:rsidRPr="00C43350">
        <w:t>10-week</w:t>
      </w:r>
      <w:r w:rsidRPr="00C43350">
        <w:t xml:space="preserve"> re-treatment interval should adequately manage the risk of unacceptable accumulation of neomycin residues between treatments in pigs.</w:t>
      </w:r>
    </w:p>
    <w:p w14:paraId="4FAEBE7E" w14:textId="29573968" w:rsidR="00DA18C6" w:rsidRPr="00C43350" w:rsidRDefault="00DA18C6" w:rsidP="00C43350">
      <w:pPr>
        <w:pStyle w:val="APVMAText"/>
      </w:pPr>
      <w:r w:rsidRPr="00C43350">
        <w:t xml:space="preserve">The following restraint is recommended for the use of this product </w:t>
      </w:r>
      <w:r w:rsidR="002D767D" w:rsidRPr="00C43350">
        <w:t>i</w:t>
      </w:r>
      <w:r w:rsidRPr="00C43350">
        <w:t>n pigs:</w:t>
      </w:r>
    </w:p>
    <w:p w14:paraId="24C9FAB8" w14:textId="77777777" w:rsidR="00047811" w:rsidRPr="003C4CDD" w:rsidRDefault="00047811" w:rsidP="007D6865">
      <w:pPr>
        <w:pStyle w:val="APVMAQuote"/>
      </w:pPr>
      <w:r w:rsidRPr="003C4CDD">
        <w:t>RESTRAINT: RE-TREATMENT INTERVAL</w:t>
      </w:r>
    </w:p>
    <w:p w14:paraId="3A75D7F7" w14:textId="12B2961D" w:rsidR="002D767D" w:rsidRPr="003C4CDD" w:rsidRDefault="00047811" w:rsidP="007D6865">
      <w:pPr>
        <w:pStyle w:val="APVMAQuote"/>
      </w:pPr>
      <w:r w:rsidRPr="003C4CDD">
        <w:t>DO NOT RE-TREAT pigs for 10 weeks after the last dose in one course of treatment.</w:t>
      </w:r>
    </w:p>
    <w:p w14:paraId="37266D8B" w14:textId="4AF25ECF" w:rsidR="00280856" w:rsidRPr="00C43350" w:rsidRDefault="00280856" w:rsidP="00C43350">
      <w:pPr>
        <w:pStyle w:val="Heading6"/>
      </w:pPr>
      <w:r w:rsidRPr="00C43350">
        <w:t xml:space="preserve">Export </w:t>
      </w:r>
      <w:r w:rsidR="00853764">
        <w:t>s</w:t>
      </w:r>
      <w:r w:rsidRPr="00C43350">
        <w:t xml:space="preserve">laughter </w:t>
      </w:r>
      <w:r w:rsidR="00853764">
        <w:t>i</w:t>
      </w:r>
      <w:r w:rsidRPr="00C43350">
        <w:t>nterval</w:t>
      </w:r>
    </w:p>
    <w:p w14:paraId="58454456" w14:textId="092900AF" w:rsidR="00280856" w:rsidRDefault="00E9120B" w:rsidP="00C43350">
      <w:pPr>
        <w:pStyle w:val="APVMAText"/>
      </w:pPr>
      <w:r w:rsidRPr="00053BAB">
        <w:t>A</w:t>
      </w:r>
      <w:r w:rsidR="00280856" w:rsidRPr="00053BAB">
        <w:t xml:space="preserve">n ESI for neomycin in pigs should be </w:t>
      </w:r>
      <w:r w:rsidR="001116A2">
        <w:t xml:space="preserve">the </w:t>
      </w:r>
      <w:r w:rsidR="00280856" w:rsidRPr="00053BAB">
        <w:t xml:space="preserve">same as the meat </w:t>
      </w:r>
      <w:r w:rsidR="00266EBF">
        <w:t>WHP</w:t>
      </w:r>
      <w:r w:rsidR="00280856" w:rsidRPr="00053BAB">
        <w:t xml:space="preserve"> as the recommended neomycin MRLs are lower than those established overseas. A </w:t>
      </w:r>
      <w:r w:rsidR="00CB6306" w:rsidRPr="00053BAB">
        <w:t>100-day</w:t>
      </w:r>
      <w:r w:rsidR="00280856" w:rsidRPr="00053BAB">
        <w:t xml:space="preserve"> ESI is supported for this use in pigs.</w:t>
      </w:r>
    </w:p>
    <w:p w14:paraId="7E87FBC7" w14:textId="124219FC" w:rsidR="00DA18C6" w:rsidRPr="003C4CDD" w:rsidRDefault="00DA18C6" w:rsidP="00C43350">
      <w:pPr>
        <w:pStyle w:val="APVMAText"/>
      </w:pPr>
      <w:r w:rsidRPr="003C4CDD">
        <w:t xml:space="preserve">The following trade advice statement is recommended for the use of this product </w:t>
      </w:r>
      <w:r w:rsidR="002D767D">
        <w:t>i</w:t>
      </w:r>
      <w:r w:rsidR="002D767D" w:rsidRPr="003C4CDD">
        <w:t xml:space="preserve">n </w:t>
      </w:r>
      <w:r w:rsidRPr="003C4CDD">
        <w:t>pigs:</w:t>
      </w:r>
    </w:p>
    <w:p w14:paraId="4677C1B6" w14:textId="77777777" w:rsidR="00047811" w:rsidRPr="003C4CDD" w:rsidRDefault="00047811" w:rsidP="007D6865">
      <w:pPr>
        <w:pStyle w:val="APVMAQuote"/>
      </w:pPr>
      <w:r w:rsidRPr="003C4CDD">
        <w:t>TRADE ADVICE: EXPORT SLAUGHTER INTERVAL</w:t>
      </w:r>
    </w:p>
    <w:p w14:paraId="7B4F3EFA" w14:textId="1E502B79" w:rsidR="00047811" w:rsidRPr="003C4CDD" w:rsidRDefault="00047811" w:rsidP="007D6865">
      <w:pPr>
        <w:pStyle w:val="APVMAQuote"/>
      </w:pPr>
      <w:r w:rsidRPr="003C4CDD">
        <w:t>EXPORT SLAUGHTER INTERVAL (ESI): DO NOT USE less than 100</w:t>
      </w:r>
      <w:r w:rsidR="00B102FF">
        <w:t> </w:t>
      </w:r>
      <w:r w:rsidRPr="003C4CDD">
        <w:t>days for pigs before slaughter for export. Before using this product, confirm the current ESI from the manufacturer on 1800 033461 or the APVMA website (apvma.gov.au/residues).</w:t>
      </w:r>
    </w:p>
    <w:p w14:paraId="4980CD3D" w14:textId="7ADC47C0" w:rsidR="00047811" w:rsidRPr="00C43350" w:rsidRDefault="00047811" w:rsidP="00C43350">
      <w:pPr>
        <w:pStyle w:val="Heading5"/>
      </w:pPr>
      <w:r w:rsidRPr="00C43350">
        <w:t>Horses</w:t>
      </w:r>
    </w:p>
    <w:p w14:paraId="16805D5D" w14:textId="4B0FEAD1" w:rsidR="00280856" w:rsidRPr="00C43350" w:rsidRDefault="00047811" w:rsidP="00C43350">
      <w:pPr>
        <w:pStyle w:val="APVMAText"/>
      </w:pPr>
      <w:r w:rsidRPr="00C43350">
        <w:t xml:space="preserve">Residues data is not available for horse tissues for this product. </w:t>
      </w:r>
      <w:r w:rsidR="00280856" w:rsidRPr="00C43350" w:rsidDel="00047811">
        <w:t xml:space="preserve">The use of neomycin </w:t>
      </w:r>
      <w:r w:rsidR="002D767D" w:rsidRPr="00C43350">
        <w:t>i</w:t>
      </w:r>
      <w:r w:rsidR="002D767D" w:rsidRPr="00C43350" w:rsidDel="00047811">
        <w:t xml:space="preserve">n </w:t>
      </w:r>
      <w:r w:rsidR="00280856" w:rsidRPr="00C43350" w:rsidDel="00047811">
        <w:t xml:space="preserve">horses is supported from a </w:t>
      </w:r>
      <w:proofErr w:type="gramStart"/>
      <w:r w:rsidR="00280856" w:rsidRPr="00C43350" w:rsidDel="00047811">
        <w:t>residues</w:t>
      </w:r>
      <w:proofErr w:type="gramEnd"/>
      <w:r w:rsidR="00280856" w:rsidRPr="00C43350" w:rsidDel="00047811">
        <w:t xml:space="preserve"> perspective, provided the restraint ‘</w:t>
      </w:r>
      <w:bookmarkStart w:id="91" w:name="_Hlk152255539"/>
      <w:r w:rsidR="00280856" w:rsidRPr="00C43350" w:rsidDel="00047811">
        <w:t>DO NOT USE in horses that may be used for human consumption</w:t>
      </w:r>
      <w:bookmarkEnd w:id="91"/>
      <w:r w:rsidR="00280856" w:rsidRPr="00C43350" w:rsidDel="00047811">
        <w:t xml:space="preserve">’ is added to the label, and the current meat </w:t>
      </w:r>
      <w:r w:rsidR="00266EBF" w:rsidRPr="00C43350" w:rsidDel="00047811">
        <w:t>WHP</w:t>
      </w:r>
      <w:r w:rsidR="00280856" w:rsidRPr="00C43350" w:rsidDel="00047811">
        <w:t xml:space="preserve"> for horses be removed.</w:t>
      </w:r>
    </w:p>
    <w:p w14:paraId="59EF618B" w14:textId="4ACBDE72" w:rsidR="00280856" w:rsidRPr="00C43350" w:rsidRDefault="00280856" w:rsidP="00C43350">
      <w:pPr>
        <w:pStyle w:val="Heading3"/>
      </w:pPr>
      <w:bookmarkStart w:id="92" w:name="_Toc158818261"/>
      <w:r w:rsidRPr="00C43350">
        <w:t xml:space="preserve">Feed </w:t>
      </w:r>
      <w:r w:rsidR="001B3EE3" w:rsidRPr="00C43350">
        <w:t>a</w:t>
      </w:r>
      <w:r w:rsidRPr="00C43350">
        <w:t xml:space="preserve">dditive </w:t>
      </w:r>
      <w:r w:rsidR="001B3EE3" w:rsidRPr="00C43350">
        <w:t>p</w:t>
      </w:r>
      <w:r w:rsidRPr="00C43350">
        <w:t xml:space="preserve">owder </w:t>
      </w:r>
      <w:r w:rsidR="001B3EE3" w:rsidRPr="00C43350">
        <w:t>f</w:t>
      </w:r>
      <w:r w:rsidRPr="00C43350">
        <w:t>ormulation</w:t>
      </w:r>
      <w:bookmarkEnd w:id="92"/>
    </w:p>
    <w:p w14:paraId="62450E4D" w14:textId="4CB6B94B" w:rsidR="009529F9" w:rsidRDefault="00047811" w:rsidP="00C43350">
      <w:pPr>
        <w:pStyle w:val="APVMAText"/>
      </w:pPr>
      <w:r>
        <w:t xml:space="preserve">There </w:t>
      </w:r>
      <w:r w:rsidR="00083DA3">
        <w:t xml:space="preserve">is </w:t>
      </w:r>
      <w:r>
        <w:t xml:space="preserve">one neomycin product registered for injection </w:t>
      </w:r>
      <w:r w:rsidRPr="00053BAB">
        <w:t>oral administration in feed to cattle</w:t>
      </w:r>
      <w:r>
        <w:t xml:space="preserve">, </w:t>
      </w:r>
      <w:proofErr w:type="gramStart"/>
      <w:r>
        <w:t>pigs</w:t>
      </w:r>
      <w:proofErr w:type="gramEnd"/>
      <w:r>
        <w:t xml:space="preserve"> and poultry. This is registered product number 67805,</w:t>
      </w:r>
      <w:r w:rsidRPr="00053BAB">
        <w:t xml:space="preserve"> which contains </w:t>
      </w:r>
      <w:r w:rsidR="00031F04" w:rsidRPr="00053BAB">
        <w:t>600</w:t>
      </w:r>
      <w:r w:rsidR="00031F04">
        <w:t> </w:t>
      </w:r>
      <w:r w:rsidRPr="00053BAB">
        <w:t>g/</w:t>
      </w:r>
      <w:r>
        <w:t>k</w:t>
      </w:r>
      <w:r w:rsidRPr="00053BAB">
        <w:t>g neomycin</w:t>
      </w:r>
      <w:r>
        <w:t xml:space="preserve"> (as </w:t>
      </w:r>
      <w:proofErr w:type="spellStart"/>
      <w:r>
        <w:t>sulfate</w:t>
      </w:r>
      <w:proofErr w:type="spellEnd"/>
      <w:r>
        <w:t>).</w:t>
      </w:r>
    </w:p>
    <w:p w14:paraId="2B17885D" w14:textId="06A3B271" w:rsidR="009529F9" w:rsidRPr="00C43350" w:rsidRDefault="009529F9" w:rsidP="00C43350">
      <w:pPr>
        <w:pStyle w:val="Heading4"/>
      </w:pPr>
      <w:r w:rsidRPr="00C43350">
        <w:t>Product 67805</w:t>
      </w:r>
    </w:p>
    <w:p w14:paraId="2154100E" w14:textId="0BA50F34" w:rsidR="002D767D" w:rsidRPr="00C43350" w:rsidRDefault="00047811" w:rsidP="00C43350">
      <w:pPr>
        <w:pStyle w:val="APVMAText"/>
      </w:pPr>
      <w:r w:rsidRPr="00C43350">
        <w:t xml:space="preserve">Resides data is not available for cattle tissues, cattle milk, pig tissues </w:t>
      </w:r>
      <w:r w:rsidR="008E3A9D" w:rsidRPr="00C43350">
        <w:t>and poultry for this feed additive product.</w:t>
      </w:r>
    </w:p>
    <w:p w14:paraId="208EDAC5" w14:textId="64818CE8" w:rsidR="008E3A9D" w:rsidRPr="00C43350" w:rsidRDefault="008E3A9D" w:rsidP="00C43350">
      <w:pPr>
        <w:pStyle w:val="APVMAText"/>
      </w:pPr>
      <w:r w:rsidRPr="00C43350">
        <w:lastRenderedPageBreak/>
        <w:t xml:space="preserve">The available oral in feed trial for cattle tissue involved a combination of active ingredients, neomycin and </w:t>
      </w:r>
      <w:proofErr w:type="spellStart"/>
      <w:r w:rsidRPr="00C43350">
        <w:t>terramycin</w:t>
      </w:r>
      <w:proofErr w:type="spellEnd"/>
      <w:r w:rsidRPr="00C43350">
        <w:t>, and a dose rate of 10</w:t>
      </w:r>
      <w:r w:rsidR="00B102FF">
        <w:t> </w:t>
      </w:r>
      <w:r w:rsidRPr="00C43350">
        <w:t xml:space="preserve">mg neomycin/kg </w:t>
      </w:r>
      <w:proofErr w:type="spellStart"/>
      <w:r w:rsidRPr="00C43350">
        <w:t>bw</w:t>
      </w:r>
      <w:proofErr w:type="spellEnd"/>
      <w:r w:rsidRPr="00C43350">
        <w:t xml:space="preserve"> </w:t>
      </w:r>
      <w:r w:rsidR="008941B6" w:rsidRPr="00C43350">
        <w:t>(Hawbaker &amp; Hart 1967</w:t>
      </w:r>
      <w:r w:rsidR="00DC3D60" w:rsidRPr="00C43350">
        <w:t>a</w:t>
      </w:r>
      <w:r w:rsidR="008941B6" w:rsidRPr="00C43350">
        <w:t>)</w:t>
      </w:r>
      <w:r w:rsidRPr="00C43350">
        <w:t xml:space="preserve">. This is </w:t>
      </w:r>
      <w:proofErr w:type="gramStart"/>
      <w:r w:rsidRPr="00C43350">
        <w:t>similar to</w:t>
      </w:r>
      <w:proofErr w:type="gramEnd"/>
      <w:r w:rsidRPr="00C43350">
        <w:t xml:space="preserve"> the lowest label dose rate of 8</w:t>
      </w:r>
      <w:r w:rsidR="00B102FF">
        <w:t> </w:t>
      </w:r>
      <w:r w:rsidRPr="00C43350">
        <w:t xml:space="preserve">mg/kg </w:t>
      </w:r>
      <w:proofErr w:type="spellStart"/>
      <w:r w:rsidRPr="00C43350">
        <w:t>bw</w:t>
      </w:r>
      <w:proofErr w:type="spellEnd"/>
      <w:r w:rsidRPr="00C43350">
        <w:t>, but lower than the highest label dose rate of 22</w:t>
      </w:r>
      <w:r w:rsidR="00B102FF">
        <w:t> </w:t>
      </w:r>
      <w:r w:rsidRPr="00C43350">
        <w:t xml:space="preserve">mg/kg </w:t>
      </w:r>
      <w:proofErr w:type="spellStart"/>
      <w:r w:rsidRPr="00C43350">
        <w:t>bw</w:t>
      </w:r>
      <w:proofErr w:type="spellEnd"/>
      <w:r w:rsidRPr="00C43350">
        <w:t>. The dosage duration (once daily for 10 days) in the trial was longer than the label duration of 3</w:t>
      </w:r>
      <w:r w:rsidR="00B102FF">
        <w:t xml:space="preserve"> to </w:t>
      </w:r>
      <w:r w:rsidRPr="00C43350">
        <w:t xml:space="preserve">5 days. It is also noted that the available study only addressed </w:t>
      </w:r>
      <w:r w:rsidR="00C43350">
        <w:t>3</w:t>
      </w:r>
      <w:r w:rsidR="00C43350" w:rsidRPr="00C43350">
        <w:t xml:space="preserve"> </w:t>
      </w:r>
      <w:r w:rsidRPr="00C43350">
        <w:t>animals per time point (which is lower than contemporary requirements) and that the limits of determination which ranged between 0.18 and 0.38</w:t>
      </w:r>
      <w:r w:rsidR="00B102FF">
        <w:t> </w:t>
      </w:r>
      <w:r w:rsidRPr="00C43350">
        <w:t>mg/kg depending on tissue and sampling time were higher than the limits of quantification of contemporary methods for neomycin.</w:t>
      </w:r>
    </w:p>
    <w:p w14:paraId="0146B080" w14:textId="3D466A35" w:rsidR="008E3A9D" w:rsidRPr="00C43350" w:rsidRDefault="008E3A9D" w:rsidP="00C43350">
      <w:pPr>
        <w:pStyle w:val="APVMAText"/>
      </w:pPr>
      <w:r w:rsidRPr="00C43350">
        <w:t>There is no available oral in feed trial for cattle milk for the active ingredient neomycin.</w:t>
      </w:r>
    </w:p>
    <w:p w14:paraId="47859282" w14:textId="6288DE35" w:rsidR="008E3A9D" w:rsidRPr="00C43350" w:rsidRDefault="00280856" w:rsidP="00C43350">
      <w:pPr>
        <w:pStyle w:val="APVMAText"/>
      </w:pPr>
      <w:r w:rsidRPr="00C43350">
        <w:t xml:space="preserve">The </w:t>
      </w:r>
      <w:r w:rsidR="008E3A9D" w:rsidRPr="00C43350">
        <w:t xml:space="preserve">available neomycin </w:t>
      </w:r>
      <w:r w:rsidRPr="00C43350">
        <w:t>oral in feed trial</w:t>
      </w:r>
      <w:r w:rsidR="008941B6" w:rsidRPr="00C43350">
        <w:t xml:space="preserve"> for pig tissue</w:t>
      </w:r>
      <w:r w:rsidR="008E3A9D" w:rsidRPr="00C43350">
        <w:t xml:space="preserve"> </w:t>
      </w:r>
      <w:r w:rsidRPr="00C43350">
        <w:t>involved a dose rate of 10</w:t>
      </w:r>
      <w:r w:rsidR="00B102FF">
        <w:t> </w:t>
      </w:r>
      <w:r w:rsidRPr="00C43350">
        <w:t>mg neomycin/</w:t>
      </w:r>
      <w:r w:rsidR="00031F04" w:rsidRPr="00C43350">
        <w:t>kg</w:t>
      </w:r>
      <w:r w:rsidR="00031F04">
        <w:t> </w:t>
      </w:r>
      <w:proofErr w:type="spellStart"/>
      <w:r w:rsidRPr="00C43350">
        <w:t>bw</w:t>
      </w:r>
      <w:proofErr w:type="spellEnd"/>
      <w:r w:rsidRPr="00C43350">
        <w:t xml:space="preserve">, which is </w:t>
      </w:r>
      <w:proofErr w:type="gramStart"/>
      <w:r w:rsidRPr="00C43350">
        <w:t>similar to</w:t>
      </w:r>
      <w:proofErr w:type="gramEnd"/>
      <w:r w:rsidRPr="00C43350">
        <w:t xml:space="preserve"> the lowest label dose rate of 8</w:t>
      </w:r>
      <w:r w:rsidR="00B102FF">
        <w:t> </w:t>
      </w:r>
      <w:r w:rsidRPr="00C43350">
        <w:t>mg/</w:t>
      </w:r>
      <w:r w:rsidR="00031F04" w:rsidRPr="00C43350">
        <w:t>kg</w:t>
      </w:r>
      <w:r w:rsidR="00031F04">
        <w:t> </w:t>
      </w:r>
      <w:proofErr w:type="spellStart"/>
      <w:r w:rsidRPr="00C43350">
        <w:t>bw</w:t>
      </w:r>
      <w:proofErr w:type="spellEnd"/>
      <w:r w:rsidRPr="00C43350">
        <w:t xml:space="preserve"> but lower than the highest label dose rate of 22</w:t>
      </w:r>
      <w:r w:rsidR="00B102FF">
        <w:t> </w:t>
      </w:r>
      <w:r w:rsidRPr="00C43350">
        <w:t>mg/</w:t>
      </w:r>
      <w:r w:rsidR="00031F04" w:rsidRPr="00C43350">
        <w:t>kg</w:t>
      </w:r>
      <w:r w:rsidR="00031F04">
        <w:t> </w:t>
      </w:r>
      <w:proofErr w:type="spellStart"/>
      <w:r w:rsidRPr="00C43350">
        <w:t>bw</w:t>
      </w:r>
      <w:proofErr w:type="spellEnd"/>
      <w:r w:rsidR="008E3A9D" w:rsidRPr="00C43350">
        <w:t xml:space="preserve"> </w:t>
      </w:r>
      <w:r w:rsidR="008941B6" w:rsidRPr="00C43350">
        <w:t xml:space="preserve">(Liu </w:t>
      </w:r>
      <w:r w:rsidR="008941B6" w:rsidRPr="00B102FF">
        <w:rPr>
          <w:i/>
          <w:iCs/>
        </w:rPr>
        <w:t xml:space="preserve">et. </w:t>
      </w:r>
      <w:r w:rsidR="00853764" w:rsidRPr="00B102FF">
        <w:rPr>
          <w:i/>
          <w:iCs/>
        </w:rPr>
        <w:t>A</w:t>
      </w:r>
      <w:r w:rsidR="008941B6" w:rsidRPr="00B102FF">
        <w:rPr>
          <w:i/>
          <w:iCs/>
        </w:rPr>
        <w:t>l.</w:t>
      </w:r>
      <w:r w:rsidR="008941B6" w:rsidRPr="00C43350">
        <w:t xml:space="preserve"> 1981)</w:t>
      </w:r>
      <w:r w:rsidRPr="00C43350">
        <w:t>. The dosage duration (once daily for 10 days) in the trial was longer than the label duration of 3</w:t>
      </w:r>
      <w:r w:rsidR="00B102FF">
        <w:t xml:space="preserve"> to </w:t>
      </w:r>
      <w:r w:rsidRPr="00C43350">
        <w:t xml:space="preserve">5 days while tissues samples were only collected at 3 and 5 days after treatment and not at the meat </w:t>
      </w:r>
      <w:r w:rsidR="00266EBF" w:rsidRPr="00C43350">
        <w:t>WHP</w:t>
      </w:r>
      <w:r w:rsidRPr="00C43350">
        <w:t xml:space="preserve"> of 20 days. It is also noted this study only addressed </w:t>
      </w:r>
      <w:r w:rsidR="00C43350">
        <w:t>3</w:t>
      </w:r>
      <w:r w:rsidR="00C43350" w:rsidRPr="00C43350">
        <w:t xml:space="preserve"> </w:t>
      </w:r>
      <w:r w:rsidRPr="00C43350">
        <w:t>animals per time point (which is lower than contemporary requirements) and that the limits of determination which ranged between 0.16 and 0.31</w:t>
      </w:r>
      <w:r w:rsidR="00B102FF">
        <w:t> </w:t>
      </w:r>
      <w:r w:rsidRPr="00C43350">
        <w:t>mg/kg depending on tissue were higher than the limits of quantification of contemporary methods for neomycin.</w:t>
      </w:r>
      <w:r w:rsidR="008E3A9D" w:rsidRPr="00C43350">
        <w:t xml:space="preserve"> There were </w:t>
      </w:r>
      <w:r w:rsidR="00C43350">
        <w:t>3</w:t>
      </w:r>
      <w:r w:rsidR="00C43350" w:rsidRPr="00C43350">
        <w:t xml:space="preserve"> </w:t>
      </w:r>
      <w:r w:rsidR="008E3A9D" w:rsidRPr="00C43350">
        <w:t>addition</w:t>
      </w:r>
      <w:r w:rsidR="002D767D" w:rsidRPr="00C43350">
        <w:t>al</w:t>
      </w:r>
      <w:r w:rsidR="008E3A9D" w:rsidRPr="00C43350">
        <w:t xml:space="preserve"> oral in feed trials available for pig tissues involving neomycin </w:t>
      </w:r>
      <w:r w:rsidR="008941B6" w:rsidRPr="00C43350">
        <w:t xml:space="preserve">co-formulated with </w:t>
      </w:r>
      <w:proofErr w:type="spellStart"/>
      <w:r w:rsidR="008E3A9D" w:rsidRPr="00C43350">
        <w:t>terramycin</w:t>
      </w:r>
      <w:proofErr w:type="spellEnd"/>
      <w:r w:rsidR="008E3A9D" w:rsidRPr="00C43350">
        <w:t xml:space="preserve"> or </w:t>
      </w:r>
      <w:proofErr w:type="spellStart"/>
      <w:r w:rsidR="008E3A9D" w:rsidRPr="00C43350">
        <w:t>licomycin</w:t>
      </w:r>
      <w:proofErr w:type="spellEnd"/>
      <w:r w:rsidR="008E3A9D" w:rsidRPr="00C43350">
        <w:t xml:space="preserve"> </w:t>
      </w:r>
      <w:r w:rsidR="008941B6" w:rsidRPr="00C43350">
        <w:t xml:space="preserve">(Davis &amp; Hart 1966, Davis &amp; Hart 1967, Liu </w:t>
      </w:r>
      <w:r w:rsidR="008941B6" w:rsidRPr="00853764">
        <w:rPr>
          <w:i/>
          <w:iCs/>
        </w:rPr>
        <w:t xml:space="preserve">et. </w:t>
      </w:r>
      <w:r w:rsidR="00853764" w:rsidRPr="00853764">
        <w:rPr>
          <w:i/>
          <w:iCs/>
        </w:rPr>
        <w:t>A</w:t>
      </w:r>
      <w:r w:rsidR="008941B6" w:rsidRPr="00853764">
        <w:rPr>
          <w:i/>
          <w:iCs/>
        </w:rPr>
        <w:t>l.</w:t>
      </w:r>
      <w:r w:rsidR="008941B6" w:rsidRPr="00C43350">
        <w:t xml:space="preserve"> 1981)</w:t>
      </w:r>
      <w:r w:rsidR="008E3A9D" w:rsidRPr="00C43350">
        <w:t xml:space="preserve">, </w:t>
      </w:r>
      <w:r w:rsidR="008941B6" w:rsidRPr="00C43350">
        <w:t>which</w:t>
      </w:r>
      <w:r w:rsidR="008E3A9D" w:rsidRPr="00C43350">
        <w:t xml:space="preserve"> were not considered relevant to product 67805.</w:t>
      </w:r>
    </w:p>
    <w:p w14:paraId="6EE84524" w14:textId="2E4DB373" w:rsidR="004C6884" w:rsidRPr="00C43350" w:rsidRDefault="001B3EE3" w:rsidP="00C43350">
      <w:pPr>
        <w:pStyle w:val="APVMAText"/>
      </w:pPr>
      <w:r w:rsidRPr="00C43350">
        <w:t xml:space="preserve">Three </w:t>
      </w:r>
      <w:r w:rsidR="008E3A9D" w:rsidRPr="00C43350">
        <w:t xml:space="preserve">chicken </w:t>
      </w:r>
      <w:r w:rsidRPr="00C43350">
        <w:t xml:space="preserve">studies </w:t>
      </w:r>
      <w:r w:rsidR="008E3A9D" w:rsidRPr="00C43350">
        <w:t xml:space="preserve">and one turkey study </w:t>
      </w:r>
      <w:r w:rsidR="002D767D" w:rsidRPr="00C43350">
        <w:t>addressed</w:t>
      </w:r>
      <w:r w:rsidRPr="00C43350">
        <w:t xml:space="preserve"> oral </w:t>
      </w:r>
      <w:r w:rsidR="008E3A9D" w:rsidRPr="00C43350">
        <w:t xml:space="preserve">in feed </w:t>
      </w:r>
      <w:r w:rsidRPr="00C43350">
        <w:t>administration</w:t>
      </w:r>
      <w:r w:rsidR="008E3A9D" w:rsidRPr="00C43350">
        <w:t xml:space="preserve"> t</w:t>
      </w:r>
      <w:r w:rsidRPr="00C43350">
        <w:t xml:space="preserve">hat were generated using neomycin in combination with </w:t>
      </w:r>
      <w:proofErr w:type="spellStart"/>
      <w:r w:rsidR="008E3A9D" w:rsidRPr="00C43350">
        <w:t>terramycin</w:t>
      </w:r>
      <w:proofErr w:type="spellEnd"/>
      <w:r w:rsidR="002D767D" w:rsidRPr="00C43350">
        <w:t>. These trials</w:t>
      </w:r>
      <w:r w:rsidR="008E3A9D" w:rsidRPr="00C43350">
        <w:t xml:space="preserve"> </w:t>
      </w:r>
      <w:r w:rsidR="00280856" w:rsidRPr="00C43350">
        <w:t xml:space="preserve">involved administration of a ration containing </w:t>
      </w:r>
      <w:r w:rsidR="00031F04" w:rsidRPr="00C43350">
        <w:t>140</w:t>
      </w:r>
      <w:r w:rsidR="00031F04">
        <w:t> </w:t>
      </w:r>
      <w:r w:rsidR="00031F04" w:rsidRPr="00C43350">
        <w:t>g</w:t>
      </w:r>
      <w:r w:rsidR="00031F04">
        <w:t> </w:t>
      </w:r>
      <w:r w:rsidR="00280856" w:rsidRPr="00C43350">
        <w:t>neomycin/tonne (140</w:t>
      </w:r>
      <w:r w:rsidR="00B102FF">
        <w:t> </w:t>
      </w:r>
      <w:r w:rsidR="00280856" w:rsidRPr="00C43350">
        <w:t>ppm) and 200</w:t>
      </w:r>
      <w:r w:rsidR="00B102FF">
        <w:t> </w:t>
      </w:r>
      <w:r w:rsidR="00280856" w:rsidRPr="00C43350">
        <w:t xml:space="preserve">g </w:t>
      </w:r>
      <w:proofErr w:type="spellStart"/>
      <w:r w:rsidR="00280856" w:rsidRPr="00C43350">
        <w:t>terramycin</w:t>
      </w:r>
      <w:proofErr w:type="spellEnd"/>
      <w:r w:rsidR="00280856" w:rsidRPr="00C43350">
        <w:t>/tonne (200</w:t>
      </w:r>
      <w:r w:rsidR="00B102FF">
        <w:t> </w:t>
      </w:r>
      <w:r w:rsidR="00280856" w:rsidRPr="00C43350">
        <w:t>ppm) for 21 consecutive days</w:t>
      </w:r>
      <w:r w:rsidR="008E3A9D" w:rsidRPr="00C43350">
        <w:t xml:space="preserve"> </w:t>
      </w:r>
      <w:r w:rsidR="008941B6" w:rsidRPr="00C43350">
        <w:t xml:space="preserve">(Bentley &amp; Williams 1966, Newkirk &amp; Hart 1966a, </w:t>
      </w:r>
      <w:r w:rsidR="004C6884" w:rsidRPr="00C43350">
        <w:t xml:space="preserve">Newkirk &amp; Hart </w:t>
      </w:r>
      <w:r w:rsidR="008941B6" w:rsidRPr="00C43350">
        <w:t xml:space="preserve">1966b, </w:t>
      </w:r>
      <w:r w:rsidR="004C6884" w:rsidRPr="00C43350">
        <w:t xml:space="preserve">Newkirk &amp; Hart </w:t>
      </w:r>
      <w:r w:rsidR="008941B6" w:rsidRPr="00C43350">
        <w:t>1966c)</w:t>
      </w:r>
      <w:r w:rsidR="00280856" w:rsidRPr="00C43350">
        <w:t>. This dosage regime is significantly different to the dosage regime which is registered for poultry (8</w:t>
      </w:r>
      <w:r w:rsidR="00B102FF">
        <w:t xml:space="preserve"> to </w:t>
      </w:r>
      <w:r w:rsidR="00280856" w:rsidRPr="00C43350">
        <w:t>22</w:t>
      </w:r>
      <w:r w:rsidR="00B102FF">
        <w:t> </w:t>
      </w:r>
      <w:r w:rsidR="00280856" w:rsidRPr="00C43350">
        <w:t>mg neomycin/</w:t>
      </w:r>
      <w:r w:rsidR="00031F04" w:rsidRPr="00C43350">
        <w:t>kg</w:t>
      </w:r>
      <w:r w:rsidR="00031F04">
        <w:t> </w:t>
      </w:r>
      <w:proofErr w:type="spellStart"/>
      <w:r w:rsidR="00280856" w:rsidRPr="00C43350">
        <w:t>bw</w:t>
      </w:r>
      <w:proofErr w:type="spellEnd"/>
      <w:r w:rsidR="00280856" w:rsidRPr="00C43350">
        <w:t xml:space="preserve"> for 3</w:t>
      </w:r>
      <w:r w:rsidR="00B102FF">
        <w:t xml:space="preserve"> to </w:t>
      </w:r>
      <w:r w:rsidR="00280856" w:rsidRPr="00C43350">
        <w:t>5</w:t>
      </w:r>
      <w:r w:rsidR="00B102FF">
        <w:t> </w:t>
      </w:r>
      <w:r w:rsidR="00280856" w:rsidRPr="00C43350">
        <w:t xml:space="preserve">days). </w:t>
      </w:r>
      <w:r w:rsidR="008941B6" w:rsidRPr="00C43350">
        <w:t>It is also noted that these studies predominantly involved only 3 birds per sampling time point, half the number of 6 birds per sampling time which is the contemporary standard for poultry trials specified in APVMA and VICH guidance.</w:t>
      </w:r>
    </w:p>
    <w:p w14:paraId="4A062658" w14:textId="674EC1F7" w:rsidR="00280856" w:rsidRPr="00C43350" w:rsidRDefault="008E3A9D" w:rsidP="00C43350">
      <w:pPr>
        <w:pStyle w:val="APVMAText"/>
      </w:pPr>
      <w:r w:rsidRPr="00C43350">
        <w:t xml:space="preserve">A fourth </w:t>
      </w:r>
      <w:r w:rsidR="00280856" w:rsidRPr="00C43350">
        <w:t>study relevant to oral in feed administration to chickens involved administration of a ration containing 154 or 770</w:t>
      </w:r>
      <w:r w:rsidR="00B102FF">
        <w:t> </w:t>
      </w:r>
      <w:r w:rsidR="00280856" w:rsidRPr="00C43350">
        <w:t xml:space="preserve">ppm of neomycin for the first </w:t>
      </w:r>
      <w:r w:rsidR="00C43350">
        <w:t>3</w:t>
      </w:r>
      <w:r w:rsidR="00C43350" w:rsidRPr="00C43350">
        <w:t xml:space="preserve"> </w:t>
      </w:r>
      <w:r w:rsidR="00280856" w:rsidRPr="00C43350">
        <w:t>days of their life</w:t>
      </w:r>
      <w:r w:rsidRPr="00C43350">
        <w:t xml:space="preserve"> </w:t>
      </w:r>
      <w:r w:rsidR="008941B6" w:rsidRPr="00C43350">
        <w:t>(Liu 1984)</w:t>
      </w:r>
      <w:r w:rsidR="001B3EE3" w:rsidRPr="00C43350">
        <w:t>, which</w:t>
      </w:r>
      <w:r w:rsidRPr="00C43350">
        <w:t xml:space="preserve"> again</w:t>
      </w:r>
      <w:r w:rsidR="00280856" w:rsidRPr="00C43350">
        <w:t xml:space="preserve"> is significantly different to the registered dosage regime</w:t>
      </w:r>
      <w:r w:rsidRPr="00C43350">
        <w:t xml:space="preserve"> of product 67805</w:t>
      </w:r>
      <w:r w:rsidR="00280856" w:rsidRPr="00C43350">
        <w:t xml:space="preserve">. </w:t>
      </w:r>
      <w:r w:rsidRPr="00C43350">
        <w:t>Th</w:t>
      </w:r>
      <w:r w:rsidR="008941B6" w:rsidRPr="00C43350">
        <w:t>is</w:t>
      </w:r>
      <w:r w:rsidR="006955F2" w:rsidRPr="00C43350">
        <w:t xml:space="preserve"> </w:t>
      </w:r>
      <w:r w:rsidR="00280856" w:rsidRPr="00C43350">
        <w:t>study involved the sampling of 45 chicks (treated as day olds) per timepoint, but the tissue samples were pooled for analysis</w:t>
      </w:r>
      <w:r w:rsidR="006955F2" w:rsidRPr="00C43350">
        <w:t xml:space="preserve"> and is not considered to be relevant to current label uses</w:t>
      </w:r>
      <w:r w:rsidR="00280856" w:rsidRPr="00C43350">
        <w:t>.</w:t>
      </w:r>
    </w:p>
    <w:p w14:paraId="06B0B061" w14:textId="291F33AF" w:rsidR="008E3A9D" w:rsidRPr="00C43350" w:rsidRDefault="008E3A9D" w:rsidP="00C43350">
      <w:pPr>
        <w:pStyle w:val="APVMAText"/>
      </w:pPr>
      <w:r w:rsidRPr="00C43350">
        <w:t xml:space="preserve">Due to differences in the test formulation and treatment regimens between the residue trials discussed above and the feed additive product, there is insufficient residues data to enable a robust assessment of the residue depletion profile for this neomycin products when administered to cattle, </w:t>
      </w:r>
      <w:proofErr w:type="gramStart"/>
      <w:r w:rsidRPr="00C43350">
        <w:t>pigs</w:t>
      </w:r>
      <w:proofErr w:type="gramEnd"/>
      <w:r w:rsidRPr="00C43350">
        <w:t xml:space="preserve"> and poultry via treated feed; and a WHP, re-treatment interval and ESI </w:t>
      </w:r>
      <w:r w:rsidR="00994708" w:rsidRPr="00C43350">
        <w:t xml:space="preserve">(for cattle and pig uses) </w:t>
      </w:r>
      <w:r w:rsidRPr="00C43350">
        <w:t>cannot be determined. The use of product 67805 in cattle, pigs and poultry is therefore not supported.</w:t>
      </w:r>
    </w:p>
    <w:p w14:paraId="58BDDDAF" w14:textId="4BF5C459" w:rsidR="00280856" w:rsidRPr="00C43350" w:rsidRDefault="00280856" w:rsidP="00C43350">
      <w:pPr>
        <w:pStyle w:val="Heading3"/>
      </w:pPr>
      <w:bookmarkStart w:id="93" w:name="_Toc158818262"/>
      <w:r w:rsidRPr="00C43350">
        <w:lastRenderedPageBreak/>
        <w:t xml:space="preserve">Oral </w:t>
      </w:r>
      <w:r w:rsidR="001B3EE3" w:rsidRPr="00C43350">
        <w:t>s</w:t>
      </w:r>
      <w:r w:rsidRPr="00C43350">
        <w:t>uspension</w:t>
      </w:r>
      <w:r w:rsidR="001B3EE3" w:rsidRPr="00C43350">
        <w:t xml:space="preserve"> formulations</w:t>
      </w:r>
      <w:bookmarkEnd w:id="93"/>
    </w:p>
    <w:p w14:paraId="67F18A1B" w14:textId="19BDA949" w:rsidR="009529F9" w:rsidRPr="00C43350" w:rsidRDefault="009529F9" w:rsidP="00C43350">
      <w:pPr>
        <w:pStyle w:val="APVMAText"/>
      </w:pPr>
      <w:r w:rsidRPr="00C43350">
        <w:t xml:space="preserve">There are </w:t>
      </w:r>
      <w:r w:rsidR="00C43350">
        <w:t>2</w:t>
      </w:r>
      <w:r w:rsidR="00C43350" w:rsidRPr="00C43350">
        <w:t xml:space="preserve"> </w:t>
      </w:r>
      <w:r w:rsidRPr="00C43350">
        <w:t>neomycin products registered for oral solution administration to cattle (including calves) and horses. These are registered product numbers 36026 and 49788, which contain 54</w:t>
      </w:r>
      <w:r w:rsidR="00B102FF">
        <w:t> </w:t>
      </w:r>
      <w:r w:rsidRPr="00C43350">
        <w:t>mg/30</w:t>
      </w:r>
      <w:r w:rsidR="00B102FF">
        <w:t> </w:t>
      </w:r>
      <w:r w:rsidRPr="00C43350">
        <w:t>m</w:t>
      </w:r>
      <w:r w:rsidR="00574F56" w:rsidRPr="00C43350">
        <w:t>L</w:t>
      </w:r>
      <w:r w:rsidRPr="00C43350">
        <w:t xml:space="preserve"> neomycin </w:t>
      </w:r>
      <w:proofErr w:type="spellStart"/>
      <w:r w:rsidRPr="00C43350">
        <w:t>sulfate</w:t>
      </w:r>
      <w:proofErr w:type="spellEnd"/>
      <w:r w:rsidRPr="00C43350">
        <w:t xml:space="preserve"> and other active ingredients.</w:t>
      </w:r>
    </w:p>
    <w:p w14:paraId="110C34AB" w14:textId="252E485D" w:rsidR="009529F9" w:rsidRPr="00C43350" w:rsidRDefault="009529F9" w:rsidP="00C43350">
      <w:pPr>
        <w:pStyle w:val="Heading4"/>
      </w:pPr>
      <w:r w:rsidRPr="00C43350">
        <w:t>Products 36026 and 49788</w:t>
      </w:r>
    </w:p>
    <w:p w14:paraId="7A9D94AD" w14:textId="710EDAE4" w:rsidR="002D767D" w:rsidRPr="00C43350" w:rsidRDefault="009529F9" w:rsidP="00C43350">
      <w:pPr>
        <w:pStyle w:val="APVMAText"/>
      </w:pPr>
      <w:r w:rsidRPr="00C43350">
        <w:t xml:space="preserve">Resides data is not available for cattle tissues, cattle </w:t>
      </w:r>
      <w:proofErr w:type="gramStart"/>
      <w:r w:rsidRPr="00C43350">
        <w:t>milk</w:t>
      </w:r>
      <w:proofErr w:type="gramEnd"/>
      <w:r w:rsidRPr="00C43350">
        <w:t xml:space="preserve"> and horse tissues for these oral suspension products.</w:t>
      </w:r>
    </w:p>
    <w:p w14:paraId="34538DC7" w14:textId="5C1103EB" w:rsidR="00280856" w:rsidRPr="00C43350" w:rsidRDefault="00280856" w:rsidP="00C43350">
      <w:pPr>
        <w:pStyle w:val="APVMAText"/>
      </w:pPr>
      <w:r w:rsidRPr="00C43350">
        <w:t xml:space="preserve">The </w:t>
      </w:r>
      <w:r w:rsidR="00C43350">
        <w:t>3</w:t>
      </w:r>
      <w:r w:rsidR="00C43350" w:rsidRPr="00C43350">
        <w:t xml:space="preserve"> </w:t>
      </w:r>
      <w:r w:rsidRPr="00C43350">
        <w:t>available residue depletion studies relevant to oral solution (drench) administration of neomycin to cattle involved single dose at 10</w:t>
      </w:r>
      <w:r w:rsidR="00B102FF">
        <w:t> </w:t>
      </w:r>
      <w:r w:rsidRPr="00C43350">
        <w:t>mg/</w:t>
      </w:r>
      <w:r w:rsidR="00031F04" w:rsidRPr="00C43350">
        <w:t>kg</w:t>
      </w:r>
      <w:r w:rsidR="00031F04">
        <w:t> </w:t>
      </w:r>
      <w:proofErr w:type="spellStart"/>
      <w:r w:rsidRPr="00C43350">
        <w:t>bw</w:t>
      </w:r>
      <w:proofErr w:type="spellEnd"/>
      <w:r w:rsidRPr="00C43350">
        <w:t xml:space="preserve"> for 5</w:t>
      </w:r>
      <w:r w:rsidR="00B102FF">
        <w:t xml:space="preserve"> to </w:t>
      </w:r>
      <w:r w:rsidRPr="00C43350">
        <w:t>10 consecutive days</w:t>
      </w:r>
      <w:r w:rsidR="009529F9" w:rsidRPr="00C43350">
        <w:t xml:space="preserve"> </w:t>
      </w:r>
      <w:r w:rsidR="00B866F1" w:rsidRPr="00C43350">
        <w:t>(Newkirk &amp; Hart 1966d, Hawbaker &amp; Hart 1967b, Hawbaker &amp; Hart 1967c)</w:t>
      </w:r>
      <w:r w:rsidRPr="00C43350">
        <w:t>. Th</w:t>
      </w:r>
      <w:r w:rsidR="009529F9" w:rsidRPr="00C43350">
        <w:t>e formulations used in these studies and the</w:t>
      </w:r>
      <w:r w:rsidRPr="00C43350">
        <w:t xml:space="preserve"> dosage regime is different to that registered for </w:t>
      </w:r>
      <w:r w:rsidR="00487874" w:rsidRPr="00C43350">
        <w:t>products 36026 and 49788</w:t>
      </w:r>
      <w:r w:rsidRPr="00C43350">
        <w:t xml:space="preserve"> (2.16</w:t>
      </w:r>
      <w:r w:rsidR="00B102FF">
        <w:t> </w:t>
      </w:r>
      <w:r w:rsidRPr="00C43350">
        <w:t>mg/kg twice daily for a minimum of 5</w:t>
      </w:r>
      <w:r w:rsidR="00B102FF">
        <w:t> </w:t>
      </w:r>
      <w:r w:rsidRPr="00C43350">
        <w:t>days). It is also noted that the</w:t>
      </w:r>
      <w:r w:rsidR="009529F9" w:rsidRPr="00C43350">
        <w:t>se</w:t>
      </w:r>
      <w:r w:rsidRPr="00C43350">
        <w:t xml:space="preserve"> </w:t>
      </w:r>
      <w:r w:rsidR="00C43350">
        <w:t>3</w:t>
      </w:r>
      <w:r w:rsidR="00C43350" w:rsidRPr="00C43350">
        <w:t xml:space="preserve"> </w:t>
      </w:r>
      <w:r w:rsidRPr="00C43350">
        <w:t xml:space="preserve">studies only addressed </w:t>
      </w:r>
      <w:r w:rsidR="00C43350">
        <w:t>3</w:t>
      </w:r>
      <w:r w:rsidR="00C43350" w:rsidRPr="00C43350">
        <w:t xml:space="preserve"> </w:t>
      </w:r>
      <w:r w:rsidRPr="00C43350">
        <w:t>animals per time point (which is lower than contemporary requirements) and that the limits of determination which ranged between 0.17 and 0.5</w:t>
      </w:r>
      <w:r w:rsidR="00B102FF">
        <w:t> </w:t>
      </w:r>
      <w:r w:rsidRPr="00C43350">
        <w:t>mg/kg</w:t>
      </w:r>
      <w:r w:rsidR="009529F9" w:rsidRPr="00C43350">
        <w:t>, which is</w:t>
      </w:r>
      <w:r w:rsidRPr="00C43350">
        <w:t xml:space="preserve"> higher than the limits of quantification of contemporary methods for neomycin.</w:t>
      </w:r>
    </w:p>
    <w:p w14:paraId="515EACE2" w14:textId="5C20E35E" w:rsidR="009529F9" w:rsidRPr="00C43350" w:rsidRDefault="00280856" w:rsidP="00C43350">
      <w:pPr>
        <w:pStyle w:val="APVMAText"/>
      </w:pPr>
      <w:r w:rsidRPr="00C43350">
        <w:t>Due to differences in the test formulation and treatment regimens between the residue trials</w:t>
      </w:r>
      <w:r w:rsidR="009529F9" w:rsidRPr="00C43350">
        <w:t xml:space="preserve"> discussed above</w:t>
      </w:r>
      <w:r w:rsidRPr="00C43350">
        <w:t xml:space="preserve"> and th</w:t>
      </w:r>
      <w:r w:rsidR="009529F9" w:rsidRPr="00C43350">
        <w:t xml:space="preserve">ese oral suspension </w:t>
      </w:r>
      <w:r w:rsidRPr="00C43350">
        <w:t>product</w:t>
      </w:r>
      <w:r w:rsidR="009529F9" w:rsidRPr="00C43350">
        <w:t>s</w:t>
      </w:r>
      <w:r w:rsidRPr="00C43350">
        <w:t xml:space="preserve">, </w:t>
      </w:r>
      <w:r w:rsidR="009529F9" w:rsidRPr="00C43350">
        <w:t>there is insufficient residues data to enable a robust assessment of the residue depletion profile for neomycin when administered to cattle via oral solution; and a WHP, re-treatment interval and ESI cannot be determined. The use of products 36026 and 49788 in cattle is therefore not supported.</w:t>
      </w:r>
    </w:p>
    <w:p w14:paraId="068C2348" w14:textId="27A3BCCC" w:rsidR="00280856" w:rsidRPr="00C43350" w:rsidRDefault="00280856" w:rsidP="00C43350">
      <w:pPr>
        <w:pStyle w:val="APVMAText"/>
      </w:pPr>
      <w:r w:rsidRPr="00C43350">
        <w:t xml:space="preserve">The use of neomycin on horses is supported from a </w:t>
      </w:r>
      <w:proofErr w:type="gramStart"/>
      <w:r w:rsidRPr="00C43350">
        <w:t>residues</w:t>
      </w:r>
      <w:proofErr w:type="gramEnd"/>
      <w:r w:rsidRPr="00C43350">
        <w:t xml:space="preserve"> perspective, provided the restraint ‘DO NOT USE in horses that may be used for human consumption’ is added to the label, and the current meat </w:t>
      </w:r>
      <w:r w:rsidR="00266EBF" w:rsidRPr="00C43350">
        <w:t>WHP</w:t>
      </w:r>
      <w:r w:rsidRPr="00C43350">
        <w:t>s for horses be removed.</w:t>
      </w:r>
    </w:p>
    <w:p w14:paraId="258A42FE" w14:textId="77777777" w:rsidR="00280856" w:rsidRPr="00C43350" w:rsidRDefault="00280856" w:rsidP="00C43350">
      <w:pPr>
        <w:pStyle w:val="Heading3"/>
      </w:pPr>
      <w:bookmarkStart w:id="94" w:name="_Toc158818263"/>
      <w:r w:rsidRPr="00C43350">
        <w:t>Oral solution as water additive</w:t>
      </w:r>
      <w:bookmarkEnd w:id="94"/>
    </w:p>
    <w:p w14:paraId="0EF292BD" w14:textId="098AC07D" w:rsidR="009529F9" w:rsidRPr="00C43350" w:rsidRDefault="00280856" w:rsidP="00C43350">
      <w:pPr>
        <w:pStyle w:val="APVMAText"/>
      </w:pPr>
      <w:r w:rsidRPr="00C43350">
        <w:t>There is one neomycin product</w:t>
      </w:r>
      <w:r w:rsidR="00487874" w:rsidRPr="00C43350">
        <w:t xml:space="preserve"> </w:t>
      </w:r>
      <w:r w:rsidRPr="00C43350">
        <w:t>registered for oral in water administration</w:t>
      </w:r>
      <w:r w:rsidR="009529F9" w:rsidRPr="00C43350">
        <w:t xml:space="preserve"> for poultry. This is registered product number 52782, </w:t>
      </w:r>
      <w:r w:rsidRPr="00C43350">
        <w:t>which contains 600</w:t>
      </w:r>
      <w:r w:rsidR="00B102FF">
        <w:t> </w:t>
      </w:r>
      <w:r w:rsidRPr="00C43350">
        <w:t>g/</w:t>
      </w:r>
      <w:r w:rsidR="006955F2" w:rsidRPr="00C43350">
        <w:t>k</w:t>
      </w:r>
      <w:r w:rsidRPr="00C43350">
        <w:t>g neomycin</w:t>
      </w:r>
      <w:r w:rsidR="009529F9" w:rsidRPr="00C43350">
        <w:t xml:space="preserve"> as </w:t>
      </w:r>
      <w:proofErr w:type="spellStart"/>
      <w:r w:rsidR="009529F9" w:rsidRPr="00C43350">
        <w:t>sulfate</w:t>
      </w:r>
      <w:proofErr w:type="spellEnd"/>
      <w:r w:rsidRPr="00C43350">
        <w:t>.</w:t>
      </w:r>
    </w:p>
    <w:p w14:paraId="7B3A8986" w14:textId="4854FD86" w:rsidR="009529F9" w:rsidRPr="00C43350" w:rsidRDefault="009529F9" w:rsidP="00C43350">
      <w:pPr>
        <w:pStyle w:val="Heading4"/>
      </w:pPr>
      <w:r w:rsidRPr="00C43350">
        <w:t>Product 52782</w:t>
      </w:r>
    </w:p>
    <w:p w14:paraId="105A6090" w14:textId="1146AC23" w:rsidR="002D767D" w:rsidRPr="00C43350" w:rsidRDefault="009529F9" w:rsidP="00C43350">
      <w:pPr>
        <w:pStyle w:val="APVMAText"/>
      </w:pPr>
      <w:r w:rsidRPr="00C43350">
        <w:t>Resides data is not available for poultry for this oral in water administration product.</w:t>
      </w:r>
    </w:p>
    <w:p w14:paraId="4438CB89" w14:textId="35F68199" w:rsidR="00280856" w:rsidRPr="00C43350" w:rsidRDefault="00280856" w:rsidP="00C43350">
      <w:pPr>
        <w:pStyle w:val="APVMAText"/>
      </w:pPr>
      <w:r w:rsidRPr="00C43350">
        <w:t>The available residue studies relevant to oral in water administration to broiler chickens and ducks address a dose rate of 30</w:t>
      </w:r>
      <w:r w:rsidR="00B102FF">
        <w:t> </w:t>
      </w:r>
      <w:r w:rsidRPr="00C43350">
        <w:t>mg neomycin/</w:t>
      </w:r>
      <w:r w:rsidR="00031F04" w:rsidRPr="00C43350">
        <w:t>kg</w:t>
      </w:r>
      <w:r w:rsidR="00031F04">
        <w:t> </w:t>
      </w:r>
      <w:proofErr w:type="spellStart"/>
      <w:r w:rsidR="00031F04">
        <w:t>bw</w:t>
      </w:r>
      <w:proofErr w:type="spellEnd"/>
      <w:r w:rsidRPr="00C43350">
        <w:t xml:space="preserve"> administered for 7 or 21 consecutive days for chickens and ducks respectively</w:t>
      </w:r>
      <w:r w:rsidR="009529F9" w:rsidRPr="00C43350">
        <w:t xml:space="preserve"> </w:t>
      </w:r>
      <w:r w:rsidR="00B866F1" w:rsidRPr="00C43350">
        <w:t xml:space="preserve">(Newkirk &amp; Urban 1966, </w:t>
      </w:r>
      <w:proofErr w:type="spellStart"/>
      <w:r w:rsidR="00B866F1" w:rsidRPr="00C43350">
        <w:t>Ibayashi</w:t>
      </w:r>
      <w:proofErr w:type="spellEnd"/>
      <w:r w:rsidR="00B866F1" w:rsidRPr="00C43350">
        <w:t xml:space="preserve"> </w:t>
      </w:r>
      <w:r w:rsidR="00B866F1" w:rsidRPr="00B102FF">
        <w:rPr>
          <w:i/>
          <w:iCs/>
        </w:rPr>
        <w:t>et al</w:t>
      </w:r>
      <w:r w:rsidR="00B866F1" w:rsidRPr="00C43350">
        <w:t>. 1994)</w:t>
      </w:r>
      <w:r w:rsidRPr="00C43350">
        <w:t>. This dosage regime is significantly different to the maximum dosage regime which is registered for poultry (100</w:t>
      </w:r>
      <w:r w:rsidR="00B102FF">
        <w:t> </w:t>
      </w:r>
      <w:r w:rsidRPr="00C43350">
        <w:t>mg neomycin/</w:t>
      </w:r>
      <w:r w:rsidR="00031F04" w:rsidRPr="00C43350">
        <w:t>kg</w:t>
      </w:r>
      <w:r w:rsidR="00031F04">
        <w:t> </w:t>
      </w:r>
      <w:proofErr w:type="spellStart"/>
      <w:r w:rsidRPr="00C43350">
        <w:t>bw</w:t>
      </w:r>
      <w:proofErr w:type="spellEnd"/>
      <w:r w:rsidRPr="00C43350">
        <w:t xml:space="preserve"> for 3</w:t>
      </w:r>
      <w:r w:rsidR="00B102FF">
        <w:t xml:space="preserve"> to </w:t>
      </w:r>
      <w:r w:rsidRPr="00C43350">
        <w:t>5</w:t>
      </w:r>
      <w:r w:rsidR="00644AD6">
        <w:t> </w:t>
      </w:r>
      <w:r w:rsidRPr="00C43350">
        <w:t>days). It is also noted that the chicken and duck studies involved only 3 birds per sampling time point, half the number of 6 birds per sampling time which is the contemporary standard for poultry specified in APVMA and VICH guidance.</w:t>
      </w:r>
    </w:p>
    <w:p w14:paraId="51E528A0" w14:textId="69D04ADC" w:rsidR="00280856" w:rsidRPr="00C43350" w:rsidRDefault="00280856" w:rsidP="00C43350">
      <w:pPr>
        <w:pStyle w:val="APVMAText"/>
      </w:pPr>
      <w:r w:rsidRPr="00C43350">
        <w:lastRenderedPageBreak/>
        <w:t>The available studies relevant to oral in water administration to turkeys address a dose rate of 22</w:t>
      </w:r>
      <w:r w:rsidR="00B102FF">
        <w:t> </w:t>
      </w:r>
      <w:r w:rsidRPr="00C43350">
        <w:t>mg neomycin/kg</w:t>
      </w:r>
      <w:r w:rsidR="00031F04">
        <w:t> </w:t>
      </w:r>
      <w:proofErr w:type="spellStart"/>
      <w:r w:rsidR="00031F04">
        <w:t>bw</w:t>
      </w:r>
      <w:proofErr w:type="spellEnd"/>
      <w:r w:rsidR="00031F04">
        <w:t xml:space="preserve"> </w:t>
      </w:r>
      <w:r w:rsidRPr="00C43350">
        <w:t>administered for 5 consecutive days, but not address the maximum registered dose rate of 100</w:t>
      </w:r>
      <w:r w:rsidR="00B102FF">
        <w:t> </w:t>
      </w:r>
      <w:r w:rsidRPr="00C43350">
        <w:t>mg neomycin/</w:t>
      </w:r>
      <w:r w:rsidR="00031F04" w:rsidRPr="00C43350">
        <w:t>kg</w:t>
      </w:r>
      <w:r w:rsidR="00031F04">
        <w:t> </w:t>
      </w:r>
      <w:proofErr w:type="spellStart"/>
      <w:r w:rsidRPr="00C43350">
        <w:t>bw</w:t>
      </w:r>
      <w:proofErr w:type="spellEnd"/>
      <w:r w:rsidR="009529F9" w:rsidRPr="00C43350">
        <w:t xml:space="preserve"> </w:t>
      </w:r>
      <w:r w:rsidR="00B866F1" w:rsidRPr="00C43350">
        <w:t>(Marren 1995)</w:t>
      </w:r>
      <w:r w:rsidRPr="00C43350">
        <w:t>. It is also noted that the limit of determination of 0.5</w:t>
      </w:r>
      <w:r w:rsidR="00B102FF">
        <w:t> </w:t>
      </w:r>
      <w:r w:rsidRPr="00C43350">
        <w:t>mg/kg in this study was higher than the limits of quantification of contemporary methods for neomycin.</w:t>
      </w:r>
    </w:p>
    <w:p w14:paraId="70EB6A00" w14:textId="66785471" w:rsidR="009529F9" w:rsidRPr="00C43350" w:rsidRDefault="00280856" w:rsidP="00C43350">
      <w:pPr>
        <w:pStyle w:val="APVMAText"/>
      </w:pPr>
      <w:r w:rsidRPr="00C43350">
        <w:t xml:space="preserve">Due to differences in the treatment regimens between the residue trials </w:t>
      </w:r>
      <w:r w:rsidR="009529F9" w:rsidRPr="00C43350">
        <w:t xml:space="preserve">discussed above </w:t>
      </w:r>
      <w:r w:rsidRPr="00C43350">
        <w:t>and this product</w:t>
      </w:r>
      <w:r w:rsidR="009529F9" w:rsidRPr="00C43350">
        <w:t>,</w:t>
      </w:r>
      <w:r w:rsidRPr="00C43350">
        <w:t xml:space="preserve"> and because the available poultry studies do not meet contemporary standards with regards to sample number </w:t>
      </w:r>
      <w:r w:rsidR="002D767D" w:rsidRPr="00C43350">
        <w:t xml:space="preserve">and </w:t>
      </w:r>
      <w:r w:rsidRPr="00C43350">
        <w:t>limit</w:t>
      </w:r>
      <w:r w:rsidR="002D767D" w:rsidRPr="00C43350">
        <w:t>s</w:t>
      </w:r>
      <w:r w:rsidRPr="00C43350">
        <w:t xml:space="preserve"> of quantification, </w:t>
      </w:r>
      <w:r w:rsidR="009529F9" w:rsidRPr="00C43350">
        <w:t>there is insufficient relevant residues data to enable a robust assessment of the residue depletion profile for neomycin when administered to all poultry via water; and a WHP and re-treatment interval cannot be determined. The use of product 52782 in poultry is therefore not supported.</w:t>
      </w:r>
    </w:p>
    <w:p w14:paraId="43A095A9" w14:textId="0E1DCBCB" w:rsidR="00280856" w:rsidRPr="00C43350" w:rsidRDefault="00280856" w:rsidP="00C43350">
      <w:pPr>
        <w:pStyle w:val="Heading3"/>
      </w:pPr>
      <w:bookmarkStart w:id="95" w:name="_Toc158818264"/>
      <w:r w:rsidRPr="00C43350">
        <w:t xml:space="preserve">Oral tablet </w:t>
      </w:r>
      <w:r w:rsidR="001B3EE3" w:rsidRPr="00C43350">
        <w:t>formulation</w:t>
      </w:r>
      <w:bookmarkEnd w:id="95"/>
    </w:p>
    <w:p w14:paraId="5821006E" w14:textId="6CF2D34F" w:rsidR="009529F9" w:rsidRDefault="00A9025F" w:rsidP="00C43350">
      <w:pPr>
        <w:pStyle w:val="APVMAText"/>
      </w:pPr>
      <w:r w:rsidRPr="00A9025F">
        <w:t>There is one</w:t>
      </w:r>
      <w:r>
        <w:t xml:space="preserve"> neomycin</w:t>
      </w:r>
      <w:r w:rsidRPr="00A9025F">
        <w:t xml:space="preserve"> product registered for tablet administration to cattle</w:t>
      </w:r>
      <w:r>
        <w:t xml:space="preserve">, including calves, and horses. This is registered product number </w:t>
      </w:r>
      <w:r w:rsidRPr="00A9025F">
        <w:t>46414</w:t>
      </w:r>
      <w:r>
        <w:t xml:space="preserve">, which </w:t>
      </w:r>
      <w:r w:rsidRPr="00A9025F">
        <w:t>contains the antibiotics neomycin (250</w:t>
      </w:r>
      <w:r w:rsidR="00B102FF">
        <w:t> </w:t>
      </w:r>
      <w:r w:rsidRPr="00A9025F">
        <w:t>mg/</w:t>
      </w:r>
      <w:r w:rsidR="00B866F1">
        <w:t>t</w:t>
      </w:r>
      <w:r w:rsidRPr="00A9025F">
        <w:t>ablet), sulfadimidine (750</w:t>
      </w:r>
      <w:r w:rsidR="00B102FF">
        <w:t> </w:t>
      </w:r>
      <w:r w:rsidRPr="00A9025F">
        <w:t>mg/</w:t>
      </w:r>
      <w:r w:rsidR="00B866F1">
        <w:t>t</w:t>
      </w:r>
      <w:r w:rsidRPr="00A9025F">
        <w:t>ablet) and sulfadiazine (750</w:t>
      </w:r>
      <w:r w:rsidR="00B102FF">
        <w:t> </w:t>
      </w:r>
      <w:r w:rsidRPr="00A9025F">
        <w:t>mg/</w:t>
      </w:r>
      <w:r w:rsidR="00B866F1">
        <w:t>t</w:t>
      </w:r>
      <w:r w:rsidRPr="00A9025F">
        <w:t>ablet), hyoscine and vitamins.</w:t>
      </w:r>
    </w:p>
    <w:p w14:paraId="0F0B6373" w14:textId="3BC1805B" w:rsidR="00A9025F" w:rsidRPr="00C43350" w:rsidRDefault="00A9025F" w:rsidP="00C43350">
      <w:pPr>
        <w:pStyle w:val="Heading4"/>
      </w:pPr>
      <w:r w:rsidRPr="00C43350">
        <w:t>Product 46414</w:t>
      </w:r>
    </w:p>
    <w:p w14:paraId="48F73109" w14:textId="5DA16D1C" w:rsidR="002D767D" w:rsidRPr="00C43350" w:rsidRDefault="00A9025F" w:rsidP="00C43350">
      <w:pPr>
        <w:pStyle w:val="APVMAText"/>
      </w:pPr>
      <w:r w:rsidRPr="00C43350">
        <w:t xml:space="preserve">Resides data is not available for cattle tissues, cattle </w:t>
      </w:r>
      <w:proofErr w:type="gramStart"/>
      <w:r w:rsidRPr="00C43350">
        <w:t>milk</w:t>
      </w:r>
      <w:proofErr w:type="gramEnd"/>
      <w:r w:rsidRPr="00C43350">
        <w:t xml:space="preserve"> and horse tissues for this oral tablet product.</w:t>
      </w:r>
    </w:p>
    <w:p w14:paraId="733CB689" w14:textId="1208EAA7" w:rsidR="00280856" w:rsidRPr="00C43350" w:rsidRDefault="00280856" w:rsidP="00C43350">
      <w:pPr>
        <w:pStyle w:val="APVMAText"/>
      </w:pPr>
      <w:r w:rsidRPr="00C43350">
        <w:t xml:space="preserve">The </w:t>
      </w:r>
      <w:r w:rsidR="00C43350">
        <w:t>2</w:t>
      </w:r>
      <w:r w:rsidR="00C43350" w:rsidRPr="00C43350">
        <w:t xml:space="preserve"> </w:t>
      </w:r>
      <w:r w:rsidR="00A9025F" w:rsidRPr="00C43350">
        <w:t xml:space="preserve">available cattle </w:t>
      </w:r>
      <w:r w:rsidRPr="00C43350">
        <w:t xml:space="preserve">bolus trials </w:t>
      </w:r>
      <w:r w:rsidR="00A9025F" w:rsidRPr="00C43350">
        <w:t xml:space="preserve">use a different formulation and </w:t>
      </w:r>
      <w:r w:rsidRPr="00C43350">
        <w:t>involved a dose rate of 10</w:t>
      </w:r>
      <w:r w:rsidR="00B102FF">
        <w:t> </w:t>
      </w:r>
      <w:r w:rsidR="00031F04" w:rsidRPr="00C43350">
        <w:t>mg</w:t>
      </w:r>
      <w:r w:rsidR="00031F04">
        <w:t> </w:t>
      </w:r>
      <w:r w:rsidRPr="00C43350">
        <w:t>neomycin/</w:t>
      </w:r>
      <w:r w:rsidR="00031F04" w:rsidRPr="00C43350">
        <w:t>kg</w:t>
      </w:r>
      <w:r w:rsidR="00031F04">
        <w:t> </w:t>
      </w:r>
      <w:proofErr w:type="spellStart"/>
      <w:r w:rsidRPr="00C43350">
        <w:t>bw</w:t>
      </w:r>
      <w:proofErr w:type="spellEnd"/>
      <w:r w:rsidR="00A9025F" w:rsidRPr="00C43350">
        <w:t xml:space="preserve"> </w:t>
      </w:r>
      <w:r w:rsidR="00B866F1" w:rsidRPr="00C43350">
        <w:t>(Hawbaker &amp; Hart 1966, Hawbaker &amp; Hart 1967d)</w:t>
      </w:r>
      <w:r w:rsidRPr="00C43350">
        <w:t>, which is higher than the label dose rate of 7.14</w:t>
      </w:r>
      <w:r w:rsidR="00B102FF">
        <w:t> </w:t>
      </w:r>
      <w:r w:rsidRPr="00C43350">
        <w:t>mg neomycin/</w:t>
      </w:r>
      <w:r w:rsidR="00031F04" w:rsidRPr="00C43350">
        <w:t>kg</w:t>
      </w:r>
      <w:r w:rsidR="00031F04">
        <w:t> </w:t>
      </w:r>
      <w:proofErr w:type="spellStart"/>
      <w:r w:rsidRPr="00C43350">
        <w:t>bw</w:t>
      </w:r>
      <w:proofErr w:type="spellEnd"/>
      <w:r w:rsidR="00A9025F" w:rsidRPr="00C43350">
        <w:t xml:space="preserve"> for product 46414</w:t>
      </w:r>
      <w:r w:rsidRPr="00C43350">
        <w:t xml:space="preserve">. It is also noted that the </w:t>
      </w:r>
      <w:r w:rsidR="00C43350">
        <w:t>2</w:t>
      </w:r>
      <w:r w:rsidR="00C43350" w:rsidRPr="00C43350">
        <w:t xml:space="preserve"> </w:t>
      </w:r>
      <w:r w:rsidRPr="00C43350">
        <w:t xml:space="preserve">available studies only addressed </w:t>
      </w:r>
      <w:r w:rsidR="00C43350">
        <w:t>3</w:t>
      </w:r>
      <w:r w:rsidR="00C43350" w:rsidRPr="00C43350">
        <w:t xml:space="preserve"> </w:t>
      </w:r>
      <w:r w:rsidRPr="00C43350">
        <w:t>animals per time point (which is lower than contemporary requirements) and that the limits of determination which ranged between 0.25 and 0.37</w:t>
      </w:r>
      <w:r w:rsidR="00B102FF">
        <w:t> </w:t>
      </w:r>
      <w:r w:rsidRPr="00C43350">
        <w:t>mg/kg depending on tissue were higher than the limits of quantification of contemporary methods for neomycin.</w:t>
      </w:r>
    </w:p>
    <w:p w14:paraId="329F53DF" w14:textId="5370DBCE" w:rsidR="00A9025F" w:rsidRPr="00C43350" w:rsidRDefault="00280856" w:rsidP="00C43350">
      <w:pPr>
        <w:pStyle w:val="APVMAText"/>
      </w:pPr>
      <w:r w:rsidRPr="00C43350">
        <w:t xml:space="preserve">Due to differences in the test formulation and treatment regimens between the residue trials </w:t>
      </w:r>
      <w:r w:rsidR="00A9025F" w:rsidRPr="00C43350">
        <w:t xml:space="preserve">discussed above </w:t>
      </w:r>
      <w:r w:rsidRPr="00C43350">
        <w:t>and this</w:t>
      </w:r>
      <w:r w:rsidR="00A9025F" w:rsidRPr="00C43350">
        <w:t xml:space="preserve"> oral table</w:t>
      </w:r>
      <w:r w:rsidR="00853764">
        <w:t>t</w:t>
      </w:r>
      <w:r w:rsidRPr="00C43350">
        <w:t xml:space="preserve"> product, </w:t>
      </w:r>
      <w:r w:rsidR="00A9025F" w:rsidRPr="00C43350">
        <w:t>there is insufficient relevant residues data to enable a robust assessment of the residue depletion profile for neomycin for this formulation when administered to cattle via a tablet; and a WHP, re-treatment interval and ESI cannot be determined. The use of product 67805 in cattle is therefore not supported.</w:t>
      </w:r>
    </w:p>
    <w:p w14:paraId="73CBBD58" w14:textId="5F31E1DD" w:rsidR="00280856" w:rsidRPr="00C43350" w:rsidRDefault="00280856" w:rsidP="00C43350">
      <w:pPr>
        <w:pStyle w:val="APVMAText"/>
      </w:pPr>
      <w:r w:rsidRPr="00C43350">
        <w:t xml:space="preserve">The use of neomycin on horses is supported from a </w:t>
      </w:r>
      <w:proofErr w:type="gramStart"/>
      <w:r w:rsidRPr="00C43350">
        <w:t>residues</w:t>
      </w:r>
      <w:proofErr w:type="gramEnd"/>
      <w:r w:rsidRPr="00C43350">
        <w:t xml:space="preserve"> perspective, provided the restraint ‘DO NOT USE in horses that may be used for human consumption’ is added to the label, and the current meat </w:t>
      </w:r>
      <w:r w:rsidR="00266EBF" w:rsidRPr="00C43350">
        <w:t>WHP</w:t>
      </w:r>
      <w:r w:rsidRPr="00C43350">
        <w:t xml:space="preserve"> for horses be removed.</w:t>
      </w:r>
    </w:p>
    <w:p w14:paraId="2DB8F002" w14:textId="66F8A30B" w:rsidR="00280856" w:rsidRDefault="00280856" w:rsidP="00CC1827">
      <w:pPr>
        <w:pStyle w:val="Heading3"/>
      </w:pPr>
      <w:bookmarkStart w:id="96" w:name="_Toc158818265"/>
      <w:r w:rsidRPr="00FD7938">
        <w:t xml:space="preserve">Intramammary </w:t>
      </w:r>
      <w:r w:rsidR="001B3EE3">
        <w:t>p</w:t>
      </w:r>
      <w:r w:rsidRPr="00FD7938">
        <w:t>reparations</w:t>
      </w:r>
      <w:bookmarkEnd w:id="96"/>
    </w:p>
    <w:p w14:paraId="3848687C" w14:textId="25B1FFCE" w:rsidR="00A9025F" w:rsidRDefault="00A9025F" w:rsidP="00A9025F">
      <w:pPr>
        <w:pStyle w:val="APVMAText"/>
        <w:rPr>
          <w:color w:val="1A1B1A" w:themeColor="text1" w:themeShade="80"/>
          <w:kern w:val="20"/>
          <w:sz w:val="19"/>
          <w:szCs w:val="20"/>
        </w:rPr>
      </w:pPr>
      <w:r w:rsidRPr="00053BAB">
        <w:rPr>
          <w:color w:val="1A1B1A" w:themeColor="text1" w:themeShade="80"/>
          <w:kern w:val="20"/>
          <w:sz w:val="19"/>
          <w:szCs w:val="20"/>
        </w:rPr>
        <w:t xml:space="preserve">There are </w:t>
      </w:r>
      <w:r w:rsidR="00C43350">
        <w:rPr>
          <w:color w:val="1A1B1A" w:themeColor="text1" w:themeShade="80"/>
          <w:kern w:val="20"/>
          <w:sz w:val="19"/>
          <w:szCs w:val="20"/>
        </w:rPr>
        <w:t xml:space="preserve">2 </w:t>
      </w:r>
      <w:r>
        <w:rPr>
          <w:color w:val="1A1B1A" w:themeColor="text1" w:themeShade="80"/>
          <w:kern w:val="20"/>
          <w:sz w:val="19"/>
          <w:szCs w:val="20"/>
        </w:rPr>
        <w:t>neomycin</w:t>
      </w:r>
      <w:r w:rsidRPr="00053BAB">
        <w:rPr>
          <w:color w:val="1A1B1A" w:themeColor="text1" w:themeShade="80"/>
          <w:kern w:val="20"/>
          <w:sz w:val="19"/>
          <w:szCs w:val="20"/>
        </w:rPr>
        <w:t xml:space="preserve"> products</w:t>
      </w:r>
      <w:r>
        <w:rPr>
          <w:color w:val="1A1B1A" w:themeColor="text1" w:themeShade="80"/>
          <w:kern w:val="20"/>
          <w:sz w:val="19"/>
          <w:szCs w:val="20"/>
        </w:rPr>
        <w:t xml:space="preserve"> </w:t>
      </w:r>
      <w:r w:rsidRPr="00053BAB">
        <w:rPr>
          <w:color w:val="1A1B1A" w:themeColor="text1" w:themeShade="80"/>
          <w:kern w:val="20"/>
          <w:sz w:val="19"/>
          <w:szCs w:val="20"/>
        </w:rPr>
        <w:t>registered for intramammary administration</w:t>
      </w:r>
      <w:r>
        <w:rPr>
          <w:color w:val="1A1B1A" w:themeColor="text1" w:themeShade="80"/>
          <w:kern w:val="20"/>
          <w:sz w:val="19"/>
          <w:szCs w:val="20"/>
        </w:rPr>
        <w:t xml:space="preserve"> to lactating cows. These are</w:t>
      </w:r>
      <w:r w:rsidR="0057686F">
        <w:rPr>
          <w:color w:val="1A1B1A" w:themeColor="text1" w:themeShade="80"/>
          <w:kern w:val="20"/>
          <w:sz w:val="19"/>
          <w:szCs w:val="20"/>
        </w:rPr>
        <w:t>:</w:t>
      </w:r>
    </w:p>
    <w:p w14:paraId="2BF57B41" w14:textId="5E22F6D5" w:rsidR="00A9025F" w:rsidRDefault="0057686F" w:rsidP="00C43350">
      <w:pPr>
        <w:pStyle w:val="Bullet1"/>
      </w:pPr>
      <w:r>
        <w:t>r</w:t>
      </w:r>
      <w:r w:rsidRPr="00C43350">
        <w:t xml:space="preserve">egistered product number </w:t>
      </w:r>
      <w:r w:rsidR="00A9025F">
        <w:rPr>
          <w:szCs w:val="20"/>
        </w:rPr>
        <w:t>38696</w:t>
      </w:r>
      <w:r w:rsidR="00A9025F">
        <w:t xml:space="preserve">, which contains neomycin, </w:t>
      </w:r>
      <w:r w:rsidR="00A9025F" w:rsidRPr="00053BAB">
        <w:rPr>
          <w:szCs w:val="20"/>
        </w:rPr>
        <w:t>novobiocin and dihydrostreptomycin</w:t>
      </w:r>
    </w:p>
    <w:p w14:paraId="3991E94F" w14:textId="246F3C08" w:rsidR="00A9025F" w:rsidRPr="00A9025F" w:rsidRDefault="0057686F" w:rsidP="00C43350">
      <w:pPr>
        <w:pStyle w:val="Bullet1"/>
      </w:pPr>
      <w:r>
        <w:t>r</w:t>
      </w:r>
      <w:r w:rsidRPr="00C43350">
        <w:t xml:space="preserve">egistered product number </w:t>
      </w:r>
      <w:r w:rsidR="00A9025F">
        <w:rPr>
          <w:szCs w:val="20"/>
        </w:rPr>
        <w:t>49851</w:t>
      </w:r>
      <w:r w:rsidR="00A9025F">
        <w:t>, which contains</w:t>
      </w:r>
      <w:r w:rsidR="00A9025F" w:rsidRPr="00047811">
        <w:t xml:space="preserve"> </w:t>
      </w:r>
      <w:r w:rsidR="00A9025F">
        <w:t xml:space="preserve">neomycin, </w:t>
      </w:r>
      <w:r w:rsidR="00A9025F" w:rsidRPr="006955F2">
        <w:rPr>
          <w:szCs w:val="20"/>
        </w:rPr>
        <w:t>oleandomycin</w:t>
      </w:r>
      <w:r w:rsidR="00A9025F">
        <w:rPr>
          <w:szCs w:val="20"/>
        </w:rPr>
        <w:t xml:space="preserve"> and</w:t>
      </w:r>
      <w:r w:rsidR="00A9025F" w:rsidRPr="006955F2">
        <w:rPr>
          <w:szCs w:val="20"/>
        </w:rPr>
        <w:t xml:space="preserve"> oxytetracycline</w:t>
      </w:r>
      <w:r w:rsidR="00A9025F">
        <w:t>.</w:t>
      </w:r>
    </w:p>
    <w:p w14:paraId="16C9D8B0" w14:textId="16EDC20E" w:rsidR="00A9025F" w:rsidRPr="00C43350" w:rsidRDefault="00A9025F" w:rsidP="00C43350">
      <w:pPr>
        <w:pStyle w:val="Heading4"/>
      </w:pPr>
      <w:r w:rsidRPr="00C43350">
        <w:lastRenderedPageBreak/>
        <w:t>Product 38696</w:t>
      </w:r>
    </w:p>
    <w:p w14:paraId="0F92D266" w14:textId="2DF8990C" w:rsidR="002D767D" w:rsidRPr="00C43350" w:rsidRDefault="00A9025F" w:rsidP="00C43350">
      <w:pPr>
        <w:pStyle w:val="APVMAText"/>
      </w:pPr>
      <w:r w:rsidRPr="00C43350">
        <w:t>Residues data is not available for cattle tissues and cattle milk for this product.</w:t>
      </w:r>
    </w:p>
    <w:p w14:paraId="15CEC076" w14:textId="540DF22E" w:rsidR="00A9025F" w:rsidRPr="00C43350" w:rsidRDefault="00A9025F" w:rsidP="00C43350">
      <w:pPr>
        <w:pStyle w:val="APVMAText"/>
      </w:pPr>
      <w:r w:rsidRPr="00C43350">
        <w:t xml:space="preserve">While residues data generated using a combination of neomycin and lincomycin is available, residues data for </w:t>
      </w:r>
      <w:r w:rsidR="00280856" w:rsidRPr="00C43350">
        <w:t>neomycin co-formulated with novobiocin and dihydrostreptomycin</w:t>
      </w:r>
      <w:r w:rsidRPr="00C43350">
        <w:t xml:space="preserve"> </w:t>
      </w:r>
      <w:r w:rsidR="00A0526E" w:rsidRPr="00C43350">
        <w:t>w</w:t>
      </w:r>
      <w:r w:rsidR="00475F24" w:rsidRPr="00C43350">
        <w:t>ere</w:t>
      </w:r>
      <w:r w:rsidR="00280856" w:rsidRPr="00C43350">
        <w:t xml:space="preserve"> not available</w:t>
      </w:r>
      <w:r w:rsidR="00475F24" w:rsidRPr="00C43350">
        <w:t>.</w:t>
      </w:r>
      <w:r w:rsidRPr="00C43350">
        <w:t xml:space="preserve"> </w:t>
      </w:r>
      <w:r w:rsidR="00280856" w:rsidRPr="00C43350">
        <w:t>In one milk study (</w:t>
      </w:r>
      <w:proofErr w:type="spellStart"/>
      <w:r w:rsidR="00E9120B" w:rsidRPr="00C43350">
        <w:t>Deluyker</w:t>
      </w:r>
      <w:proofErr w:type="spellEnd"/>
      <w:r w:rsidR="00E9120B" w:rsidRPr="00C43350">
        <w:t xml:space="preserve"> </w:t>
      </w:r>
      <w:r w:rsidR="00E9120B" w:rsidRPr="00B102FF">
        <w:rPr>
          <w:i/>
          <w:iCs/>
        </w:rPr>
        <w:t>et al</w:t>
      </w:r>
      <w:r w:rsidR="001B3EE3" w:rsidRPr="00C43350">
        <w:t>.</w:t>
      </w:r>
      <w:r w:rsidR="00E9120B" w:rsidRPr="00C43350">
        <w:t xml:space="preserve"> 1996)</w:t>
      </w:r>
      <w:r w:rsidR="00A0526E" w:rsidRPr="00C43350">
        <w:t xml:space="preserve"> </w:t>
      </w:r>
      <w:r w:rsidR="00280856" w:rsidRPr="00C43350">
        <w:t xml:space="preserve">and </w:t>
      </w:r>
      <w:r w:rsidR="00475F24" w:rsidRPr="00C43350">
        <w:t xml:space="preserve">a </w:t>
      </w:r>
      <w:r w:rsidR="00280856" w:rsidRPr="00C43350">
        <w:t>tissue study (</w:t>
      </w:r>
      <w:proofErr w:type="spellStart"/>
      <w:r w:rsidR="00E9120B" w:rsidRPr="00C43350">
        <w:t>Nouws</w:t>
      </w:r>
      <w:proofErr w:type="spellEnd"/>
      <w:r w:rsidR="00E9120B" w:rsidRPr="00C43350">
        <w:t xml:space="preserve"> </w:t>
      </w:r>
      <w:r w:rsidR="00E9120B" w:rsidRPr="00B102FF">
        <w:rPr>
          <w:i/>
          <w:iCs/>
        </w:rPr>
        <w:t>et al</w:t>
      </w:r>
      <w:r w:rsidR="001B3EE3" w:rsidRPr="00C43350">
        <w:t>.</w:t>
      </w:r>
      <w:r w:rsidR="00E9120B" w:rsidRPr="00C43350">
        <w:t xml:space="preserve"> 1997</w:t>
      </w:r>
      <w:r w:rsidR="00280856" w:rsidRPr="00C43350">
        <w:t>), neomycin was administered at 100</w:t>
      </w:r>
      <w:r w:rsidR="00B102FF">
        <w:t> </w:t>
      </w:r>
      <w:r w:rsidR="00280856" w:rsidRPr="00C43350">
        <w:t xml:space="preserve">mg neomycin in each of the </w:t>
      </w:r>
      <w:r w:rsidR="00C43350">
        <w:t>4</w:t>
      </w:r>
      <w:r w:rsidR="00C43350" w:rsidRPr="00C43350">
        <w:t xml:space="preserve"> </w:t>
      </w:r>
      <w:r w:rsidR="00280856" w:rsidRPr="00C43350">
        <w:t>quarters</w:t>
      </w:r>
      <w:r w:rsidRPr="00C43350">
        <w:t>,</w:t>
      </w:r>
      <w:r w:rsidR="00280856" w:rsidRPr="00C43350">
        <w:t xml:space="preserve"> while in the other milk study (</w:t>
      </w:r>
      <w:proofErr w:type="spellStart"/>
      <w:r w:rsidR="00E9120B" w:rsidRPr="00C43350">
        <w:t>Nouws</w:t>
      </w:r>
      <w:proofErr w:type="spellEnd"/>
      <w:r w:rsidR="00E9120B" w:rsidRPr="00C43350">
        <w:t xml:space="preserve"> </w:t>
      </w:r>
      <w:r w:rsidR="00E9120B" w:rsidRPr="00B102FF">
        <w:rPr>
          <w:i/>
          <w:iCs/>
        </w:rPr>
        <w:t>et al</w:t>
      </w:r>
      <w:r w:rsidR="00E9120B" w:rsidRPr="00C43350">
        <w:t>.1994)</w:t>
      </w:r>
      <w:r w:rsidR="00280856" w:rsidRPr="00C43350">
        <w:t xml:space="preserve"> neomycin was administered at 200</w:t>
      </w:r>
      <w:r w:rsidR="00B102FF">
        <w:t> </w:t>
      </w:r>
      <w:r w:rsidR="00280856" w:rsidRPr="00C43350">
        <w:t xml:space="preserve">mg neomycin in </w:t>
      </w:r>
      <w:r w:rsidR="00C43350">
        <w:t>2</w:t>
      </w:r>
      <w:r w:rsidR="00C43350" w:rsidRPr="00C43350">
        <w:t xml:space="preserve"> </w:t>
      </w:r>
      <w:r w:rsidR="00280856" w:rsidRPr="00C43350">
        <w:t xml:space="preserve">of the </w:t>
      </w:r>
      <w:r w:rsidR="00C43350">
        <w:t>4</w:t>
      </w:r>
      <w:r w:rsidR="00C43350" w:rsidRPr="00C43350">
        <w:t xml:space="preserve"> </w:t>
      </w:r>
      <w:r w:rsidR="00280856" w:rsidRPr="00C43350">
        <w:t xml:space="preserve">quarters. </w:t>
      </w:r>
      <w:r w:rsidRPr="00C43350">
        <w:t>These treatment regimens differ from the registered use pattern involving administration at 150</w:t>
      </w:r>
      <w:r w:rsidR="00B102FF">
        <w:t> </w:t>
      </w:r>
      <w:r w:rsidRPr="00C43350">
        <w:t xml:space="preserve">mg neomycin in up to </w:t>
      </w:r>
      <w:r w:rsidR="00C43350">
        <w:t>4</w:t>
      </w:r>
      <w:r w:rsidR="00C43350" w:rsidRPr="00C43350">
        <w:t xml:space="preserve"> </w:t>
      </w:r>
      <w:r w:rsidRPr="00C43350">
        <w:t>quarters of the udder.</w:t>
      </w:r>
    </w:p>
    <w:p w14:paraId="630A0BF2" w14:textId="016C5CD6" w:rsidR="00280856" w:rsidRPr="00C43350" w:rsidRDefault="00280856" w:rsidP="00C43350">
      <w:pPr>
        <w:pStyle w:val="APVMAText"/>
      </w:pPr>
      <w:r w:rsidRPr="00C43350">
        <w:t xml:space="preserve">Due to differences in the test formulation and treatment </w:t>
      </w:r>
      <w:r w:rsidR="00A0526E" w:rsidRPr="00C43350">
        <w:t>regimens</w:t>
      </w:r>
      <w:r w:rsidRPr="00C43350">
        <w:t xml:space="preserve"> between the residue trials</w:t>
      </w:r>
      <w:r w:rsidR="00A9025F" w:rsidRPr="00C43350">
        <w:t xml:space="preserve"> discussed above</w:t>
      </w:r>
      <w:r w:rsidRPr="00C43350">
        <w:t xml:space="preserve"> and th</w:t>
      </w:r>
      <w:r w:rsidR="00A12AAA" w:rsidRPr="00C43350">
        <w:t>is</w:t>
      </w:r>
      <w:r w:rsidRPr="00C43350">
        <w:t xml:space="preserve"> product, there is insufficient relevant residues data to enable a robust assessment of the residue depletion profile for neomycin when administered to cattle via an intramammary route; and </w:t>
      </w:r>
      <w:r w:rsidR="00266EBF" w:rsidRPr="00C43350">
        <w:t>WHP</w:t>
      </w:r>
      <w:r w:rsidRPr="00C43350">
        <w:t>s, re-treatment interval and ESI cannot be determined.</w:t>
      </w:r>
      <w:r w:rsidR="00A9025F" w:rsidRPr="00C43350">
        <w:t xml:space="preserve"> The use of product 38696 in lactating cows is therefore not supported.</w:t>
      </w:r>
    </w:p>
    <w:p w14:paraId="4658019E" w14:textId="02C714F4" w:rsidR="00A9025F" w:rsidRPr="00C43350" w:rsidRDefault="00A9025F" w:rsidP="00C43350">
      <w:pPr>
        <w:pStyle w:val="Heading4"/>
      </w:pPr>
      <w:r w:rsidRPr="00C43350">
        <w:t>Product 49851</w:t>
      </w:r>
    </w:p>
    <w:p w14:paraId="464B50A5" w14:textId="30B5F59E" w:rsidR="002D767D" w:rsidRPr="00C43350" w:rsidRDefault="00A9025F" w:rsidP="00C43350">
      <w:pPr>
        <w:pStyle w:val="APVMAText"/>
      </w:pPr>
      <w:r w:rsidRPr="00C43350">
        <w:t>Residues data is not available for cattle tissues and cattle milk for this product.</w:t>
      </w:r>
    </w:p>
    <w:p w14:paraId="30F7DE4E" w14:textId="372ABEF2" w:rsidR="00A9025F" w:rsidRPr="00C43350" w:rsidRDefault="00A9025F" w:rsidP="00C43350">
      <w:pPr>
        <w:pStyle w:val="APVMAText"/>
      </w:pPr>
      <w:r w:rsidRPr="00C43350">
        <w:t>While residues data generated using a combination of neomycin and lincomycin is available, residues data for neomycin co-formulated with oleandomycin and oxytetracycline were not available. In one milk study (</w:t>
      </w:r>
      <w:proofErr w:type="spellStart"/>
      <w:r w:rsidRPr="00C43350">
        <w:t>Deluyker</w:t>
      </w:r>
      <w:proofErr w:type="spellEnd"/>
      <w:r w:rsidRPr="00C43350">
        <w:t xml:space="preserve"> </w:t>
      </w:r>
      <w:r w:rsidRPr="00B102FF">
        <w:rPr>
          <w:i/>
          <w:iCs/>
        </w:rPr>
        <w:t>et al</w:t>
      </w:r>
      <w:r w:rsidRPr="00C43350">
        <w:t>. 1996) and the tissue study (</w:t>
      </w:r>
      <w:proofErr w:type="spellStart"/>
      <w:r w:rsidRPr="00C43350">
        <w:t>Nouws</w:t>
      </w:r>
      <w:proofErr w:type="spellEnd"/>
      <w:r w:rsidRPr="00C43350">
        <w:t xml:space="preserve"> </w:t>
      </w:r>
      <w:r w:rsidRPr="00B102FF">
        <w:rPr>
          <w:i/>
          <w:iCs/>
        </w:rPr>
        <w:t>et al</w:t>
      </w:r>
      <w:r w:rsidRPr="00C43350">
        <w:t>. 1997), neomycin was administered at 100</w:t>
      </w:r>
      <w:r w:rsidR="00B102FF">
        <w:t> </w:t>
      </w:r>
      <w:r w:rsidRPr="00C43350">
        <w:t xml:space="preserve">mg neomycin in each of the </w:t>
      </w:r>
      <w:r w:rsidR="00C43350">
        <w:t>4</w:t>
      </w:r>
      <w:r w:rsidR="00C43350" w:rsidRPr="00C43350">
        <w:t xml:space="preserve"> </w:t>
      </w:r>
      <w:r w:rsidRPr="00C43350">
        <w:t xml:space="preserve">quarters for </w:t>
      </w:r>
      <w:r w:rsidR="00C43350">
        <w:t>3</w:t>
      </w:r>
      <w:r w:rsidR="00C43350" w:rsidRPr="00C43350">
        <w:t xml:space="preserve"> </w:t>
      </w:r>
      <w:r w:rsidRPr="00C43350">
        <w:t xml:space="preserve">days, which does address this registered dose rate. Further, the milk study however involved sampling up to 120 hours (5 days) after the last infusion and therefore does not address the current milk withholding period of 7 days. Similarly for tissues, the study addressed sampling times of </w:t>
      </w:r>
      <w:r w:rsidR="00644AD6">
        <w:t>one</w:t>
      </w:r>
      <w:r w:rsidRPr="00C43350">
        <w:t>, 7, 14 and 21 days after the last infusion and does not address the current meat withholding period of 30 days.</w:t>
      </w:r>
    </w:p>
    <w:p w14:paraId="125E8B7A" w14:textId="77777777" w:rsidR="008C2A4F" w:rsidRDefault="00A9025F" w:rsidP="008C2A4F">
      <w:pPr>
        <w:pStyle w:val="APVMAText"/>
      </w:pPr>
      <w:r w:rsidRPr="00C43350">
        <w:t xml:space="preserve">Due to differences in the test formulation and treatment regimens between the residue trials discussed above and </w:t>
      </w:r>
      <w:r w:rsidR="00A12AAA" w:rsidRPr="00C43350">
        <w:t>this</w:t>
      </w:r>
      <w:r w:rsidRPr="00C43350">
        <w:t xml:space="preserve"> product, there is insufficient relevant residues data to enable a robust assessment of the residue depletion profile for neomycin when administered to cattle via an intramammary route; and WHPs, re-treatment interval and ESI cannot be determined. The use of product 49851</w:t>
      </w:r>
      <w:r w:rsidR="00763D05" w:rsidRPr="00C43350">
        <w:t xml:space="preserve"> </w:t>
      </w:r>
      <w:r w:rsidRPr="00C43350">
        <w:t>in lactating cows is therefore not supported.</w:t>
      </w:r>
      <w:bookmarkStart w:id="97" w:name="_Toc152266115"/>
      <w:r w:rsidR="008C2A4F">
        <w:br w:type="page"/>
      </w:r>
    </w:p>
    <w:p w14:paraId="394C9083" w14:textId="14DD8C5D" w:rsidR="00A77489" w:rsidRPr="00B102FF" w:rsidRDefault="00A77489" w:rsidP="008C2A4F">
      <w:pPr>
        <w:pStyle w:val="Heading2"/>
      </w:pPr>
      <w:bookmarkStart w:id="98" w:name="_Toc158818266"/>
      <w:r w:rsidRPr="00B102FF">
        <w:lastRenderedPageBreak/>
        <w:t>Trade consideration</w:t>
      </w:r>
      <w:bookmarkEnd w:id="97"/>
      <w:r w:rsidR="00853764">
        <w:t>s</w:t>
      </w:r>
      <w:bookmarkEnd w:id="98"/>
    </w:p>
    <w:p w14:paraId="4950D28C" w14:textId="1E49D91B" w:rsidR="00A77489" w:rsidRPr="00C43350" w:rsidRDefault="00A77489" w:rsidP="00C43350">
      <w:pPr>
        <w:pStyle w:val="APVMAText"/>
      </w:pPr>
      <w:bookmarkStart w:id="99" w:name="_Hlk151904918"/>
      <w:r w:rsidRPr="00C43350">
        <w:t xml:space="preserve">Commodities of animal origin, such as meat, offal and dairy products </w:t>
      </w:r>
      <w:proofErr w:type="gramStart"/>
      <w:r w:rsidRPr="00C43350">
        <w:t>are considered to be</w:t>
      </w:r>
      <w:proofErr w:type="gramEnd"/>
      <w:r w:rsidRPr="00C43350">
        <w:t xml:space="preserve"> major export commodities. Residues in these commodities resulting from the veterinary uses of neomycin may have the potential to unduly prejudice international trade. Cattle, pig, sheep, goat and poultry tissues, cattle dairy product, and eggs are indicated as major Australian export food commodities. The significant export markets for Australian beef, sheep, pig and offal are listed in the </w:t>
      </w:r>
      <w:r w:rsidR="001B3EE3" w:rsidRPr="00C43350">
        <w:rPr>
          <w:rStyle w:val="Hyperlink"/>
        </w:rPr>
        <w:t>Agricultural</w:t>
      </w:r>
      <w:hyperlink r:id="rId38" w:history="1">
        <w:r w:rsidRPr="00FE6AAC">
          <w:rPr>
            <w:rStyle w:val="Hyperlink"/>
          </w:rPr>
          <w:t xml:space="preserve"> Data Guidelines</w:t>
        </w:r>
        <w:r w:rsidR="001B3EE3" w:rsidRPr="00FE6AAC">
          <w:rPr>
            <w:rStyle w:val="Hyperlink"/>
          </w:rPr>
          <w:t xml:space="preserve"> – Pesticides:</w:t>
        </w:r>
        <w:r w:rsidRPr="00FE6AAC">
          <w:rPr>
            <w:rStyle w:val="Hyperlink"/>
          </w:rPr>
          <w:t xml:space="preserve"> Overseas trade (Part 5B).</w:t>
        </w:r>
      </w:hyperlink>
    </w:p>
    <w:p w14:paraId="3CAA2059" w14:textId="0AA4334F" w:rsidR="00A77489" w:rsidRPr="00C43350" w:rsidRDefault="00A77489" w:rsidP="00C43350">
      <w:pPr>
        <w:pStyle w:val="APVMAText"/>
      </w:pPr>
      <w:r w:rsidRPr="00C43350">
        <w:t xml:space="preserve">The MRLs in Table </w:t>
      </w:r>
      <w:r w:rsidR="00853764">
        <w:t>14</w:t>
      </w:r>
      <w:r w:rsidR="00853764" w:rsidRPr="00C43350">
        <w:t xml:space="preserve"> </w:t>
      </w:r>
      <w:r w:rsidRPr="00C43350">
        <w:t xml:space="preserve">have been established in major trading markets for meat, milk, </w:t>
      </w:r>
      <w:proofErr w:type="gramStart"/>
      <w:r w:rsidRPr="00C43350">
        <w:t>eggs</w:t>
      </w:r>
      <w:proofErr w:type="gramEnd"/>
      <w:r w:rsidRPr="00C43350">
        <w:t xml:space="preserve"> and offal products.</w:t>
      </w:r>
    </w:p>
    <w:p w14:paraId="65A7C7DA" w14:textId="34650F56" w:rsidR="00A77489" w:rsidRPr="00C43350" w:rsidRDefault="00E9120B" w:rsidP="00C43350">
      <w:pPr>
        <w:pStyle w:val="Caption"/>
      </w:pPr>
      <w:bookmarkStart w:id="100" w:name="_Toc158818303"/>
      <w:r w:rsidRPr="00C43350">
        <w:t xml:space="preserve">Table </w:t>
      </w:r>
      <w:fldSimple w:instr=" SEQ Table \* ARABIC ">
        <w:r w:rsidR="00A75CD4">
          <w:rPr>
            <w:noProof/>
          </w:rPr>
          <w:t>14</w:t>
        </w:r>
      </w:fldSimple>
      <w:r w:rsidRPr="00C43350">
        <w:t>:</w:t>
      </w:r>
      <w:r w:rsidR="009C3C7F" w:rsidRPr="00C43350">
        <w:tab/>
      </w:r>
      <w:r w:rsidRPr="00C43350">
        <w:t>Neomycin MRLs in some of Australia’s major trading markets for animal commodities</w:t>
      </w:r>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7"/>
        <w:gridCol w:w="1275"/>
        <w:gridCol w:w="1139"/>
        <w:gridCol w:w="1131"/>
        <w:gridCol w:w="143"/>
        <w:gridCol w:w="1131"/>
        <w:gridCol w:w="1275"/>
        <w:gridCol w:w="986"/>
      </w:tblGrid>
      <w:tr w:rsidR="00A0526E" w:rsidRPr="00053BAB" w14:paraId="7EDF5466" w14:textId="77777777" w:rsidTr="00E043B4">
        <w:trPr>
          <w:cantSplit/>
          <w:trHeight w:val="352"/>
        </w:trPr>
        <w:tc>
          <w:tcPr>
            <w:tcW w:w="662" w:type="pct"/>
            <w:vMerge w:val="restart"/>
            <w:tcBorders>
              <w:left w:val="nil"/>
            </w:tcBorders>
            <w:shd w:val="clear" w:color="auto" w:fill="5C2946"/>
          </w:tcPr>
          <w:p w14:paraId="6793918E" w14:textId="77777777" w:rsidR="00A0526E" w:rsidRPr="00C43350" w:rsidRDefault="00A0526E" w:rsidP="00C43350">
            <w:pPr>
              <w:pStyle w:val="TableHead"/>
            </w:pPr>
            <w:r w:rsidRPr="00C43350">
              <w:t>Commodity</w:t>
            </w:r>
          </w:p>
        </w:tc>
        <w:tc>
          <w:tcPr>
            <w:tcW w:w="4338" w:type="pct"/>
            <w:gridSpan w:val="8"/>
            <w:shd w:val="clear" w:color="auto" w:fill="5C2946"/>
          </w:tcPr>
          <w:p w14:paraId="2343E61B" w14:textId="77777777" w:rsidR="00A0526E" w:rsidRPr="00C43350" w:rsidRDefault="00A0526E" w:rsidP="00C43350">
            <w:pPr>
              <w:pStyle w:val="TableHeadRight"/>
            </w:pPr>
            <w:r w:rsidRPr="00C43350">
              <w:t>Neomycin MRLs (mg/kg)</w:t>
            </w:r>
          </w:p>
        </w:tc>
      </w:tr>
      <w:tr w:rsidR="00031F04" w:rsidRPr="00053BAB" w14:paraId="5A8DF768" w14:textId="77777777" w:rsidTr="0057686F">
        <w:trPr>
          <w:cantSplit/>
          <w:trHeight w:val="352"/>
        </w:trPr>
        <w:tc>
          <w:tcPr>
            <w:tcW w:w="662" w:type="pct"/>
            <w:vMerge/>
            <w:tcBorders>
              <w:left w:val="nil"/>
              <w:right w:val="nil"/>
            </w:tcBorders>
            <w:shd w:val="clear" w:color="auto" w:fill="5C2946"/>
          </w:tcPr>
          <w:p w14:paraId="58B5CEE7" w14:textId="77777777" w:rsidR="00A0526E" w:rsidRPr="00CC1827" w:rsidRDefault="00A0526E" w:rsidP="00CC1827">
            <w:pPr>
              <w:pStyle w:val="TableHead"/>
              <w:rPr>
                <w:color w:val="FFFFFF"/>
              </w:rPr>
            </w:pPr>
          </w:p>
        </w:tc>
        <w:tc>
          <w:tcPr>
            <w:tcW w:w="663" w:type="pct"/>
            <w:tcBorders>
              <w:left w:val="nil"/>
              <w:bottom w:val="single" w:sz="4" w:space="0" w:color="auto"/>
              <w:right w:val="nil"/>
            </w:tcBorders>
            <w:shd w:val="clear" w:color="auto" w:fill="5C2946"/>
          </w:tcPr>
          <w:p w14:paraId="51CF6BE1" w14:textId="00FFB352" w:rsidR="00A0526E" w:rsidRPr="00C43350" w:rsidRDefault="001B3EE3" w:rsidP="00C43350">
            <w:pPr>
              <w:pStyle w:val="TableHeadRight"/>
            </w:pPr>
            <w:r w:rsidRPr="00C43350">
              <w:t xml:space="preserve">Australia </w:t>
            </w:r>
            <w:r w:rsidR="00A0526E" w:rsidRPr="00C43350">
              <w:t>(current)</w:t>
            </w:r>
          </w:p>
        </w:tc>
        <w:tc>
          <w:tcPr>
            <w:tcW w:w="662" w:type="pct"/>
            <w:tcBorders>
              <w:left w:val="nil"/>
              <w:bottom w:val="single" w:sz="4" w:space="0" w:color="auto"/>
              <w:right w:val="nil"/>
            </w:tcBorders>
            <w:shd w:val="clear" w:color="auto" w:fill="5C2946"/>
          </w:tcPr>
          <w:p w14:paraId="1D6A6929" w14:textId="77777777" w:rsidR="00A0526E" w:rsidRPr="00C43350" w:rsidRDefault="00A0526E" w:rsidP="00C43350">
            <w:pPr>
              <w:pStyle w:val="TableHeadRight"/>
            </w:pPr>
            <w:r w:rsidRPr="00C43350">
              <w:t>Australia (proposed)</w:t>
            </w:r>
          </w:p>
        </w:tc>
        <w:tc>
          <w:tcPr>
            <w:tcW w:w="591" w:type="pct"/>
            <w:tcBorders>
              <w:left w:val="nil"/>
              <w:bottom w:val="single" w:sz="4" w:space="0" w:color="auto"/>
              <w:right w:val="nil"/>
            </w:tcBorders>
            <w:shd w:val="clear" w:color="auto" w:fill="5C2946"/>
          </w:tcPr>
          <w:p w14:paraId="16511C3E" w14:textId="34CF73B8" w:rsidR="00A0526E" w:rsidRPr="00C43350" w:rsidRDefault="00A0526E" w:rsidP="00C43350">
            <w:pPr>
              <w:pStyle w:val="TableHeadRight"/>
            </w:pPr>
            <w:r w:rsidRPr="00C43350">
              <w:t>CODEX</w:t>
            </w:r>
            <w:r w:rsidR="00E043B4" w:rsidRPr="00E043B4">
              <w:rPr>
                <w:vertAlign w:val="superscript"/>
              </w:rPr>
              <w:fldChar w:fldCharType="begin"/>
            </w:r>
            <w:r w:rsidR="00E043B4" w:rsidRPr="00E043B4">
              <w:rPr>
                <w:vertAlign w:val="superscript"/>
              </w:rPr>
              <w:instrText xml:space="preserve"> NOTEREF _Ref158820300 \h </w:instrText>
            </w:r>
            <w:r w:rsidR="00E043B4">
              <w:rPr>
                <w:vertAlign w:val="superscript"/>
              </w:rPr>
              <w:instrText xml:space="preserve"> \* MERGEFORMAT </w:instrText>
            </w:r>
            <w:r w:rsidR="00E043B4" w:rsidRPr="00E043B4">
              <w:rPr>
                <w:vertAlign w:val="superscript"/>
              </w:rPr>
            </w:r>
            <w:r w:rsidR="00E043B4" w:rsidRPr="00E043B4">
              <w:rPr>
                <w:vertAlign w:val="superscript"/>
              </w:rPr>
              <w:fldChar w:fldCharType="separate"/>
            </w:r>
            <w:r w:rsidR="00A75CD4">
              <w:rPr>
                <w:vertAlign w:val="superscript"/>
              </w:rPr>
              <w:t>1</w:t>
            </w:r>
            <w:r w:rsidR="00E043B4" w:rsidRPr="00E043B4">
              <w:rPr>
                <w:vertAlign w:val="superscript"/>
              </w:rPr>
              <w:fldChar w:fldCharType="end"/>
            </w:r>
          </w:p>
        </w:tc>
        <w:tc>
          <w:tcPr>
            <w:tcW w:w="587" w:type="pct"/>
            <w:tcBorders>
              <w:left w:val="nil"/>
              <w:bottom w:val="single" w:sz="4" w:space="0" w:color="auto"/>
              <w:right w:val="nil"/>
            </w:tcBorders>
            <w:shd w:val="clear" w:color="auto" w:fill="5C2946"/>
          </w:tcPr>
          <w:p w14:paraId="40B541E7" w14:textId="60A1808B" w:rsidR="00A0526E" w:rsidRPr="00C43350" w:rsidRDefault="00A0526E" w:rsidP="00C43350">
            <w:pPr>
              <w:pStyle w:val="TableHeadRight"/>
            </w:pPr>
            <w:r w:rsidRPr="00C43350">
              <w:t>USA</w:t>
            </w:r>
            <w:r w:rsidR="00E043B4" w:rsidRPr="00E043B4">
              <w:rPr>
                <w:vertAlign w:val="superscript"/>
              </w:rPr>
              <w:fldChar w:fldCharType="begin"/>
            </w:r>
            <w:r w:rsidR="00E043B4" w:rsidRPr="00E043B4">
              <w:rPr>
                <w:vertAlign w:val="superscript"/>
              </w:rPr>
              <w:instrText xml:space="preserve"> NOTEREF _Ref158820315 \h </w:instrText>
            </w:r>
            <w:r w:rsidR="00E043B4">
              <w:rPr>
                <w:vertAlign w:val="superscript"/>
              </w:rPr>
              <w:instrText xml:space="preserve"> \* MERGEFORMAT </w:instrText>
            </w:r>
            <w:r w:rsidR="00E043B4" w:rsidRPr="00E043B4">
              <w:rPr>
                <w:vertAlign w:val="superscript"/>
              </w:rPr>
            </w:r>
            <w:r w:rsidR="00E043B4" w:rsidRPr="00E043B4">
              <w:rPr>
                <w:vertAlign w:val="superscript"/>
              </w:rPr>
              <w:fldChar w:fldCharType="separate"/>
            </w:r>
            <w:r w:rsidR="00A75CD4">
              <w:rPr>
                <w:vertAlign w:val="superscript"/>
              </w:rPr>
              <w:t>2</w:t>
            </w:r>
            <w:r w:rsidR="00E043B4" w:rsidRPr="00E043B4">
              <w:rPr>
                <w:vertAlign w:val="superscript"/>
              </w:rPr>
              <w:fldChar w:fldCharType="end"/>
            </w:r>
          </w:p>
        </w:tc>
        <w:tc>
          <w:tcPr>
            <w:tcW w:w="661" w:type="pct"/>
            <w:gridSpan w:val="2"/>
            <w:tcBorders>
              <w:left w:val="nil"/>
              <w:bottom w:val="single" w:sz="4" w:space="0" w:color="auto"/>
              <w:right w:val="nil"/>
            </w:tcBorders>
            <w:shd w:val="clear" w:color="auto" w:fill="5C2946"/>
          </w:tcPr>
          <w:p w14:paraId="04AE0A6C" w14:textId="1306CD6E" w:rsidR="00A0526E" w:rsidRPr="00C43350" w:rsidRDefault="00A0526E" w:rsidP="00C43350">
            <w:pPr>
              <w:pStyle w:val="TableHeadRight"/>
            </w:pPr>
            <w:r w:rsidRPr="00C43350">
              <w:t>EU</w:t>
            </w:r>
            <w:r w:rsidR="00E043B4" w:rsidRPr="00E043B4">
              <w:rPr>
                <w:vertAlign w:val="superscript"/>
              </w:rPr>
              <w:fldChar w:fldCharType="begin"/>
            </w:r>
            <w:r w:rsidR="00E043B4" w:rsidRPr="00E043B4">
              <w:rPr>
                <w:vertAlign w:val="superscript"/>
              </w:rPr>
              <w:instrText xml:space="preserve"> NOTEREF _Ref158820322 \h </w:instrText>
            </w:r>
            <w:r w:rsidR="00E043B4">
              <w:rPr>
                <w:vertAlign w:val="superscript"/>
              </w:rPr>
              <w:instrText xml:space="preserve"> \* MERGEFORMAT </w:instrText>
            </w:r>
            <w:r w:rsidR="00E043B4" w:rsidRPr="00E043B4">
              <w:rPr>
                <w:vertAlign w:val="superscript"/>
              </w:rPr>
            </w:r>
            <w:r w:rsidR="00E043B4" w:rsidRPr="00E043B4">
              <w:rPr>
                <w:vertAlign w:val="superscript"/>
              </w:rPr>
              <w:fldChar w:fldCharType="separate"/>
            </w:r>
            <w:r w:rsidR="00A75CD4">
              <w:rPr>
                <w:vertAlign w:val="superscript"/>
              </w:rPr>
              <w:t>3</w:t>
            </w:r>
            <w:r w:rsidR="00E043B4" w:rsidRPr="00E043B4">
              <w:rPr>
                <w:vertAlign w:val="superscript"/>
              </w:rPr>
              <w:fldChar w:fldCharType="end"/>
            </w:r>
          </w:p>
        </w:tc>
        <w:tc>
          <w:tcPr>
            <w:tcW w:w="662" w:type="pct"/>
            <w:tcBorders>
              <w:left w:val="nil"/>
              <w:bottom w:val="single" w:sz="4" w:space="0" w:color="auto"/>
              <w:right w:val="nil"/>
            </w:tcBorders>
            <w:shd w:val="clear" w:color="auto" w:fill="5C2946"/>
          </w:tcPr>
          <w:p w14:paraId="23D279FF" w14:textId="353BC183" w:rsidR="00A0526E" w:rsidRPr="00C43350" w:rsidRDefault="00A0526E" w:rsidP="00C43350">
            <w:pPr>
              <w:pStyle w:val="TableHeadRight"/>
            </w:pPr>
            <w:r w:rsidRPr="00C43350">
              <w:t>Japan</w:t>
            </w:r>
            <w:r w:rsidR="00E043B4" w:rsidRPr="00E043B4">
              <w:rPr>
                <w:vertAlign w:val="superscript"/>
              </w:rPr>
              <w:fldChar w:fldCharType="begin"/>
            </w:r>
            <w:r w:rsidR="00E043B4" w:rsidRPr="00E043B4">
              <w:rPr>
                <w:vertAlign w:val="superscript"/>
              </w:rPr>
              <w:instrText xml:space="preserve"> NOTEREF _Ref158820335 \h </w:instrText>
            </w:r>
            <w:r w:rsidR="00E043B4">
              <w:rPr>
                <w:vertAlign w:val="superscript"/>
              </w:rPr>
              <w:instrText xml:space="preserve"> \* MERGEFORMAT </w:instrText>
            </w:r>
            <w:r w:rsidR="00E043B4" w:rsidRPr="00E043B4">
              <w:rPr>
                <w:vertAlign w:val="superscript"/>
              </w:rPr>
            </w:r>
            <w:r w:rsidR="00E043B4" w:rsidRPr="00E043B4">
              <w:rPr>
                <w:vertAlign w:val="superscript"/>
              </w:rPr>
              <w:fldChar w:fldCharType="separate"/>
            </w:r>
            <w:r w:rsidR="00A75CD4">
              <w:rPr>
                <w:vertAlign w:val="superscript"/>
              </w:rPr>
              <w:t>4</w:t>
            </w:r>
            <w:r w:rsidR="00E043B4" w:rsidRPr="00E043B4">
              <w:rPr>
                <w:vertAlign w:val="superscript"/>
              </w:rPr>
              <w:fldChar w:fldCharType="end"/>
            </w:r>
          </w:p>
        </w:tc>
        <w:tc>
          <w:tcPr>
            <w:tcW w:w="512" w:type="pct"/>
            <w:tcBorders>
              <w:left w:val="nil"/>
              <w:bottom w:val="single" w:sz="4" w:space="0" w:color="auto"/>
              <w:right w:val="nil"/>
            </w:tcBorders>
            <w:shd w:val="clear" w:color="auto" w:fill="5C2946"/>
          </w:tcPr>
          <w:p w14:paraId="5C9EFE48" w14:textId="2EDE994B" w:rsidR="00A0526E" w:rsidRPr="00C43350" w:rsidRDefault="00A0526E" w:rsidP="00C43350">
            <w:pPr>
              <w:pStyle w:val="TableHeadRight"/>
            </w:pPr>
            <w:r w:rsidRPr="00C43350">
              <w:t>Korea</w:t>
            </w:r>
            <w:r w:rsidR="00E043B4" w:rsidRPr="00E043B4">
              <w:rPr>
                <w:vertAlign w:val="superscript"/>
              </w:rPr>
              <w:fldChar w:fldCharType="begin"/>
            </w:r>
            <w:r w:rsidR="00E043B4" w:rsidRPr="00E043B4">
              <w:rPr>
                <w:vertAlign w:val="superscript"/>
              </w:rPr>
              <w:instrText xml:space="preserve"> NOTEREF _Ref158820343 \h </w:instrText>
            </w:r>
            <w:r w:rsidR="00E043B4">
              <w:rPr>
                <w:vertAlign w:val="superscript"/>
              </w:rPr>
              <w:instrText xml:space="preserve"> \* MERGEFORMAT </w:instrText>
            </w:r>
            <w:r w:rsidR="00E043B4" w:rsidRPr="00E043B4">
              <w:rPr>
                <w:vertAlign w:val="superscript"/>
              </w:rPr>
            </w:r>
            <w:r w:rsidR="00E043B4" w:rsidRPr="00E043B4">
              <w:rPr>
                <w:vertAlign w:val="superscript"/>
              </w:rPr>
              <w:fldChar w:fldCharType="separate"/>
            </w:r>
            <w:r w:rsidR="00A75CD4">
              <w:rPr>
                <w:vertAlign w:val="superscript"/>
              </w:rPr>
              <w:t>5</w:t>
            </w:r>
            <w:r w:rsidR="00E043B4" w:rsidRPr="00E043B4">
              <w:rPr>
                <w:vertAlign w:val="superscript"/>
              </w:rPr>
              <w:fldChar w:fldCharType="end"/>
            </w:r>
          </w:p>
        </w:tc>
      </w:tr>
      <w:tr w:rsidR="00031F04" w:rsidRPr="00053BAB" w14:paraId="128A477E" w14:textId="77777777" w:rsidTr="0057686F">
        <w:trPr>
          <w:cantSplit/>
          <w:trHeight w:val="352"/>
        </w:trPr>
        <w:tc>
          <w:tcPr>
            <w:tcW w:w="662" w:type="pct"/>
            <w:vMerge/>
            <w:tcBorders>
              <w:left w:val="nil"/>
              <w:bottom w:val="single" w:sz="4" w:space="0" w:color="auto"/>
              <w:right w:val="nil"/>
            </w:tcBorders>
            <w:shd w:val="clear" w:color="auto" w:fill="5C2946"/>
          </w:tcPr>
          <w:p w14:paraId="1359362A" w14:textId="77777777" w:rsidR="00A0526E" w:rsidRPr="00053BAB" w:rsidRDefault="00A0526E" w:rsidP="00053BAB">
            <w:pPr>
              <w:pStyle w:val="APVMATableText"/>
              <w:rPr>
                <w:sz w:val="18"/>
                <w:szCs w:val="18"/>
              </w:rPr>
            </w:pPr>
          </w:p>
        </w:tc>
        <w:tc>
          <w:tcPr>
            <w:tcW w:w="663" w:type="pct"/>
            <w:tcBorders>
              <w:left w:val="nil"/>
              <w:bottom w:val="single" w:sz="4" w:space="0" w:color="auto"/>
              <w:right w:val="nil"/>
            </w:tcBorders>
            <w:shd w:val="clear" w:color="auto" w:fill="auto"/>
          </w:tcPr>
          <w:p w14:paraId="607F9384" w14:textId="77777777" w:rsidR="00A0526E" w:rsidRPr="00CC1827" w:rsidRDefault="00A0526E" w:rsidP="00C43350">
            <w:pPr>
              <w:pStyle w:val="TableSubHead"/>
              <w:jc w:val="right"/>
            </w:pPr>
            <w:r w:rsidRPr="00CC1827">
              <w:t>Inhibitory substance, identified as neomycin</w:t>
            </w:r>
          </w:p>
        </w:tc>
        <w:tc>
          <w:tcPr>
            <w:tcW w:w="662" w:type="pct"/>
            <w:tcBorders>
              <w:left w:val="nil"/>
              <w:bottom w:val="single" w:sz="4" w:space="0" w:color="auto"/>
              <w:right w:val="nil"/>
            </w:tcBorders>
            <w:shd w:val="clear" w:color="auto" w:fill="auto"/>
          </w:tcPr>
          <w:p w14:paraId="194B19E1" w14:textId="77777777" w:rsidR="00A0526E" w:rsidRPr="00CC1827" w:rsidRDefault="00A0526E" w:rsidP="00C43350">
            <w:pPr>
              <w:pStyle w:val="TableSubHead"/>
              <w:jc w:val="right"/>
            </w:pPr>
            <w:r w:rsidRPr="00CC1827">
              <w:t>Neomycin</w:t>
            </w:r>
          </w:p>
        </w:tc>
        <w:tc>
          <w:tcPr>
            <w:tcW w:w="591" w:type="pct"/>
            <w:tcBorders>
              <w:left w:val="nil"/>
              <w:bottom w:val="single" w:sz="4" w:space="0" w:color="auto"/>
              <w:right w:val="nil"/>
            </w:tcBorders>
            <w:shd w:val="clear" w:color="auto" w:fill="auto"/>
          </w:tcPr>
          <w:p w14:paraId="712C87EE" w14:textId="77777777" w:rsidR="00A0526E" w:rsidRPr="00CC1827" w:rsidRDefault="00A0526E" w:rsidP="00C43350">
            <w:pPr>
              <w:pStyle w:val="TableSubHead"/>
              <w:jc w:val="right"/>
            </w:pPr>
            <w:r w:rsidRPr="00CC1827">
              <w:t>Neomycin</w:t>
            </w:r>
          </w:p>
        </w:tc>
        <w:tc>
          <w:tcPr>
            <w:tcW w:w="587" w:type="pct"/>
            <w:tcBorders>
              <w:left w:val="nil"/>
              <w:bottom w:val="single" w:sz="4" w:space="0" w:color="auto"/>
              <w:right w:val="nil"/>
            </w:tcBorders>
            <w:shd w:val="clear" w:color="auto" w:fill="auto"/>
          </w:tcPr>
          <w:p w14:paraId="5467A255" w14:textId="77777777" w:rsidR="00A0526E" w:rsidRPr="00CC1827" w:rsidRDefault="00A0526E" w:rsidP="00C43350">
            <w:pPr>
              <w:pStyle w:val="TableSubHead"/>
              <w:jc w:val="right"/>
            </w:pPr>
            <w:r w:rsidRPr="00CC1827">
              <w:t>Neomycin</w:t>
            </w:r>
          </w:p>
        </w:tc>
        <w:tc>
          <w:tcPr>
            <w:tcW w:w="661" w:type="pct"/>
            <w:gridSpan w:val="2"/>
            <w:tcBorders>
              <w:left w:val="nil"/>
              <w:bottom w:val="single" w:sz="4" w:space="0" w:color="auto"/>
              <w:right w:val="nil"/>
            </w:tcBorders>
            <w:shd w:val="clear" w:color="auto" w:fill="auto"/>
          </w:tcPr>
          <w:p w14:paraId="26CB6DDF" w14:textId="77777777" w:rsidR="00A0526E" w:rsidRPr="00CC1827" w:rsidRDefault="00A0526E" w:rsidP="00C43350">
            <w:pPr>
              <w:pStyle w:val="TableSubHead"/>
              <w:jc w:val="right"/>
            </w:pPr>
            <w:r w:rsidRPr="00CC1827">
              <w:t>Neomycin B</w:t>
            </w:r>
          </w:p>
        </w:tc>
        <w:tc>
          <w:tcPr>
            <w:tcW w:w="662" w:type="pct"/>
            <w:tcBorders>
              <w:left w:val="nil"/>
              <w:bottom w:val="single" w:sz="4" w:space="0" w:color="auto"/>
              <w:right w:val="nil"/>
            </w:tcBorders>
            <w:shd w:val="clear" w:color="auto" w:fill="auto"/>
          </w:tcPr>
          <w:p w14:paraId="6542D96E" w14:textId="77777777" w:rsidR="00A0526E" w:rsidRPr="00CC1827" w:rsidRDefault="00A0526E" w:rsidP="00C43350">
            <w:pPr>
              <w:pStyle w:val="TableSubHead"/>
              <w:jc w:val="right"/>
            </w:pPr>
            <w:r w:rsidRPr="00CC1827">
              <w:t>Neomycin B</w:t>
            </w:r>
          </w:p>
        </w:tc>
        <w:tc>
          <w:tcPr>
            <w:tcW w:w="512" w:type="pct"/>
            <w:tcBorders>
              <w:left w:val="nil"/>
              <w:bottom w:val="single" w:sz="4" w:space="0" w:color="auto"/>
              <w:right w:val="nil"/>
            </w:tcBorders>
            <w:shd w:val="clear" w:color="auto" w:fill="auto"/>
          </w:tcPr>
          <w:p w14:paraId="509C2D7F" w14:textId="77777777" w:rsidR="00A0526E" w:rsidRPr="00CC1827" w:rsidRDefault="00A0526E" w:rsidP="00C43350">
            <w:pPr>
              <w:pStyle w:val="TableSubHead"/>
              <w:jc w:val="right"/>
            </w:pPr>
          </w:p>
        </w:tc>
      </w:tr>
      <w:tr w:rsidR="00031F04" w:rsidRPr="00053BAB" w14:paraId="4BD861CA" w14:textId="77777777" w:rsidTr="00E043B4">
        <w:trPr>
          <w:cantSplit/>
          <w:trHeight w:val="2261"/>
        </w:trPr>
        <w:tc>
          <w:tcPr>
            <w:tcW w:w="662" w:type="pct"/>
            <w:tcBorders>
              <w:left w:val="nil"/>
              <w:right w:val="nil"/>
            </w:tcBorders>
            <w:shd w:val="clear" w:color="auto" w:fill="auto"/>
          </w:tcPr>
          <w:p w14:paraId="5DE564E5" w14:textId="77777777" w:rsidR="00A77489" w:rsidRPr="00CC1827" w:rsidRDefault="00A77489" w:rsidP="00C43350">
            <w:pPr>
              <w:pStyle w:val="TableSubHead"/>
              <w:keepNext w:val="0"/>
              <w:keepLines w:val="0"/>
              <w:widowControl w:val="0"/>
              <w:suppressAutoHyphens w:val="0"/>
            </w:pPr>
            <w:r w:rsidRPr="00CC1827">
              <w:t>Cattle tissues</w:t>
            </w:r>
          </w:p>
        </w:tc>
        <w:tc>
          <w:tcPr>
            <w:tcW w:w="663" w:type="pct"/>
            <w:tcBorders>
              <w:left w:val="nil"/>
              <w:right w:val="nil"/>
            </w:tcBorders>
            <w:shd w:val="clear" w:color="auto" w:fill="auto"/>
          </w:tcPr>
          <w:p w14:paraId="5545CBD3" w14:textId="2B42E26A" w:rsidR="00A77489" w:rsidRPr="00CC1827" w:rsidRDefault="00A77489" w:rsidP="00B102FF">
            <w:pPr>
              <w:pStyle w:val="APVMATableTextRight"/>
              <w:widowControl w:val="0"/>
              <w:suppressAutoHyphens w:val="0"/>
            </w:pPr>
            <w:r w:rsidRPr="00CC1827">
              <w:t>Kidney T10</w:t>
            </w:r>
            <w:r w:rsidR="00B102FF">
              <w:br/>
            </w:r>
            <w:r w:rsidRPr="00CC1827">
              <w:t>Liver T0.5</w:t>
            </w:r>
            <w:r w:rsidR="00B102FF">
              <w:br/>
            </w:r>
            <w:r w:rsidRPr="00CC1827">
              <w:t>Mammalian fats {except Milk fat} T0.5</w:t>
            </w:r>
            <w:r w:rsidR="00B102FF">
              <w:br/>
            </w:r>
            <w:r w:rsidRPr="00CC1827">
              <w:t>Meat (mammalian) T0.5</w:t>
            </w:r>
          </w:p>
        </w:tc>
        <w:tc>
          <w:tcPr>
            <w:tcW w:w="662" w:type="pct"/>
            <w:tcBorders>
              <w:left w:val="nil"/>
              <w:right w:val="nil"/>
            </w:tcBorders>
            <w:shd w:val="clear" w:color="auto" w:fill="auto"/>
          </w:tcPr>
          <w:p w14:paraId="07541C1D" w14:textId="5043131E" w:rsidR="00A77489" w:rsidRPr="00CC1827" w:rsidRDefault="00A77489" w:rsidP="00B102FF">
            <w:pPr>
              <w:pStyle w:val="APVMATableTextRight"/>
              <w:widowControl w:val="0"/>
              <w:suppressAutoHyphens w:val="0"/>
            </w:pPr>
            <w:r w:rsidRPr="00CC1827">
              <w:t>Kidney 10</w:t>
            </w:r>
            <w:r w:rsidR="00B102FF">
              <w:br/>
            </w:r>
            <w:r w:rsidRPr="00CC1827">
              <w:t>Muscle *0.08</w:t>
            </w:r>
            <w:r w:rsidR="00B102FF">
              <w:br/>
            </w:r>
            <w:r w:rsidRPr="00CC1827">
              <w:t>Fat *0.1</w:t>
            </w:r>
            <w:r w:rsidR="00B102FF">
              <w:br/>
            </w:r>
            <w:r w:rsidRPr="00CC1827">
              <w:t>Liver 1.3</w:t>
            </w:r>
          </w:p>
        </w:tc>
        <w:tc>
          <w:tcPr>
            <w:tcW w:w="591" w:type="pct"/>
            <w:tcBorders>
              <w:left w:val="nil"/>
              <w:right w:val="nil"/>
            </w:tcBorders>
            <w:shd w:val="clear" w:color="auto" w:fill="auto"/>
          </w:tcPr>
          <w:p w14:paraId="0C17F5DB" w14:textId="1A6CA024" w:rsidR="00A77489" w:rsidRPr="00CC1827" w:rsidRDefault="00A77489" w:rsidP="00B102FF">
            <w:pPr>
              <w:pStyle w:val="APVMATableTextRight"/>
              <w:widowControl w:val="0"/>
              <w:suppressAutoHyphens w:val="0"/>
            </w:pPr>
            <w:r w:rsidRPr="00CC1827">
              <w:t>Kidney 10</w:t>
            </w:r>
            <w:r w:rsidR="00B102FF">
              <w:br/>
            </w:r>
            <w:r w:rsidRPr="00CC1827">
              <w:t>Muscle 0.5</w:t>
            </w:r>
            <w:r w:rsidR="00B102FF">
              <w:br/>
            </w:r>
            <w:r w:rsidRPr="00CC1827">
              <w:t>Fat 0.5</w:t>
            </w:r>
            <w:r w:rsidR="00B102FF">
              <w:br/>
            </w:r>
            <w:r w:rsidRPr="00CC1827">
              <w:t>Liver 0.5</w:t>
            </w:r>
          </w:p>
        </w:tc>
        <w:tc>
          <w:tcPr>
            <w:tcW w:w="587" w:type="pct"/>
            <w:tcBorders>
              <w:left w:val="nil"/>
              <w:right w:val="nil"/>
            </w:tcBorders>
            <w:shd w:val="clear" w:color="auto" w:fill="auto"/>
          </w:tcPr>
          <w:p w14:paraId="6F7BFCE7" w14:textId="3E8EDA79" w:rsidR="00A77489" w:rsidRPr="00CC1827" w:rsidRDefault="00A77489" w:rsidP="00C43350">
            <w:pPr>
              <w:pStyle w:val="APVMATableTextRight"/>
              <w:widowControl w:val="0"/>
              <w:suppressAutoHyphens w:val="0"/>
            </w:pPr>
            <w:r w:rsidRPr="00CC1827">
              <w:t>Kidney 7.2</w:t>
            </w:r>
            <w:r w:rsidR="00B102FF">
              <w:br/>
            </w:r>
            <w:r w:rsidRPr="00CC1827">
              <w:t>Liver 3.6</w:t>
            </w:r>
            <w:r w:rsidR="00B102FF">
              <w:br/>
            </w:r>
            <w:r w:rsidRPr="00CC1827">
              <w:t>Muscle 1.2</w:t>
            </w:r>
            <w:r w:rsidR="00B102FF">
              <w:br/>
            </w:r>
            <w:r w:rsidRPr="00CC1827">
              <w:t>Fat 7.2</w:t>
            </w:r>
          </w:p>
        </w:tc>
        <w:tc>
          <w:tcPr>
            <w:tcW w:w="661" w:type="pct"/>
            <w:gridSpan w:val="2"/>
            <w:tcBorders>
              <w:left w:val="nil"/>
              <w:right w:val="nil"/>
            </w:tcBorders>
            <w:shd w:val="clear" w:color="auto" w:fill="auto"/>
          </w:tcPr>
          <w:p w14:paraId="6E9752EC" w14:textId="055CA7AF" w:rsidR="00A77489" w:rsidRPr="00CC1827" w:rsidRDefault="00A77489" w:rsidP="00C43350">
            <w:pPr>
              <w:pStyle w:val="APVMATableTextRight"/>
              <w:widowControl w:val="0"/>
              <w:suppressAutoHyphens w:val="0"/>
            </w:pPr>
            <w:r w:rsidRPr="00CC1827">
              <w:t>Kidney 9</w:t>
            </w:r>
            <w:r w:rsidR="00B102FF">
              <w:br/>
            </w:r>
            <w:r w:rsidRPr="00CC1827">
              <w:t>Liver 5.5</w:t>
            </w:r>
            <w:r w:rsidR="00B102FF">
              <w:br/>
            </w:r>
            <w:r w:rsidRPr="00CC1827">
              <w:t>Muscle 0.5</w:t>
            </w:r>
            <w:r w:rsidR="00B102FF">
              <w:br/>
            </w:r>
            <w:r w:rsidRPr="00CC1827">
              <w:t>Fat 0.5</w:t>
            </w:r>
          </w:p>
        </w:tc>
        <w:tc>
          <w:tcPr>
            <w:tcW w:w="662" w:type="pct"/>
            <w:tcBorders>
              <w:left w:val="nil"/>
              <w:right w:val="nil"/>
            </w:tcBorders>
            <w:shd w:val="clear" w:color="auto" w:fill="auto"/>
          </w:tcPr>
          <w:p w14:paraId="75112A28" w14:textId="5FD229B5" w:rsidR="00A77489" w:rsidRPr="00CC1827" w:rsidRDefault="00A77489" w:rsidP="00C43350">
            <w:pPr>
              <w:pStyle w:val="APVMATableTextRight"/>
              <w:widowControl w:val="0"/>
              <w:suppressAutoHyphens w:val="0"/>
            </w:pPr>
            <w:r w:rsidRPr="00CC1827">
              <w:t>Kidney 10</w:t>
            </w:r>
            <w:r w:rsidR="00B102FF">
              <w:br/>
            </w:r>
            <w:r w:rsidRPr="00CC1827">
              <w:t>Muscle 0.5</w:t>
            </w:r>
            <w:r w:rsidR="00B102FF">
              <w:br/>
            </w:r>
            <w:r w:rsidRPr="00CC1827">
              <w:t>Fat 0.5</w:t>
            </w:r>
            <w:r w:rsidR="00B102FF">
              <w:br/>
            </w:r>
            <w:r w:rsidRPr="00CC1827">
              <w:t>Liver 0.5</w:t>
            </w:r>
            <w:r w:rsidR="00B102FF">
              <w:br/>
            </w:r>
            <w:r w:rsidRPr="00CC1827">
              <w:t>Edible offal 10</w:t>
            </w:r>
          </w:p>
        </w:tc>
        <w:tc>
          <w:tcPr>
            <w:tcW w:w="512" w:type="pct"/>
            <w:tcBorders>
              <w:left w:val="nil"/>
              <w:right w:val="nil"/>
            </w:tcBorders>
            <w:shd w:val="clear" w:color="auto" w:fill="auto"/>
          </w:tcPr>
          <w:p w14:paraId="513DD31A" w14:textId="573EFD02" w:rsidR="00A77489" w:rsidRPr="00CC1827" w:rsidRDefault="00A77489" w:rsidP="00C43350">
            <w:pPr>
              <w:pStyle w:val="APVMATableTextRight"/>
              <w:widowControl w:val="0"/>
              <w:suppressAutoHyphens w:val="0"/>
            </w:pPr>
            <w:r w:rsidRPr="00CC1827">
              <w:t>Kidney 10</w:t>
            </w:r>
            <w:r w:rsidR="00B102FF">
              <w:br/>
            </w:r>
            <w:r w:rsidRPr="00CC1827">
              <w:t>Liver 0.5</w:t>
            </w:r>
            <w:r w:rsidR="00B102FF">
              <w:br/>
            </w:r>
            <w:r w:rsidRPr="00CC1827">
              <w:t>Muscle 0.5</w:t>
            </w:r>
            <w:r w:rsidR="00B102FF">
              <w:br/>
            </w:r>
            <w:r w:rsidRPr="00CC1827">
              <w:t>Fat 0.5</w:t>
            </w:r>
          </w:p>
        </w:tc>
      </w:tr>
      <w:tr w:rsidR="00031F04" w:rsidRPr="00053BAB" w14:paraId="28E2B1CC" w14:textId="77777777" w:rsidTr="00E043B4">
        <w:trPr>
          <w:cantSplit/>
          <w:trHeight w:val="445"/>
        </w:trPr>
        <w:tc>
          <w:tcPr>
            <w:tcW w:w="662" w:type="pct"/>
            <w:tcBorders>
              <w:left w:val="nil"/>
              <w:right w:val="nil"/>
            </w:tcBorders>
            <w:shd w:val="clear" w:color="auto" w:fill="auto"/>
          </w:tcPr>
          <w:p w14:paraId="472C57F3" w14:textId="77777777" w:rsidR="00A77489" w:rsidRPr="00CC1827" w:rsidRDefault="00A77489" w:rsidP="00C43350">
            <w:pPr>
              <w:pStyle w:val="TableSubHead"/>
              <w:keepNext w:val="0"/>
              <w:keepLines w:val="0"/>
              <w:widowControl w:val="0"/>
              <w:suppressAutoHyphens w:val="0"/>
            </w:pPr>
            <w:r w:rsidRPr="00CC1827">
              <w:t>Milk</w:t>
            </w:r>
          </w:p>
        </w:tc>
        <w:tc>
          <w:tcPr>
            <w:tcW w:w="663" w:type="pct"/>
            <w:tcBorders>
              <w:left w:val="nil"/>
              <w:right w:val="nil"/>
            </w:tcBorders>
            <w:shd w:val="clear" w:color="auto" w:fill="auto"/>
          </w:tcPr>
          <w:p w14:paraId="0B36EFC1" w14:textId="77777777" w:rsidR="00A77489" w:rsidRPr="00CC1827" w:rsidRDefault="00A77489" w:rsidP="00C43350">
            <w:pPr>
              <w:pStyle w:val="APVMATableTextRight"/>
              <w:widowControl w:val="0"/>
              <w:suppressAutoHyphens w:val="0"/>
            </w:pPr>
            <w:r w:rsidRPr="00CC1827">
              <w:t>Milk T1.5</w:t>
            </w:r>
          </w:p>
        </w:tc>
        <w:tc>
          <w:tcPr>
            <w:tcW w:w="662" w:type="pct"/>
            <w:tcBorders>
              <w:left w:val="nil"/>
              <w:right w:val="nil"/>
            </w:tcBorders>
            <w:shd w:val="clear" w:color="auto" w:fill="auto"/>
          </w:tcPr>
          <w:p w14:paraId="559876DC" w14:textId="30286E44" w:rsidR="00A77489" w:rsidRPr="00CC1827" w:rsidRDefault="00A77489" w:rsidP="00C43350">
            <w:pPr>
              <w:pStyle w:val="APVMATableTextRight"/>
              <w:widowControl w:val="0"/>
              <w:suppressAutoHyphens w:val="0"/>
            </w:pPr>
            <w:r w:rsidRPr="00CC1827">
              <w:t>Not supported</w:t>
            </w:r>
          </w:p>
        </w:tc>
        <w:tc>
          <w:tcPr>
            <w:tcW w:w="591" w:type="pct"/>
            <w:tcBorders>
              <w:left w:val="nil"/>
              <w:right w:val="nil"/>
            </w:tcBorders>
            <w:shd w:val="clear" w:color="auto" w:fill="auto"/>
          </w:tcPr>
          <w:p w14:paraId="5514B528" w14:textId="77777777" w:rsidR="00A77489" w:rsidRPr="00CC1827" w:rsidRDefault="00A77489" w:rsidP="00C43350">
            <w:pPr>
              <w:pStyle w:val="APVMATableTextRight"/>
              <w:widowControl w:val="0"/>
              <w:suppressAutoHyphens w:val="0"/>
            </w:pPr>
            <w:r w:rsidRPr="00CC1827">
              <w:t>Milk 1.5</w:t>
            </w:r>
          </w:p>
        </w:tc>
        <w:tc>
          <w:tcPr>
            <w:tcW w:w="587" w:type="pct"/>
            <w:tcBorders>
              <w:left w:val="nil"/>
              <w:right w:val="nil"/>
            </w:tcBorders>
            <w:shd w:val="clear" w:color="auto" w:fill="auto"/>
          </w:tcPr>
          <w:p w14:paraId="16769434" w14:textId="77777777" w:rsidR="00A77489" w:rsidRPr="00CC1827" w:rsidRDefault="00A77489" w:rsidP="00C43350">
            <w:pPr>
              <w:pStyle w:val="APVMATableTextRight"/>
              <w:widowControl w:val="0"/>
              <w:suppressAutoHyphens w:val="0"/>
            </w:pPr>
            <w:r w:rsidRPr="00CC1827">
              <w:t>Milk 0.15</w:t>
            </w:r>
          </w:p>
        </w:tc>
        <w:tc>
          <w:tcPr>
            <w:tcW w:w="661" w:type="pct"/>
            <w:gridSpan w:val="2"/>
            <w:tcBorders>
              <w:left w:val="nil"/>
              <w:right w:val="nil"/>
            </w:tcBorders>
            <w:shd w:val="clear" w:color="auto" w:fill="auto"/>
          </w:tcPr>
          <w:p w14:paraId="5E204C1B" w14:textId="77777777" w:rsidR="00A77489" w:rsidRPr="00CC1827" w:rsidRDefault="00A77489" w:rsidP="00C43350">
            <w:pPr>
              <w:pStyle w:val="APVMATableTextRight"/>
              <w:widowControl w:val="0"/>
              <w:suppressAutoHyphens w:val="0"/>
            </w:pPr>
            <w:r w:rsidRPr="00CC1827">
              <w:t>Milk 1.5</w:t>
            </w:r>
          </w:p>
        </w:tc>
        <w:tc>
          <w:tcPr>
            <w:tcW w:w="662" w:type="pct"/>
            <w:tcBorders>
              <w:left w:val="nil"/>
              <w:right w:val="nil"/>
            </w:tcBorders>
            <w:shd w:val="clear" w:color="auto" w:fill="auto"/>
          </w:tcPr>
          <w:p w14:paraId="18149103" w14:textId="77777777" w:rsidR="00A77489" w:rsidRPr="00CC1827" w:rsidRDefault="00A77489" w:rsidP="00C43350">
            <w:pPr>
              <w:pStyle w:val="APVMATableTextRight"/>
              <w:widowControl w:val="0"/>
              <w:suppressAutoHyphens w:val="0"/>
            </w:pPr>
            <w:r w:rsidRPr="00CC1827">
              <w:t>Milk 2</w:t>
            </w:r>
          </w:p>
        </w:tc>
        <w:tc>
          <w:tcPr>
            <w:tcW w:w="512" w:type="pct"/>
            <w:tcBorders>
              <w:left w:val="nil"/>
              <w:right w:val="nil"/>
            </w:tcBorders>
            <w:shd w:val="clear" w:color="auto" w:fill="auto"/>
          </w:tcPr>
          <w:p w14:paraId="680BD476" w14:textId="77777777" w:rsidR="00A77489" w:rsidRPr="00CC1827" w:rsidRDefault="00A77489" w:rsidP="00C43350">
            <w:pPr>
              <w:pStyle w:val="APVMATableTextRight"/>
              <w:widowControl w:val="0"/>
              <w:suppressAutoHyphens w:val="0"/>
            </w:pPr>
            <w:r w:rsidRPr="00CC1827">
              <w:t>Milk 0.5</w:t>
            </w:r>
          </w:p>
        </w:tc>
      </w:tr>
      <w:tr w:rsidR="00801280" w:rsidRPr="00053BAB" w14:paraId="67F88D05" w14:textId="77777777" w:rsidTr="00E043B4">
        <w:trPr>
          <w:cantSplit/>
          <w:trHeight w:val="440"/>
        </w:trPr>
        <w:tc>
          <w:tcPr>
            <w:tcW w:w="662" w:type="pct"/>
            <w:tcBorders>
              <w:left w:val="nil"/>
              <w:right w:val="nil"/>
            </w:tcBorders>
            <w:shd w:val="clear" w:color="auto" w:fill="auto"/>
          </w:tcPr>
          <w:p w14:paraId="1BCBAD69" w14:textId="77777777" w:rsidR="00A77489" w:rsidRPr="00CC1827" w:rsidRDefault="00A77489" w:rsidP="00C43350">
            <w:pPr>
              <w:pStyle w:val="TableSubHead"/>
              <w:keepNext w:val="0"/>
              <w:keepLines w:val="0"/>
              <w:widowControl w:val="0"/>
              <w:suppressAutoHyphens w:val="0"/>
            </w:pPr>
            <w:r w:rsidRPr="00CC1827">
              <w:t>Sheep tissues</w:t>
            </w:r>
          </w:p>
        </w:tc>
        <w:tc>
          <w:tcPr>
            <w:tcW w:w="663" w:type="pct"/>
            <w:tcBorders>
              <w:left w:val="nil"/>
              <w:right w:val="nil"/>
            </w:tcBorders>
            <w:shd w:val="clear" w:color="auto" w:fill="auto"/>
          </w:tcPr>
          <w:p w14:paraId="2C316335" w14:textId="0EF77D5E" w:rsidR="00A77489" w:rsidRPr="00CC1827" w:rsidRDefault="00A77489" w:rsidP="00C43350">
            <w:pPr>
              <w:pStyle w:val="APVMATableTextRight"/>
              <w:widowControl w:val="0"/>
              <w:suppressAutoHyphens w:val="0"/>
            </w:pPr>
            <w:r w:rsidRPr="00CC1827">
              <w:t>Kidney T10</w:t>
            </w:r>
            <w:r w:rsidR="00B102FF">
              <w:br/>
            </w:r>
            <w:r w:rsidRPr="00CC1827">
              <w:t>Liver T0.5</w:t>
            </w:r>
            <w:r w:rsidR="00B102FF">
              <w:br/>
            </w:r>
            <w:r w:rsidRPr="00CC1827">
              <w:t>Mammalian fats {except Milk fat} T0.5</w:t>
            </w:r>
            <w:r w:rsidR="00B102FF">
              <w:br/>
            </w:r>
            <w:r w:rsidRPr="00CC1827">
              <w:t>Meat (mammalian) T0.5</w:t>
            </w:r>
          </w:p>
        </w:tc>
        <w:tc>
          <w:tcPr>
            <w:tcW w:w="662" w:type="pct"/>
            <w:tcBorders>
              <w:left w:val="nil"/>
              <w:right w:val="nil"/>
            </w:tcBorders>
            <w:shd w:val="clear" w:color="auto" w:fill="auto"/>
          </w:tcPr>
          <w:p w14:paraId="2DD9DA88" w14:textId="16606F53" w:rsidR="00A77489" w:rsidRPr="00CC1827" w:rsidRDefault="00A77489" w:rsidP="00C43350">
            <w:pPr>
              <w:pStyle w:val="APVMATableTextRight"/>
              <w:widowControl w:val="0"/>
              <w:suppressAutoHyphens w:val="0"/>
            </w:pPr>
            <w:r w:rsidRPr="00CC1827">
              <w:t>Kidney 2.4</w:t>
            </w:r>
            <w:r w:rsidR="00B102FF">
              <w:br/>
            </w:r>
            <w:r w:rsidRPr="00CC1827">
              <w:t>Muscle *0.08</w:t>
            </w:r>
            <w:r w:rsidR="00B102FF">
              <w:br/>
            </w:r>
            <w:r w:rsidRPr="00CC1827">
              <w:t>Fat *0.1</w:t>
            </w:r>
            <w:r w:rsidR="00B102FF">
              <w:br/>
            </w:r>
            <w:r w:rsidRPr="00CC1827">
              <w:t>Liver 1.4</w:t>
            </w:r>
          </w:p>
        </w:tc>
        <w:tc>
          <w:tcPr>
            <w:tcW w:w="591" w:type="pct"/>
            <w:tcBorders>
              <w:left w:val="nil"/>
              <w:right w:val="nil"/>
            </w:tcBorders>
            <w:shd w:val="clear" w:color="auto" w:fill="auto"/>
          </w:tcPr>
          <w:p w14:paraId="225DD9D0" w14:textId="45D94580" w:rsidR="00A77489" w:rsidRPr="00CC1827" w:rsidRDefault="00A77489" w:rsidP="00C43350">
            <w:pPr>
              <w:pStyle w:val="APVMATableTextRight"/>
              <w:widowControl w:val="0"/>
              <w:suppressAutoHyphens w:val="0"/>
            </w:pPr>
            <w:r w:rsidRPr="00CC1827">
              <w:t>Kidney 10</w:t>
            </w:r>
            <w:r w:rsidR="00B102FF">
              <w:br/>
            </w:r>
            <w:r w:rsidRPr="00CC1827">
              <w:t>Muscle 0.5</w:t>
            </w:r>
            <w:r w:rsidR="00B102FF">
              <w:br/>
            </w:r>
            <w:r w:rsidRPr="00CC1827">
              <w:t>Fat 0.5</w:t>
            </w:r>
            <w:r w:rsidR="00B102FF">
              <w:br/>
            </w:r>
            <w:r w:rsidRPr="00CC1827">
              <w:t>Liver 0.5</w:t>
            </w:r>
          </w:p>
        </w:tc>
        <w:tc>
          <w:tcPr>
            <w:tcW w:w="661" w:type="pct"/>
            <w:gridSpan w:val="2"/>
            <w:tcBorders>
              <w:left w:val="nil"/>
              <w:right w:val="nil"/>
            </w:tcBorders>
            <w:shd w:val="clear" w:color="auto" w:fill="auto"/>
          </w:tcPr>
          <w:p w14:paraId="3144A356" w14:textId="6CAD8A5C" w:rsidR="00A77489" w:rsidRPr="00CC1827" w:rsidRDefault="00A77489" w:rsidP="00C43350">
            <w:pPr>
              <w:pStyle w:val="APVMATableTextRight"/>
              <w:widowControl w:val="0"/>
              <w:suppressAutoHyphens w:val="0"/>
            </w:pPr>
            <w:r w:rsidRPr="00CC1827">
              <w:t>Kidney 7.2</w:t>
            </w:r>
            <w:r w:rsidR="00B102FF">
              <w:br/>
            </w:r>
            <w:r w:rsidRPr="00CC1827">
              <w:t>Liver 3.6</w:t>
            </w:r>
            <w:r w:rsidR="00B102FF">
              <w:br/>
            </w:r>
            <w:r w:rsidRPr="00CC1827">
              <w:t>Muscle 1.2</w:t>
            </w:r>
            <w:r w:rsidR="00B102FF">
              <w:br/>
            </w:r>
            <w:r w:rsidRPr="00CC1827">
              <w:t>Fat 7.2</w:t>
            </w:r>
          </w:p>
        </w:tc>
        <w:tc>
          <w:tcPr>
            <w:tcW w:w="587" w:type="pct"/>
            <w:tcBorders>
              <w:left w:val="nil"/>
              <w:right w:val="nil"/>
            </w:tcBorders>
            <w:shd w:val="clear" w:color="auto" w:fill="auto"/>
          </w:tcPr>
          <w:p w14:paraId="1279436C" w14:textId="7046AF86" w:rsidR="00A77489" w:rsidRPr="00CC1827" w:rsidRDefault="00A77489" w:rsidP="00C43350">
            <w:pPr>
              <w:pStyle w:val="APVMATableTextRight"/>
              <w:widowControl w:val="0"/>
              <w:suppressAutoHyphens w:val="0"/>
            </w:pPr>
            <w:r w:rsidRPr="00CC1827">
              <w:t>Fat 0.5</w:t>
            </w:r>
            <w:r w:rsidR="00B102FF">
              <w:br/>
            </w:r>
            <w:r w:rsidRPr="00CC1827">
              <w:t>Kidney 9</w:t>
            </w:r>
            <w:r w:rsidR="00B102FF">
              <w:br/>
            </w:r>
            <w:r w:rsidRPr="00CC1827">
              <w:t>Liver 5.5</w:t>
            </w:r>
            <w:r w:rsidR="00B102FF">
              <w:br/>
            </w:r>
            <w:r w:rsidRPr="00CC1827">
              <w:t>Muscle 0.5</w:t>
            </w:r>
            <w:r w:rsidR="00B102FF">
              <w:br/>
            </w:r>
            <w:r w:rsidRPr="00CC1827">
              <w:t>Milk 1.5</w:t>
            </w:r>
          </w:p>
        </w:tc>
        <w:tc>
          <w:tcPr>
            <w:tcW w:w="662" w:type="pct"/>
            <w:tcBorders>
              <w:left w:val="nil"/>
              <w:right w:val="nil"/>
            </w:tcBorders>
            <w:shd w:val="clear" w:color="auto" w:fill="auto"/>
          </w:tcPr>
          <w:p w14:paraId="000E4D4B" w14:textId="361381F1" w:rsidR="00A77489" w:rsidRPr="00CC1827" w:rsidRDefault="00A77489" w:rsidP="00C43350">
            <w:pPr>
              <w:pStyle w:val="APVMATableTextRight"/>
              <w:widowControl w:val="0"/>
              <w:suppressAutoHyphens w:val="0"/>
            </w:pPr>
            <w:r w:rsidRPr="00CC1827">
              <w:t>Muscle 0.5</w:t>
            </w:r>
            <w:r w:rsidR="00B102FF">
              <w:br/>
            </w:r>
            <w:r w:rsidRPr="00CC1827">
              <w:t>Fat 0.5</w:t>
            </w:r>
            <w:r w:rsidR="00B102FF">
              <w:br/>
            </w:r>
            <w:r w:rsidRPr="00CC1827">
              <w:t>Liver 0.5</w:t>
            </w:r>
            <w:r w:rsidR="00B102FF">
              <w:br/>
            </w:r>
            <w:r w:rsidRPr="00CC1827">
              <w:t>Kidney 10</w:t>
            </w:r>
            <w:r w:rsidR="00B102FF">
              <w:br/>
            </w:r>
            <w:r w:rsidRPr="00CC1827">
              <w:t>Edible offal 10</w:t>
            </w:r>
          </w:p>
        </w:tc>
        <w:tc>
          <w:tcPr>
            <w:tcW w:w="512" w:type="pct"/>
            <w:tcBorders>
              <w:left w:val="nil"/>
              <w:right w:val="nil"/>
            </w:tcBorders>
            <w:shd w:val="clear" w:color="auto" w:fill="auto"/>
          </w:tcPr>
          <w:p w14:paraId="27FB1F9D" w14:textId="54AF0D45" w:rsidR="00A77489" w:rsidRPr="00CC1827" w:rsidRDefault="00A77489" w:rsidP="00C43350">
            <w:pPr>
              <w:pStyle w:val="APVMATableTextRight"/>
              <w:widowControl w:val="0"/>
              <w:suppressAutoHyphens w:val="0"/>
            </w:pPr>
            <w:r w:rsidRPr="00CC1827">
              <w:t>Kidney 10</w:t>
            </w:r>
            <w:r w:rsidR="00B102FF">
              <w:br/>
            </w:r>
            <w:r w:rsidRPr="00CC1827">
              <w:t>Liver 0.5</w:t>
            </w:r>
            <w:r w:rsidR="00B102FF">
              <w:br/>
            </w:r>
            <w:r w:rsidRPr="00CC1827">
              <w:t>Muscle 0.5</w:t>
            </w:r>
            <w:r w:rsidR="00B102FF">
              <w:br/>
            </w:r>
            <w:r w:rsidRPr="00CC1827">
              <w:t>Fat 0.5</w:t>
            </w:r>
            <w:r w:rsidR="00B102FF">
              <w:br/>
            </w:r>
          </w:p>
        </w:tc>
      </w:tr>
      <w:tr w:rsidR="00E043B4" w:rsidRPr="00053BAB" w14:paraId="57FE95E6" w14:textId="77777777" w:rsidTr="00E043B4">
        <w:trPr>
          <w:cantSplit/>
          <w:trHeight w:val="425"/>
        </w:trPr>
        <w:tc>
          <w:tcPr>
            <w:tcW w:w="662" w:type="pct"/>
            <w:vMerge w:val="restart"/>
            <w:tcBorders>
              <w:left w:val="nil"/>
              <w:right w:val="nil"/>
            </w:tcBorders>
            <w:shd w:val="clear" w:color="auto" w:fill="5C2946"/>
          </w:tcPr>
          <w:p w14:paraId="3B55B012" w14:textId="2E81353D" w:rsidR="00E043B4" w:rsidRPr="00CC1827" w:rsidRDefault="00E043B4" w:rsidP="00E043B4">
            <w:pPr>
              <w:pStyle w:val="TableHeadRight"/>
              <w:jc w:val="left"/>
            </w:pPr>
            <w:r w:rsidRPr="00C43350">
              <w:lastRenderedPageBreak/>
              <w:t>Commodity</w:t>
            </w:r>
          </w:p>
        </w:tc>
        <w:tc>
          <w:tcPr>
            <w:tcW w:w="663" w:type="pct"/>
            <w:tcBorders>
              <w:left w:val="nil"/>
              <w:right w:val="nil"/>
            </w:tcBorders>
            <w:shd w:val="clear" w:color="auto" w:fill="5C2946"/>
          </w:tcPr>
          <w:p w14:paraId="61507BDA" w14:textId="04DC2395" w:rsidR="00E043B4" w:rsidRPr="00E043B4" w:rsidRDefault="00E043B4" w:rsidP="00E043B4">
            <w:pPr>
              <w:pStyle w:val="TableHeadRight"/>
            </w:pPr>
            <w:r w:rsidRPr="00E043B4">
              <w:t>Australia (current)</w:t>
            </w:r>
          </w:p>
        </w:tc>
        <w:tc>
          <w:tcPr>
            <w:tcW w:w="662" w:type="pct"/>
            <w:tcBorders>
              <w:left w:val="nil"/>
              <w:right w:val="nil"/>
            </w:tcBorders>
            <w:shd w:val="clear" w:color="auto" w:fill="5C2946"/>
          </w:tcPr>
          <w:p w14:paraId="67AC47D0" w14:textId="0C4DB3E5" w:rsidR="00E043B4" w:rsidRPr="00E043B4" w:rsidRDefault="00E043B4" w:rsidP="00E043B4">
            <w:pPr>
              <w:pStyle w:val="TableHeadRight"/>
            </w:pPr>
            <w:r w:rsidRPr="00E043B4">
              <w:t>Australia (proposed)</w:t>
            </w:r>
          </w:p>
        </w:tc>
        <w:tc>
          <w:tcPr>
            <w:tcW w:w="591" w:type="pct"/>
            <w:tcBorders>
              <w:left w:val="nil"/>
              <w:right w:val="nil"/>
            </w:tcBorders>
            <w:shd w:val="clear" w:color="auto" w:fill="5C2946"/>
          </w:tcPr>
          <w:p w14:paraId="574BECCC" w14:textId="07A543BA" w:rsidR="00E043B4" w:rsidRPr="00E043B4" w:rsidRDefault="00E043B4" w:rsidP="00E043B4">
            <w:pPr>
              <w:pStyle w:val="TableHeadRight"/>
            </w:pPr>
            <w:r w:rsidRPr="00E043B4">
              <w:t>CODEX</w:t>
            </w:r>
            <w:bookmarkStart w:id="101" w:name="_Ref158820300"/>
            <w:r>
              <w:rPr>
                <w:rStyle w:val="FootnoteReference"/>
              </w:rPr>
              <w:footnoteReference w:id="2"/>
            </w:r>
            <w:bookmarkEnd w:id="101"/>
          </w:p>
        </w:tc>
        <w:tc>
          <w:tcPr>
            <w:tcW w:w="661" w:type="pct"/>
            <w:gridSpan w:val="2"/>
            <w:tcBorders>
              <w:left w:val="nil"/>
              <w:right w:val="nil"/>
            </w:tcBorders>
            <w:shd w:val="clear" w:color="auto" w:fill="5C2946"/>
          </w:tcPr>
          <w:p w14:paraId="16C84014" w14:textId="79D72991" w:rsidR="00E043B4" w:rsidRPr="00E043B4" w:rsidRDefault="00E043B4" w:rsidP="00E043B4">
            <w:pPr>
              <w:pStyle w:val="TableHeadRight"/>
            </w:pPr>
            <w:r w:rsidRPr="00E043B4">
              <w:t>USA</w:t>
            </w:r>
            <w:bookmarkStart w:id="102" w:name="_Ref158820315"/>
            <w:r>
              <w:rPr>
                <w:rStyle w:val="FootnoteReference"/>
              </w:rPr>
              <w:footnoteReference w:id="3"/>
            </w:r>
            <w:bookmarkEnd w:id="102"/>
          </w:p>
        </w:tc>
        <w:tc>
          <w:tcPr>
            <w:tcW w:w="587" w:type="pct"/>
            <w:tcBorders>
              <w:left w:val="nil"/>
              <w:right w:val="nil"/>
            </w:tcBorders>
            <w:shd w:val="clear" w:color="auto" w:fill="5C2946"/>
          </w:tcPr>
          <w:p w14:paraId="1B4EFD4F" w14:textId="46A62C20" w:rsidR="00E043B4" w:rsidRPr="00E043B4" w:rsidRDefault="00E043B4" w:rsidP="00E043B4">
            <w:pPr>
              <w:pStyle w:val="TableHeadRight"/>
            </w:pPr>
            <w:r w:rsidRPr="00E043B4">
              <w:t>EU</w:t>
            </w:r>
            <w:bookmarkStart w:id="103" w:name="_Ref158820322"/>
            <w:r>
              <w:rPr>
                <w:rStyle w:val="FootnoteReference"/>
              </w:rPr>
              <w:footnoteReference w:id="4"/>
            </w:r>
            <w:bookmarkEnd w:id="103"/>
          </w:p>
        </w:tc>
        <w:tc>
          <w:tcPr>
            <w:tcW w:w="662" w:type="pct"/>
            <w:tcBorders>
              <w:left w:val="nil"/>
              <w:right w:val="nil"/>
            </w:tcBorders>
            <w:shd w:val="clear" w:color="auto" w:fill="5C2946"/>
          </w:tcPr>
          <w:p w14:paraId="40588276" w14:textId="20B33970" w:rsidR="00E043B4" w:rsidRPr="00E043B4" w:rsidRDefault="00E043B4" w:rsidP="00E043B4">
            <w:pPr>
              <w:pStyle w:val="TableHeadRight"/>
            </w:pPr>
            <w:r w:rsidRPr="00E043B4">
              <w:t>Japan</w:t>
            </w:r>
            <w:bookmarkStart w:id="104" w:name="_Ref158820335"/>
            <w:r>
              <w:rPr>
                <w:rStyle w:val="FootnoteReference"/>
              </w:rPr>
              <w:footnoteReference w:id="5"/>
            </w:r>
            <w:bookmarkEnd w:id="104"/>
          </w:p>
        </w:tc>
        <w:tc>
          <w:tcPr>
            <w:tcW w:w="512" w:type="pct"/>
            <w:tcBorders>
              <w:left w:val="nil"/>
              <w:right w:val="nil"/>
            </w:tcBorders>
            <w:shd w:val="clear" w:color="auto" w:fill="5C2946"/>
          </w:tcPr>
          <w:p w14:paraId="1E91BCA4" w14:textId="06A1280B" w:rsidR="00E043B4" w:rsidRPr="00E043B4" w:rsidRDefault="00E043B4" w:rsidP="00E043B4">
            <w:pPr>
              <w:pStyle w:val="TableHeadRight"/>
            </w:pPr>
            <w:r w:rsidRPr="00E043B4">
              <w:t>Korea</w:t>
            </w:r>
            <w:bookmarkStart w:id="105" w:name="_Ref158820343"/>
            <w:r>
              <w:rPr>
                <w:rStyle w:val="FootnoteReference"/>
              </w:rPr>
              <w:footnoteReference w:id="6"/>
            </w:r>
            <w:bookmarkEnd w:id="105"/>
          </w:p>
        </w:tc>
      </w:tr>
      <w:tr w:rsidR="00E043B4" w:rsidRPr="00053BAB" w14:paraId="4012DF99" w14:textId="77777777" w:rsidTr="00E043B4">
        <w:trPr>
          <w:cantSplit/>
          <w:trHeight w:val="425"/>
        </w:trPr>
        <w:tc>
          <w:tcPr>
            <w:tcW w:w="662" w:type="pct"/>
            <w:vMerge/>
            <w:tcBorders>
              <w:left w:val="nil"/>
              <w:right w:val="nil"/>
            </w:tcBorders>
            <w:shd w:val="clear" w:color="auto" w:fill="auto"/>
          </w:tcPr>
          <w:p w14:paraId="27236640" w14:textId="77777777" w:rsidR="00E043B4" w:rsidRPr="00C43350" w:rsidRDefault="00E043B4" w:rsidP="00E043B4">
            <w:pPr>
              <w:pStyle w:val="TableHeadRight"/>
              <w:jc w:val="left"/>
            </w:pPr>
          </w:p>
        </w:tc>
        <w:tc>
          <w:tcPr>
            <w:tcW w:w="663" w:type="pct"/>
            <w:tcBorders>
              <w:left w:val="nil"/>
              <w:right w:val="nil"/>
            </w:tcBorders>
            <w:shd w:val="clear" w:color="auto" w:fill="auto"/>
          </w:tcPr>
          <w:p w14:paraId="14167AE5" w14:textId="29607C13" w:rsidR="00E043B4" w:rsidRPr="00E043B4" w:rsidRDefault="00E043B4" w:rsidP="00E043B4">
            <w:pPr>
              <w:pStyle w:val="TableSubHead"/>
              <w:jc w:val="right"/>
            </w:pPr>
            <w:r w:rsidRPr="00CC1827">
              <w:t>Inhibitory substance, identified as neomycin</w:t>
            </w:r>
          </w:p>
        </w:tc>
        <w:tc>
          <w:tcPr>
            <w:tcW w:w="662" w:type="pct"/>
            <w:tcBorders>
              <w:left w:val="nil"/>
              <w:right w:val="nil"/>
            </w:tcBorders>
            <w:shd w:val="clear" w:color="auto" w:fill="auto"/>
          </w:tcPr>
          <w:p w14:paraId="3D756E45" w14:textId="7584A03E" w:rsidR="00E043B4" w:rsidRPr="00E043B4" w:rsidRDefault="00E043B4" w:rsidP="00E043B4">
            <w:pPr>
              <w:pStyle w:val="TableSubHead"/>
              <w:jc w:val="right"/>
            </w:pPr>
            <w:r w:rsidRPr="00CC1827">
              <w:t>Neomycin</w:t>
            </w:r>
          </w:p>
        </w:tc>
        <w:tc>
          <w:tcPr>
            <w:tcW w:w="591" w:type="pct"/>
            <w:tcBorders>
              <w:left w:val="nil"/>
              <w:right w:val="nil"/>
            </w:tcBorders>
            <w:shd w:val="clear" w:color="auto" w:fill="auto"/>
          </w:tcPr>
          <w:p w14:paraId="5D14270E" w14:textId="7C046554" w:rsidR="00E043B4" w:rsidRPr="00E043B4" w:rsidRDefault="00E043B4" w:rsidP="00E043B4">
            <w:pPr>
              <w:pStyle w:val="TableSubHead"/>
              <w:jc w:val="right"/>
            </w:pPr>
            <w:r w:rsidRPr="00CC1827">
              <w:t>Neomycin</w:t>
            </w:r>
          </w:p>
        </w:tc>
        <w:tc>
          <w:tcPr>
            <w:tcW w:w="661" w:type="pct"/>
            <w:gridSpan w:val="2"/>
            <w:tcBorders>
              <w:left w:val="nil"/>
              <w:right w:val="nil"/>
            </w:tcBorders>
            <w:shd w:val="clear" w:color="auto" w:fill="auto"/>
          </w:tcPr>
          <w:p w14:paraId="692B23B1" w14:textId="4FB03CA1" w:rsidR="00E043B4" w:rsidRPr="00E043B4" w:rsidRDefault="00E043B4" w:rsidP="00E043B4">
            <w:pPr>
              <w:pStyle w:val="TableSubHead"/>
              <w:jc w:val="right"/>
            </w:pPr>
            <w:r w:rsidRPr="00CC1827">
              <w:t>Neomycin</w:t>
            </w:r>
          </w:p>
        </w:tc>
        <w:tc>
          <w:tcPr>
            <w:tcW w:w="587" w:type="pct"/>
            <w:tcBorders>
              <w:left w:val="nil"/>
              <w:right w:val="nil"/>
            </w:tcBorders>
            <w:shd w:val="clear" w:color="auto" w:fill="auto"/>
          </w:tcPr>
          <w:p w14:paraId="370534D0" w14:textId="3712C2BB" w:rsidR="00E043B4" w:rsidRPr="00E043B4" w:rsidRDefault="00E043B4" w:rsidP="00E043B4">
            <w:pPr>
              <w:pStyle w:val="TableSubHead"/>
              <w:jc w:val="right"/>
            </w:pPr>
            <w:r w:rsidRPr="00CC1827">
              <w:t>Neomycin B</w:t>
            </w:r>
          </w:p>
        </w:tc>
        <w:tc>
          <w:tcPr>
            <w:tcW w:w="662" w:type="pct"/>
            <w:tcBorders>
              <w:left w:val="nil"/>
              <w:right w:val="nil"/>
            </w:tcBorders>
            <w:shd w:val="clear" w:color="auto" w:fill="auto"/>
          </w:tcPr>
          <w:p w14:paraId="5DC7DE89" w14:textId="65C55C65" w:rsidR="00E043B4" w:rsidRPr="00E043B4" w:rsidRDefault="00E043B4" w:rsidP="00E043B4">
            <w:pPr>
              <w:pStyle w:val="TableSubHead"/>
              <w:jc w:val="right"/>
            </w:pPr>
            <w:r w:rsidRPr="00CC1827">
              <w:t>Neomycin B</w:t>
            </w:r>
          </w:p>
        </w:tc>
        <w:tc>
          <w:tcPr>
            <w:tcW w:w="512" w:type="pct"/>
            <w:tcBorders>
              <w:left w:val="nil"/>
              <w:right w:val="nil"/>
            </w:tcBorders>
            <w:shd w:val="clear" w:color="auto" w:fill="auto"/>
          </w:tcPr>
          <w:p w14:paraId="57B118D7" w14:textId="77777777" w:rsidR="00E043B4" w:rsidRPr="00E043B4" w:rsidRDefault="00E043B4" w:rsidP="00E043B4">
            <w:pPr>
              <w:pStyle w:val="TableSubHead"/>
              <w:jc w:val="right"/>
            </w:pPr>
          </w:p>
        </w:tc>
      </w:tr>
      <w:tr w:rsidR="00801280" w:rsidRPr="00053BAB" w14:paraId="2C1AA339" w14:textId="77777777" w:rsidTr="00E043B4">
        <w:trPr>
          <w:cantSplit/>
          <w:trHeight w:val="425"/>
        </w:trPr>
        <w:tc>
          <w:tcPr>
            <w:tcW w:w="662" w:type="pct"/>
            <w:tcBorders>
              <w:left w:val="nil"/>
              <w:right w:val="nil"/>
            </w:tcBorders>
            <w:shd w:val="clear" w:color="auto" w:fill="auto"/>
          </w:tcPr>
          <w:p w14:paraId="4546E17E" w14:textId="77777777" w:rsidR="00A77489" w:rsidRPr="00CC1827" w:rsidRDefault="00A77489" w:rsidP="00C43350">
            <w:pPr>
              <w:pStyle w:val="TableSubHead"/>
              <w:keepNext w:val="0"/>
              <w:keepLines w:val="0"/>
              <w:widowControl w:val="0"/>
              <w:suppressAutoHyphens w:val="0"/>
            </w:pPr>
            <w:r w:rsidRPr="00CC1827">
              <w:t>Pig tissues</w:t>
            </w:r>
          </w:p>
        </w:tc>
        <w:tc>
          <w:tcPr>
            <w:tcW w:w="663" w:type="pct"/>
            <w:tcBorders>
              <w:left w:val="nil"/>
              <w:right w:val="nil"/>
            </w:tcBorders>
            <w:shd w:val="clear" w:color="auto" w:fill="auto"/>
          </w:tcPr>
          <w:p w14:paraId="374E74EB" w14:textId="5CCAEED6" w:rsidR="00A77489" w:rsidRPr="00CC1827" w:rsidRDefault="00A77489" w:rsidP="00C43350">
            <w:pPr>
              <w:pStyle w:val="APVMATableTextRight"/>
              <w:widowControl w:val="0"/>
              <w:suppressAutoHyphens w:val="0"/>
            </w:pPr>
            <w:r w:rsidRPr="00CC1827">
              <w:t>Kidney T10</w:t>
            </w:r>
            <w:r w:rsidR="00B102FF">
              <w:br/>
            </w:r>
            <w:r w:rsidRPr="00CC1827">
              <w:t>Liver T0.5</w:t>
            </w:r>
            <w:r w:rsidR="00B102FF">
              <w:br/>
            </w:r>
            <w:r w:rsidRPr="00CC1827">
              <w:t>Mammalian fats {except Milk fat} T0.5</w:t>
            </w:r>
            <w:r w:rsidR="00B102FF">
              <w:br/>
            </w:r>
            <w:r w:rsidRPr="00CC1827">
              <w:t>Meat (mammalian) T0.5</w:t>
            </w:r>
          </w:p>
        </w:tc>
        <w:tc>
          <w:tcPr>
            <w:tcW w:w="662" w:type="pct"/>
            <w:tcBorders>
              <w:left w:val="nil"/>
              <w:right w:val="nil"/>
            </w:tcBorders>
            <w:shd w:val="clear" w:color="auto" w:fill="auto"/>
          </w:tcPr>
          <w:p w14:paraId="2D94BC34" w14:textId="2B3016B6" w:rsidR="00A77489" w:rsidRPr="00CC1827" w:rsidRDefault="00A77489" w:rsidP="00C43350">
            <w:pPr>
              <w:pStyle w:val="APVMATableTextRight"/>
              <w:widowControl w:val="0"/>
              <w:suppressAutoHyphens w:val="0"/>
            </w:pPr>
            <w:r w:rsidRPr="00CC1827">
              <w:t>Kidney *0.2</w:t>
            </w:r>
            <w:r w:rsidR="00B102FF">
              <w:br/>
            </w:r>
            <w:r w:rsidRPr="00CC1827">
              <w:t>Muscle *0.08</w:t>
            </w:r>
            <w:r w:rsidR="00B102FF">
              <w:br/>
            </w:r>
            <w:r w:rsidRPr="00CC1827">
              <w:t>Fat *0.1</w:t>
            </w:r>
            <w:r w:rsidR="00B102FF">
              <w:br/>
            </w:r>
            <w:r w:rsidRPr="00CC1827">
              <w:t>Liver *0.2</w:t>
            </w:r>
          </w:p>
        </w:tc>
        <w:tc>
          <w:tcPr>
            <w:tcW w:w="591" w:type="pct"/>
            <w:tcBorders>
              <w:left w:val="nil"/>
              <w:right w:val="nil"/>
            </w:tcBorders>
            <w:shd w:val="clear" w:color="auto" w:fill="auto"/>
          </w:tcPr>
          <w:p w14:paraId="176FB07D" w14:textId="2ECC9376" w:rsidR="00A77489" w:rsidRPr="00CC1827" w:rsidRDefault="00A77489" w:rsidP="00C43350">
            <w:pPr>
              <w:pStyle w:val="APVMATableTextRight"/>
              <w:widowControl w:val="0"/>
              <w:suppressAutoHyphens w:val="0"/>
            </w:pPr>
            <w:r w:rsidRPr="00CC1827">
              <w:t>Kidney 10</w:t>
            </w:r>
            <w:r w:rsidR="00B102FF">
              <w:br/>
            </w:r>
            <w:r w:rsidRPr="00CC1827">
              <w:t>Muscle 0.5</w:t>
            </w:r>
            <w:r w:rsidR="00B102FF">
              <w:br/>
            </w:r>
            <w:r w:rsidRPr="00CC1827">
              <w:t>Fat 0.5</w:t>
            </w:r>
            <w:r w:rsidR="00B102FF">
              <w:br/>
            </w:r>
            <w:r w:rsidRPr="00CC1827">
              <w:t>Liver 0.5</w:t>
            </w:r>
          </w:p>
        </w:tc>
        <w:tc>
          <w:tcPr>
            <w:tcW w:w="661" w:type="pct"/>
            <w:gridSpan w:val="2"/>
            <w:tcBorders>
              <w:left w:val="nil"/>
              <w:right w:val="nil"/>
            </w:tcBorders>
            <w:shd w:val="clear" w:color="auto" w:fill="auto"/>
          </w:tcPr>
          <w:p w14:paraId="72C2E394" w14:textId="794CE6A2" w:rsidR="00A77489" w:rsidRPr="00CC1827" w:rsidRDefault="00A77489" w:rsidP="00C43350">
            <w:pPr>
              <w:pStyle w:val="APVMATableTextRight"/>
              <w:widowControl w:val="0"/>
              <w:suppressAutoHyphens w:val="0"/>
            </w:pPr>
            <w:r w:rsidRPr="00CC1827">
              <w:t>Kidney 7.2</w:t>
            </w:r>
            <w:r w:rsidR="00B102FF">
              <w:br/>
            </w:r>
            <w:r w:rsidRPr="00CC1827">
              <w:t>Liver 3.6</w:t>
            </w:r>
            <w:r w:rsidR="00B102FF">
              <w:br/>
            </w:r>
            <w:r w:rsidRPr="00CC1827">
              <w:t>Muscle 1.2</w:t>
            </w:r>
            <w:r w:rsidR="00B102FF">
              <w:br/>
            </w:r>
            <w:r w:rsidRPr="00CC1827">
              <w:t>Fat 7.2</w:t>
            </w:r>
          </w:p>
        </w:tc>
        <w:tc>
          <w:tcPr>
            <w:tcW w:w="587" w:type="pct"/>
            <w:tcBorders>
              <w:left w:val="nil"/>
              <w:right w:val="nil"/>
            </w:tcBorders>
            <w:shd w:val="clear" w:color="auto" w:fill="auto"/>
          </w:tcPr>
          <w:p w14:paraId="2B87876F" w14:textId="19919D90" w:rsidR="00A77489" w:rsidRPr="00CC1827" w:rsidRDefault="00A77489" w:rsidP="00C43350">
            <w:pPr>
              <w:pStyle w:val="APVMATableTextRight"/>
              <w:widowControl w:val="0"/>
              <w:suppressAutoHyphens w:val="0"/>
            </w:pPr>
            <w:r w:rsidRPr="00CC1827">
              <w:t>Fat/skin 0.5</w:t>
            </w:r>
            <w:r w:rsidR="00B102FF">
              <w:br/>
            </w:r>
            <w:r w:rsidRPr="00CC1827">
              <w:t>Kidney 9</w:t>
            </w:r>
            <w:r w:rsidR="00B102FF">
              <w:br/>
            </w:r>
            <w:r w:rsidRPr="00CC1827">
              <w:t>Liver 5.5</w:t>
            </w:r>
            <w:r w:rsidR="00B102FF">
              <w:br/>
            </w:r>
            <w:r w:rsidRPr="00CC1827">
              <w:t>Muscle 0.5</w:t>
            </w:r>
          </w:p>
        </w:tc>
        <w:tc>
          <w:tcPr>
            <w:tcW w:w="662" w:type="pct"/>
            <w:tcBorders>
              <w:left w:val="nil"/>
              <w:right w:val="nil"/>
            </w:tcBorders>
            <w:shd w:val="clear" w:color="auto" w:fill="auto"/>
          </w:tcPr>
          <w:p w14:paraId="2B737114" w14:textId="6ED1C632" w:rsidR="00A77489" w:rsidRPr="00CC1827" w:rsidRDefault="00A77489" w:rsidP="00C43350">
            <w:pPr>
              <w:pStyle w:val="APVMATableTextRight"/>
              <w:widowControl w:val="0"/>
              <w:suppressAutoHyphens w:val="0"/>
            </w:pPr>
            <w:r w:rsidRPr="00CC1827">
              <w:t>Muscle 0.5</w:t>
            </w:r>
            <w:r w:rsidR="00B102FF">
              <w:br/>
            </w:r>
            <w:r w:rsidRPr="00CC1827">
              <w:t>Fat 0.5</w:t>
            </w:r>
            <w:r w:rsidR="00B102FF">
              <w:br/>
            </w:r>
            <w:r w:rsidRPr="00CC1827">
              <w:t>Liver 0.5</w:t>
            </w:r>
            <w:r w:rsidR="00B102FF">
              <w:br/>
            </w:r>
            <w:r w:rsidRPr="00CC1827">
              <w:t>Kidney 10</w:t>
            </w:r>
            <w:r w:rsidR="00B102FF">
              <w:br/>
            </w:r>
            <w:r w:rsidRPr="00CC1827">
              <w:t>Edible offal 10</w:t>
            </w:r>
          </w:p>
        </w:tc>
        <w:tc>
          <w:tcPr>
            <w:tcW w:w="512" w:type="pct"/>
            <w:tcBorders>
              <w:left w:val="nil"/>
              <w:right w:val="nil"/>
            </w:tcBorders>
            <w:shd w:val="clear" w:color="auto" w:fill="auto"/>
          </w:tcPr>
          <w:p w14:paraId="391D177B" w14:textId="27974035" w:rsidR="00A77489" w:rsidRPr="00CC1827" w:rsidRDefault="00A77489" w:rsidP="00C43350">
            <w:pPr>
              <w:pStyle w:val="APVMATableTextRight"/>
              <w:widowControl w:val="0"/>
              <w:suppressAutoHyphens w:val="0"/>
            </w:pPr>
            <w:r w:rsidRPr="00CC1827">
              <w:t>Kidney 10</w:t>
            </w:r>
            <w:r w:rsidR="00B102FF">
              <w:br/>
            </w:r>
            <w:r w:rsidRPr="00CC1827">
              <w:t>Liver 0.5</w:t>
            </w:r>
            <w:r w:rsidR="00B102FF">
              <w:br/>
            </w:r>
            <w:r w:rsidRPr="00CC1827">
              <w:t>Muscle 0.5</w:t>
            </w:r>
            <w:r w:rsidR="00B102FF">
              <w:br/>
            </w:r>
            <w:r w:rsidRPr="00CC1827">
              <w:t>Fat 0.5</w:t>
            </w:r>
          </w:p>
        </w:tc>
      </w:tr>
      <w:tr w:rsidR="00801280" w:rsidRPr="00053BAB" w14:paraId="257318A9" w14:textId="77777777" w:rsidTr="00E043B4">
        <w:trPr>
          <w:cantSplit/>
          <w:trHeight w:val="440"/>
        </w:trPr>
        <w:tc>
          <w:tcPr>
            <w:tcW w:w="662" w:type="pct"/>
            <w:tcBorders>
              <w:left w:val="nil"/>
              <w:right w:val="nil"/>
            </w:tcBorders>
            <w:shd w:val="clear" w:color="auto" w:fill="auto"/>
          </w:tcPr>
          <w:p w14:paraId="14F49DDF" w14:textId="77777777" w:rsidR="00A77489" w:rsidRPr="00CC1827" w:rsidRDefault="00A77489" w:rsidP="00C43350">
            <w:pPr>
              <w:pStyle w:val="TableSubHead"/>
              <w:keepNext w:val="0"/>
              <w:keepLines w:val="0"/>
              <w:widowControl w:val="0"/>
              <w:suppressAutoHyphens w:val="0"/>
            </w:pPr>
            <w:r w:rsidRPr="00CC1827">
              <w:t>Poultry</w:t>
            </w:r>
          </w:p>
        </w:tc>
        <w:tc>
          <w:tcPr>
            <w:tcW w:w="663" w:type="pct"/>
            <w:tcBorders>
              <w:left w:val="nil"/>
              <w:right w:val="nil"/>
            </w:tcBorders>
            <w:shd w:val="clear" w:color="auto" w:fill="auto"/>
          </w:tcPr>
          <w:p w14:paraId="031B5BA0" w14:textId="0FD3AECE" w:rsidR="00A77489" w:rsidRPr="00CC1827" w:rsidRDefault="00A77489" w:rsidP="00C43350">
            <w:pPr>
              <w:pStyle w:val="APVMATableTextRight"/>
              <w:widowControl w:val="0"/>
              <w:suppressAutoHyphens w:val="0"/>
            </w:pPr>
            <w:r w:rsidRPr="00CC1827">
              <w:t>Kidney T10</w:t>
            </w:r>
            <w:r w:rsidR="00B102FF">
              <w:br/>
            </w:r>
            <w:r w:rsidRPr="00CC1827">
              <w:t>Liver T0.5</w:t>
            </w:r>
            <w:r w:rsidR="00B102FF">
              <w:br/>
            </w:r>
            <w:r w:rsidRPr="00CC1827">
              <w:t>Meat T0.5</w:t>
            </w:r>
          </w:p>
        </w:tc>
        <w:tc>
          <w:tcPr>
            <w:tcW w:w="662" w:type="pct"/>
            <w:tcBorders>
              <w:left w:val="nil"/>
              <w:right w:val="nil"/>
            </w:tcBorders>
            <w:shd w:val="clear" w:color="auto" w:fill="auto"/>
          </w:tcPr>
          <w:p w14:paraId="4B96B46F" w14:textId="1A1B068A" w:rsidR="00A77489" w:rsidRPr="00CC1827" w:rsidRDefault="00A77489" w:rsidP="00C43350">
            <w:pPr>
              <w:pStyle w:val="APVMATableTextRight"/>
              <w:widowControl w:val="0"/>
              <w:suppressAutoHyphens w:val="0"/>
            </w:pPr>
            <w:r w:rsidRPr="00CC1827">
              <w:t>Not supported</w:t>
            </w:r>
          </w:p>
        </w:tc>
        <w:tc>
          <w:tcPr>
            <w:tcW w:w="591" w:type="pct"/>
            <w:tcBorders>
              <w:left w:val="nil"/>
              <w:right w:val="nil"/>
            </w:tcBorders>
            <w:shd w:val="clear" w:color="auto" w:fill="auto"/>
          </w:tcPr>
          <w:p w14:paraId="6F94DFB7" w14:textId="108F7A39" w:rsidR="00A77489" w:rsidRPr="00CC1827" w:rsidRDefault="00A77489" w:rsidP="00C43350">
            <w:pPr>
              <w:pStyle w:val="APVMATableTextRight"/>
              <w:widowControl w:val="0"/>
              <w:suppressAutoHyphens w:val="0"/>
            </w:pPr>
            <w:r w:rsidRPr="00CC1827">
              <w:t>Chicken/</w:t>
            </w:r>
            <w:r w:rsidR="000A762C">
              <w:t>d</w:t>
            </w:r>
            <w:r w:rsidRPr="00CC1827">
              <w:t>uck/</w:t>
            </w:r>
            <w:r w:rsidR="000A762C">
              <w:t>t</w:t>
            </w:r>
            <w:r w:rsidRPr="00CC1827">
              <w:t>urkey:</w:t>
            </w:r>
          </w:p>
          <w:p w14:paraId="6455C2E9" w14:textId="2047C5FC" w:rsidR="00A77489" w:rsidRPr="00CC1827" w:rsidRDefault="00A77489" w:rsidP="00C43350">
            <w:pPr>
              <w:pStyle w:val="APVMATableTextRight"/>
              <w:widowControl w:val="0"/>
              <w:suppressAutoHyphens w:val="0"/>
            </w:pPr>
            <w:r w:rsidRPr="00CC1827">
              <w:t>Kidney 10</w:t>
            </w:r>
            <w:r w:rsidR="00B102FF">
              <w:br/>
            </w:r>
            <w:r w:rsidRPr="00CC1827">
              <w:t>Muscle 0.5</w:t>
            </w:r>
            <w:r w:rsidR="00B102FF">
              <w:br/>
            </w:r>
            <w:r w:rsidRPr="00CC1827">
              <w:t>Fat 0.5</w:t>
            </w:r>
            <w:r w:rsidR="00B102FF">
              <w:br/>
            </w:r>
            <w:r w:rsidRPr="00CC1827">
              <w:t>Liver 0.5</w:t>
            </w:r>
          </w:p>
        </w:tc>
        <w:tc>
          <w:tcPr>
            <w:tcW w:w="661" w:type="pct"/>
            <w:gridSpan w:val="2"/>
            <w:tcBorders>
              <w:left w:val="nil"/>
              <w:right w:val="nil"/>
            </w:tcBorders>
            <w:shd w:val="clear" w:color="auto" w:fill="auto"/>
          </w:tcPr>
          <w:p w14:paraId="492358EF" w14:textId="77777777" w:rsidR="00A77489" w:rsidRPr="00CC1827" w:rsidRDefault="00A77489" w:rsidP="00C43350">
            <w:pPr>
              <w:pStyle w:val="APVMATableTextRight"/>
              <w:widowControl w:val="0"/>
              <w:suppressAutoHyphens w:val="0"/>
            </w:pPr>
            <w:r w:rsidRPr="00CC1827">
              <w:t>Turkeys:</w:t>
            </w:r>
          </w:p>
          <w:p w14:paraId="291CEBC0" w14:textId="4158F10D" w:rsidR="00A77489" w:rsidRPr="00CC1827" w:rsidRDefault="00A77489" w:rsidP="00C43350">
            <w:pPr>
              <w:pStyle w:val="APVMATableTextRight"/>
              <w:widowControl w:val="0"/>
              <w:suppressAutoHyphens w:val="0"/>
            </w:pPr>
            <w:r w:rsidRPr="00CC1827">
              <w:t>Kidney 7.2</w:t>
            </w:r>
            <w:r w:rsidR="00B102FF">
              <w:br/>
            </w:r>
            <w:r w:rsidRPr="00CC1827">
              <w:t>Liver 3.6</w:t>
            </w:r>
            <w:r w:rsidR="00B102FF">
              <w:br/>
            </w:r>
            <w:r w:rsidRPr="00CC1827">
              <w:t>Muscle 1.2</w:t>
            </w:r>
          </w:p>
        </w:tc>
        <w:tc>
          <w:tcPr>
            <w:tcW w:w="587" w:type="pct"/>
            <w:tcBorders>
              <w:left w:val="nil"/>
              <w:right w:val="nil"/>
            </w:tcBorders>
            <w:shd w:val="clear" w:color="auto" w:fill="auto"/>
          </w:tcPr>
          <w:p w14:paraId="61FBB22B" w14:textId="44702DB2" w:rsidR="00A77489" w:rsidRPr="00CC1827" w:rsidRDefault="00A77489" w:rsidP="00C43350">
            <w:pPr>
              <w:pStyle w:val="APVMATableTextRight"/>
              <w:widowControl w:val="0"/>
              <w:suppressAutoHyphens w:val="0"/>
            </w:pPr>
            <w:r w:rsidRPr="00CC1827">
              <w:t>Fat/skin 0.5</w:t>
            </w:r>
            <w:r w:rsidR="00B102FF">
              <w:br/>
            </w:r>
            <w:r w:rsidRPr="00CC1827">
              <w:t>Kidney 9</w:t>
            </w:r>
            <w:r w:rsidR="00B102FF">
              <w:br/>
            </w:r>
            <w:r w:rsidRPr="00CC1827">
              <w:t>Liver 5.5</w:t>
            </w:r>
            <w:r w:rsidR="00B102FF">
              <w:br/>
            </w:r>
            <w:r w:rsidRPr="00CC1827">
              <w:t>Muscle 0.5</w:t>
            </w:r>
          </w:p>
        </w:tc>
        <w:tc>
          <w:tcPr>
            <w:tcW w:w="662" w:type="pct"/>
            <w:tcBorders>
              <w:left w:val="nil"/>
              <w:right w:val="nil"/>
            </w:tcBorders>
            <w:shd w:val="clear" w:color="auto" w:fill="auto"/>
          </w:tcPr>
          <w:p w14:paraId="20CE8504" w14:textId="7D929E5F" w:rsidR="00A77489" w:rsidRPr="00CC1827" w:rsidRDefault="00A77489" w:rsidP="00C43350">
            <w:pPr>
              <w:pStyle w:val="APVMATableTextRight"/>
              <w:widowControl w:val="0"/>
              <w:suppressAutoHyphens w:val="0"/>
            </w:pPr>
            <w:r w:rsidRPr="00CC1827">
              <w:t>Muscle 0.5</w:t>
            </w:r>
            <w:r w:rsidR="00B102FF">
              <w:br/>
            </w:r>
            <w:r w:rsidRPr="00CC1827">
              <w:t>Fat 0.5</w:t>
            </w:r>
            <w:r w:rsidR="00B102FF">
              <w:br/>
            </w:r>
            <w:r w:rsidRPr="00CC1827">
              <w:t>Liver 0.5</w:t>
            </w:r>
            <w:r w:rsidR="00B102FF">
              <w:br/>
            </w:r>
            <w:r w:rsidRPr="00CC1827">
              <w:t>Kidney 10</w:t>
            </w:r>
            <w:r w:rsidR="00B102FF">
              <w:br/>
            </w:r>
            <w:r w:rsidRPr="00CC1827">
              <w:t>Edible offal 10</w:t>
            </w:r>
          </w:p>
        </w:tc>
        <w:tc>
          <w:tcPr>
            <w:tcW w:w="512" w:type="pct"/>
            <w:tcBorders>
              <w:left w:val="nil"/>
              <w:right w:val="nil"/>
            </w:tcBorders>
            <w:shd w:val="clear" w:color="auto" w:fill="auto"/>
          </w:tcPr>
          <w:p w14:paraId="2DD19FF4" w14:textId="483A9F80" w:rsidR="00A77489" w:rsidRPr="00CC1827" w:rsidRDefault="00A77489" w:rsidP="00C43350">
            <w:pPr>
              <w:pStyle w:val="APVMATableTextRight"/>
              <w:widowControl w:val="0"/>
              <w:suppressAutoHyphens w:val="0"/>
            </w:pPr>
            <w:r w:rsidRPr="00CC1827">
              <w:t>Chicken/</w:t>
            </w:r>
            <w:r w:rsidR="000A762C">
              <w:t>d</w:t>
            </w:r>
            <w:r w:rsidRPr="00CC1827">
              <w:t>uck/</w:t>
            </w:r>
            <w:r w:rsidR="000A762C">
              <w:t>t</w:t>
            </w:r>
            <w:r w:rsidRPr="00CC1827">
              <w:t>urkey:</w:t>
            </w:r>
          </w:p>
          <w:p w14:paraId="20F300D1" w14:textId="0F875F6F" w:rsidR="00A77489" w:rsidRPr="00CC1827" w:rsidRDefault="00A77489" w:rsidP="00B102FF">
            <w:pPr>
              <w:pStyle w:val="APVMATableTextRight"/>
              <w:widowControl w:val="0"/>
              <w:suppressAutoHyphens w:val="0"/>
            </w:pPr>
            <w:r w:rsidRPr="00CC1827">
              <w:t>Kidney 10</w:t>
            </w:r>
            <w:r w:rsidR="00B102FF">
              <w:br/>
            </w:r>
            <w:r w:rsidRPr="00CC1827">
              <w:t>Liver 0.5</w:t>
            </w:r>
            <w:r w:rsidR="00B102FF">
              <w:br/>
            </w:r>
            <w:r w:rsidRPr="00CC1827">
              <w:t>Muscle 0.5</w:t>
            </w:r>
            <w:r w:rsidR="00B102FF">
              <w:br/>
            </w:r>
            <w:r w:rsidRPr="00CC1827">
              <w:t>Fat 0.5</w:t>
            </w:r>
          </w:p>
        </w:tc>
      </w:tr>
      <w:tr w:rsidR="00801280" w:rsidRPr="00053BAB" w14:paraId="56197DF7" w14:textId="77777777" w:rsidTr="00E043B4">
        <w:trPr>
          <w:cantSplit/>
          <w:trHeight w:val="699"/>
        </w:trPr>
        <w:tc>
          <w:tcPr>
            <w:tcW w:w="662" w:type="pct"/>
            <w:tcBorders>
              <w:left w:val="nil"/>
              <w:right w:val="nil"/>
            </w:tcBorders>
            <w:shd w:val="clear" w:color="auto" w:fill="auto"/>
          </w:tcPr>
          <w:p w14:paraId="4B85D0DA" w14:textId="77777777" w:rsidR="00A77489" w:rsidRPr="00CC1827" w:rsidRDefault="00A77489" w:rsidP="00C43350">
            <w:pPr>
              <w:pStyle w:val="TableSubHead"/>
              <w:keepNext w:val="0"/>
              <w:keepLines w:val="0"/>
              <w:widowControl w:val="0"/>
              <w:suppressAutoHyphens w:val="0"/>
            </w:pPr>
            <w:r w:rsidRPr="00CC1827">
              <w:t>Eggs</w:t>
            </w:r>
          </w:p>
        </w:tc>
        <w:tc>
          <w:tcPr>
            <w:tcW w:w="663" w:type="pct"/>
            <w:tcBorders>
              <w:left w:val="nil"/>
              <w:right w:val="nil"/>
            </w:tcBorders>
            <w:shd w:val="clear" w:color="auto" w:fill="auto"/>
          </w:tcPr>
          <w:p w14:paraId="67AA23A5" w14:textId="77777777" w:rsidR="00A77489" w:rsidRPr="00CC1827" w:rsidRDefault="00A77489" w:rsidP="00C43350">
            <w:pPr>
              <w:pStyle w:val="APVMATableTextRight"/>
              <w:widowControl w:val="0"/>
              <w:suppressAutoHyphens w:val="0"/>
            </w:pPr>
            <w:r w:rsidRPr="00CC1827">
              <w:t>T0.5</w:t>
            </w:r>
          </w:p>
        </w:tc>
        <w:tc>
          <w:tcPr>
            <w:tcW w:w="662" w:type="pct"/>
            <w:tcBorders>
              <w:left w:val="nil"/>
              <w:right w:val="nil"/>
            </w:tcBorders>
            <w:shd w:val="clear" w:color="auto" w:fill="auto"/>
          </w:tcPr>
          <w:p w14:paraId="052652BA" w14:textId="77777777" w:rsidR="00A77489" w:rsidRPr="00CC1827" w:rsidRDefault="00A77489" w:rsidP="00C43350">
            <w:pPr>
              <w:pStyle w:val="APVMATableTextRight"/>
              <w:widowControl w:val="0"/>
              <w:suppressAutoHyphens w:val="0"/>
            </w:pPr>
            <w:r w:rsidRPr="00CC1827">
              <w:t>Not supported</w:t>
            </w:r>
          </w:p>
        </w:tc>
        <w:tc>
          <w:tcPr>
            <w:tcW w:w="591" w:type="pct"/>
            <w:tcBorders>
              <w:left w:val="nil"/>
              <w:right w:val="nil"/>
            </w:tcBorders>
            <w:shd w:val="clear" w:color="auto" w:fill="auto"/>
          </w:tcPr>
          <w:p w14:paraId="2A405E9F" w14:textId="77777777" w:rsidR="00A77489" w:rsidRPr="00CC1827" w:rsidRDefault="00A77489" w:rsidP="00C43350">
            <w:pPr>
              <w:pStyle w:val="APVMATableTextRight"/>
              <w:widowControl w:val="0"/>
              <w:suppressAutoHyphens w:val="0"/>
            </w:pPr>
            <w:r w:rsidRPr="00CC1827">
              <w:t>Eggs 0.5</w:t>
            </w:r>
          </w:p>
        </w:tc>
        <w:tc>
          <w:tcPr>
            <w:tcW w:w="661" w:type="pct"/>
            <w:gridSpan w:val="2"/>
            <w:tcBorders>
              <w:left w:val="nil"/>
              <w:right w:val="nil"/>
            </w:tcBorders>
            <w:shd w:val="clear" w:color="auto" w:fill="auto"/>
          </w:tcPr>
          <w:p w14:paraId="027AC452" w14:textId="77777777" w:rsidR="00A77489" w:rsidRPr="00CC1827" w:rsidRDefault="00A77489" w:rsidP="00C43350">
            <w:pPr>
              <w:pStyle w:val="APVMATableTextRight"/>
              <w:widowControl w:val="0"/>
              <w:suppressAutoHyphens w:val="0"/>
            </w:pPr>
          </w:p>
        </w:tc>
        <w:tc>
          <w:tcPr>
            <w:tcW w:w="587" w:type="pct"/>
            <w:tcBorders>
              <w:left w:val="nil"/>
              <w:right w:val="nil"/>
            </w:tcBorders>
            <w:shd w:val="clear" w:color="auto" w:fill="auto"/>
          </w:tcPr>
          <w:p w14:paraId="3ACA2700" w14:textId="77777777" w:rsidR="00A77489" w:rsidRPr="00CC1827" w:rsidRDefault="00A77489" w:rsidP="00C43350">
            <w:pPr>
              <w:pStyle w:val="APVMATableTextRight"/>
              <w:widowControl w:val="0"/>
              <w:suppressAutoHyphens w:val="0"/>
            </w:pPr>
            <w:r w:rsidRPr="00CC1827">
              <w:t>Eggs 0.5</w:t>
            </w:r>
          </w:p>
        </w:tc>
        <w:tc>
          <w:tcPr>
            <w:tcW w:w="662" w:type="pct"/>
            <w:tcBorders>
              <w:left w:val="nil"/>
              <w:right w:val="nil"/>
            </w:tcBorders>
            <w:shd w:val="clear" w:color="auto" w:fill="auto"/>
          </w:tcPr>
          <w:p w14:paraId="78470118" w14:textId="77777777" w:rsidR="00A77489" w:rsidRPr="00CC1827" w:rsidRDefault="00A77489" w:rsidP="00C43350">
            <w:pPr>
              <w:pStyle w:val="APVMATableTextRight"/>
              <w:widowControl w:val="0"/>
              <w:suppressAutoHyphens w:val="0"/>
            </w:pPr>
            <w:r w:rsidRPr="00CC1827">
              <w:t>Eggs 0.5</w:t>
            </w:r>
          </w:p>
        </w:tc>
        <w:tc>
          <w:tcPr>
            <w:tcW w:w="512" w:type="pct"/>
            <w:tcBorders>
              <w:left w:val="nil"/>
              <w:right w:val="nil"/>
            </w:tcBorders>
            <w:shd w:val="clear" w:color="auto" w:fill="auto"/>
          </w:tcPr>
          <w:p w14:paraId="7D44DE85" w14:textId="31DA15A1" w:rsidR="00A77489" w:rsidRPr="00CC1827" w:rsidRDefault="00A77489" w:rsidP="00C43350">
            <w:pPr>
              <w:pStyle w:val="APVMATableTextRight"/>
              <w:widowControl w:val="0"/>
              <w:suppressAutoHyphens w:val="0"/>
            </w:pPr>
            <w:r w:rsidRPr="00CC1827">
              <w:t xml:space="preserve">Poultry </w:t>
            </w:r>
            <w:r w:rsidR="000A762C">
              <w:t>e</w:t>
            </w:r>
            <w:r w:rsidRPr="00CC1827">
              <w:t>gg 0.5</w:t>
            </w:r>
          </w:p>
        </w:tc>
      </w:tr>
    </w:tbl>
    <w:p w14:paraId="2B024B11" w14:textId="0DEB765E" w:rsidR="00A77489" w:rsidRPr="00C43350" w:rsidRDefault="00A77489" w:rsidP="00C43350">
      <w:pPr>
        <w:pStyle w:val="APVMAText"/>
      </w:pPr>
      <w:bookmarkStart w:id="106" w:name="_Hlk151906144"/>
      <w:bookmarkEnd w:id="99"/>
      <w:r w:rsidRPr="00C43350">
        <w:t>Export of treated produce containing finite (measurable) residues of neomycin may pose a risk to Australian trade in situations where (</w:t>
      </w:r>
      <w:proofErr w:type="spellStart"/>
      <w:r w:rsidRPr="00C43350">
        <w:t>i</w:t>
      </w:r>
      <w:proofErr w:type="spellEnd"/>
      <w:r w:rsidRPr="00C43350">
        <w:t xml:space="preserve">) no residue tolerance (import tolerance) is established in the importing country or (ii) where residues in Australian produce are likely to exceed a residue tolerance (import tolerance) established in the importing country. An </w:t>
      </w:r>
      <w:bookmarkStart w:id="107" w:name="_Hlk158387548"/>
      <w:r w:rsidRPr="00C43350">
        <w:t xml:space="preserve">Export Slaughter Interval </w:t>
      </w:r>
      <w:bookmarkEnd w:id="107"/>
      <w:r w:rsidRPr="00C43350">
        <w:t xml:space="preserve">(ESI) can help manage the potential risk to trade in meat and offal arising from the use of products containing neomycin. As stated in the APVMA labelling code for veterinary products, trade advice statements such as ESIs are required on product labels for use in or on cattle, </w:t>
      </w:r>
      <w:proofErr w:type="gramStart"/>
      <w:r w:rsidRPr="00C43350">
        <w:t>pigs</w:t>
      </w:r>
      <w:proofErr w:type="gramEnd"/>
      <w:r w:rsidRPr="00C43350">
        <w:t xml:space="preserve"> or sheep.</w:t>
      </w:r>
    </w:p>
    <w:p w14:paraId="120698F4" w14:textId="2100B25D" w:rsidR="00A77489" w:rsidRPr="00C43350" w:rsidRDefault="00A77489" w:rsidP="00C43350">
      <w:pPr>
        <w:pStyle w:val="APVMAText"/>
      </w:pPr>
      <w:r w:rsidRPr="00C43350">
        <w:lastRenderedPageBreak/>
        <w:t>ESI</w:t>
      </w:r>
      <w:r w:rsidR="001B3EE3" w:rsidRPr="00C43350">
        <w:t>s</w:t>
      </w:r>
      <w:r w:rsidRPr="00C43350">
        <w:t xml:space="preserve"> have not previously been established for currently registered neomycin product</w:t>
      </w:r>
      <w:r w:rsidR="001B3EE3" w:rsidRPr="00C43350">
        <w:t>s.</w:t>
      </w:r>
      <w:r w:rsidRPr="00C43350">
        <w:t xml:space="preserve"> </w:t>
      </w:r>
      <w:r w:rsidR="001B3EE3" w:rsidRPr="00C43350">
        <w:t>However, c</w:t>
      </w:r>
      <w:r w:rsidRPr="00C43350">
        <w:t>onsideration of appropriate ESI</w:t>
      </w:r>
      <w:r w:rsidR="001B3EE3" w:rsidRPr="00C43350">
        <w:t>s</w:t>
      </w:r>
      <w:r w:rsidRPr="00C43350">
        <w:t xml:space="preserve"> </w:t>
      </w:r>
      <w:proofErr w:type="gramStart"/>
      <w:r w:rsidR="001B3EE3" w:rsidRPr="00C43350">
        <w:t>are</w:t>
      </w:r>
      <w:proofErr w:type="gramEnd"/>
      <w:r w:rsidR="001B3EE3" w:rsidRPr="00C43350">
        <w:t xml:space="preserve"> </w:t>
      </w:r>
      <w:r w:rsidRPr="00C43350">
        <w:t xml:space="preserve">required </w:t>
      </w:r>
      <w:r w:rsidR="006955F2" w:rsidRPr="00C43350">
        <w:t xml:space="preserve">for cattle, sheep and pig uses </w:t>
      </w:r>
      <w:r w:rsidR="001B3EE3" w:rsidRPr="00C43350">
        <w:t xml:space="preserve">of neomycin </w:t>
      </w:r>
      <w:r w:rsidRPr="00C43350">
        <w:t xml:space="preserve">to bring the trade advice statements on </w:t>
      </w:r>
      <w:r w:rsidR="001B3EE3" w:rsidRPr="00C43350">
        <w:t xml:space="preserve">product </w:t>
      </w:r>
      <w:r w:rsidRPr="00C43350">
        <w:t>labels up to contemporary standards and to prevent an undue risk to international trade.</w:t>
      </w:r>
    </w:p>
    <w:p w14:paraId="222690F3" w14:textId="34C9A06C" w:rsidR="00A77489" w:rsidRPr="00C43350" w:rsidRDefault="00A77489" w:rsidP="00C43350">
      <w:pPr>
        <w:pStyle w:val="APVMAText"/>
      </w:pPr>
      <w:r w:rsidRPr="00C43350">
        <w:t>For cattle fat and muscle, the recommended neomycin MRLs are lower than those established overseas. For cattle kidney, the recommended MRL at 10</w:t>
      </w:r>
      <w:r w:rsidR="00B102FF">
        <w:t> </w:t>
      </w:r>
      <w:r w:rsidRPr="00C43350">
        <w:t>mg/kg, is higher than the MRL established in the USA at 7.2</w:t>
      </w:r>
      <w:r w:rsidR="00B102FF">
        <w:t> </w:t>
      </w:r>
      <w:r w:rsidRPr="00C43350">
        <w:t>mg/kg. For cattle liver, the recommended MRL at 1.3</w:t>
      </w:r>
      <w:r w:rsidR="00031F04">
        <w:t> </w:t>
      </w:r>
      <w:r w:rsidRPr="00C43350">
        <w:t xml:space="preserve">mg/kg is higher than that established by Codex, </w:t>
      </w:r>
      <w:proofErr w:type="gramStart"/>
      <w:r w:rsidRPr="00C43350">
        <w:t>Japan</w:t>
      </w:r>
      <w:proofErr w:type="gramEnd"/>
      <w:r w:rsidRPr="00C43350">
        <w:t xml:space="preserve"> and Korea at 0.5</w:t>
      </w:r>
      <w:r w:rsidR="00B102FF">
        <w:t> </w:t>
      </w:r>
      <w:r w:rsidRPr="00C43350">
        <w:t>mg/kg. The ESIs determined for cattle products are therefore based upon the time required for residues to decline to 7.2</w:t>
      </w:r>
      <w:r w:rsidR="00B102FF">
        <w:t> </w:t>
      </w:r>
      <w:r w:rsidRPr="00C43350">
        <w:t>mg/kg in cattle kidney and 0.5</w:t>
      </w:r>
      <w:r w:rsidR="00B102FF">
        <w:t> </w:t>
      </w:r>
      <w:r w:rsidRPr="00C43350">
        <w:t>mg/kg in cattle liver to prevent an undue risk to trade.</w:t>
      </w:r>
    </w:p>
    <w:p w14:paraId="3C93789E" w14:textId="6FD73C10" w:rsidR="00A77489" w:rsidRPr="00C43350" w:rsidRDefault="00A77489" w:rsidP="00C43350">
      <w:pPr>
        <w:pStyle w:val="APVMAText"/>
      </w:pPr>
      <w:r w:rsidRPr="00C43350">
        <w:t>For sheep fat, kidney and muscle, the recommended neomycin MRLs are lower than those established overseas. For sheep liver, the recommended MRL at 1.4</w:t>
      </w:r>
      <w:r w:rsidR="00B102FF">
        <w:t> </w:t>
      </w:r>
      <w:r w:rsidRPr="00C43350">
        <w:t xml:space="preserve">mg/kg is higher than that established by Codex, </w:t>
      </w:r>
      <w:proofErr w:type="gramStart"/>
      <w:r w:rsidRPr="00C43350">
        <w:t>Japan</w:t>
      </w:r>
      <w:proofErr w:type="gramEnd"/>
      <w:r w:rsidRPr="00C43350">
        <w:t xml:space="preserve"> and Korea at 0.5</w:t>
      </w:r>
      <w:r w:rsidR="00B102FF">
        <w:t> </w:t>
      </w:r>
      <w:r w:rsidRPr="00C43350">
        <w:t>mg/kg. The ESIs determined for sheep products are therefore based upon the time required for residues to decline to 0.5</w:t>
      </w:r>
      <w:r w:rsidR="00B102FF">
        <w:t> </w:t>
      </w:r>
      <w:r w:rsidRPr="00C43350">
        <w:t>mg/kg in sheep liver to prevent an undue risk to trade.</w:t>
      </w:r>
    </w:p>
    <w:p w14:paraId="1ABB7559" w14:textId="3B7358EA" w:rsidR="00CB6306" w:rsidRPr="00C43350" w:rsidRDefault="00A77489" w:rsidP="00C43350">
      <w:pPr>
        <w:pStyle w:val="APVMAText"/>
      </w:pPr>
      <w:r w:rsidRPr="00C43350">
        <w:t xml:space="preserve">For pig fat, kidney, liver and muscle, the recommended neomycin MRLs are lower than those </w:t>
      </w:r>
      <w:r w:rsidR="006955F2" w:rsidRPr="00C43350">
        <w:t>e</w:t>
      </w:r>
      <w:r w:rsidRPr="00C43350">
        <w:t xml:space="preserve">stablished overseas. The ESIs determined for </w:t>
      </w:r>
      <w:r w:rsidR="00053BAB" w:rsidRPr="00C43350">
        <w:t xml:space="preserve">injectable </w:t>
      </w:r>
      <w:r w:rsidRPr="00C43350">
        <w:t>sheep products</w:t>
      </w:r>
      <w:r w:rsidR="00053BAB" w:rsidRPr="00C43350">
        <w:t xml:space="preserve"> above</w:t>
      </w:r>
      <w:r w:rsidRPr="00C43350">
        <w:t xml:space="preserve"> can therefore be equal to the meat </w:t>
      </w:r>
      <w:r w:rsidR="00266EBF" w:rsidRPr="00C43350">
        <w:t>WHP</w:t>
      </w:r>
      <w:r w:rsidRPr="00C43350">
        <w:t>.</w:t>
      </w:r>
    </w:p>
    <w:p w14:paraId="16A627E2" w14:textId="60814408" w:rsidR="00AA5DC7" w:rsidRPr="00C43350" w:rsidRDefault="00AA5DC7" w:rsidP="00853764">
      <w:pPr>
        <w:pStyle w:val="Heading2"/>
      </w:pPr>
      <w:bookmarkStart w:id="108" w:name="_Toc152162147"/>
      <w:bookmarkStart w:id="109" w:name="_Toc152162148"/>
      <w:bookmarkStart w:id="110" w:name="_Toc152247655"/>
      <w:bookmarkStart w:id="111" w:name="_Toc152257568"/>
      <w:bookmarkStart w:id="112" w:name="_Toc152266097"/>
      <w:bookmarkStart w:id="113" w:name="_Toc152686244"/>
      <w:bookmarkStart w:id="114" w:name="_Toc153454004"/>
      <w:bookmarkStart w:id="115" w:name="_Toc155337627"/>
      <w:bookmarkStart w:id="116" w:name="_Toc156293492"/>
      <w:bookmarkStart w:id="117" w:name="_Toc152247656"/>
      <w:bookmarkStart w:id="118" w:name="_Toc152257569"/>
      <w:bookmarkStart w:id="119" w:name="_Toc152266098"/>
      <w:bookmarkStart w:id="120" w:name="_Toc152686245"/>
      <w:bookmarkStart w:id="121" w:name="_Toc153454005"/>
      <w:bookmarkStart w:id="122" w:name="_Toc155337628"/>
      <w:bookmarkStart w:id="123" w:name="_Toc156293493"/>
      <w:bookmarkStart w:id="124" w:name="_Toc144468324"/>
      <w:bookmarkStart w:id="125" w:name="_Toc158818267"/>
      <w:bookmarkEnd w:id="10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C43350">
        <w:t>Dietary exposure assessment</w:t>
      </w:r>
      <w:bookmarkEnd w:id="124"/>
      <w:bookmarkEnd w:id="125"/>
    </w:p>
    <w:p w14:paraId="5C929142" w14:textId="659F0B3D" w:rsidR="00A77489" w:rsidRDefault="00A77489" w:rsidP="00C43350">
      <w:pPr>
        <w:pStyle w:val="APVMAText"/>
      </w:pPr>
      <w:r w:rsidRPr="00C43350">
        <w:t>The following health standards</w:t>
      </w:r>
      <w:r w:rsidR="00853764">
        <w:t xml:space="preserve"> </w:t>
      </w:r>
      <w:r w:rsidRPr="00C43350">
        <w:t xml:space="preserve">currently established in the APVMA lists for </w:t>
      </w:r>
      <w:hyperlink r:id="rId39" w:history="1">
        <w:r w:rsidR="00B102FF" w:rsidRPr="00FE6AAC">
          <w:rPr>
            <w:rStyle w:val="Hyperlink"/>
          </w:rPr>
          <w:t>a</w:t>
        </w:r>
        <w:r w:rsidRPr="00FE6AAC">
          <w:rPr>
            <w:rStyle w:val="Hyperlink"/>
          </w:rPr>
          <w:t xml:space="preserve">cceptable </w:t>
        </w:r>
        <w:r w:rsidR="00B102FF" w:rsidRPr="00FE6AAC">
          <w:rPr>
            <w:rStyle w:val="Hyperlink"/>
          </w:rPr>
          <w:t>d</w:t>
        </w:r>
        <w:r w:rsidRPr="00FE6AAC">
          <w:rPr>
            <w:rStyle w:val="Hyperlink"/>
          </w:rPr>
          <w:t xml:space="preserve">aily </w:t>
        </w:r>
        <w:r w:rsidR="00B102FF" w:rsidRPr="00FE6AAC">
          <w:rPr>
            <w:rStyle w:val="Hyperlink"/>
          </w:rPr>
          <w:t>i</w:t>
        </w:r>
        <w:r w:rsidRPr="00FE6AAC">
          <w:rPr>
            <w:rStyle w:val="Hyperlink"/>
          </w:rPr>
          <w:t xml:space="preserve">ntakes </w:t>
        </w:r>
        <w:r w:rsidR="001B3EE3" w:rsidRPr="00FE6AAC">
          <w:rPr>
            <w:rStyle w:val="Hyperlink"/>
          </w:rPr>
          <w:t>for agricultural and veterinary chemicals</w:t>
        </w:r>
      </w:hyperlink>
      <w:r w:rsidRPr="00C43350">
        <w:t xml:space="preserve"> </w:t>
      </w:r>
      <w:r w:rsidR="00DB7FA5" w:rsidRPr="00C43350">
        <w:t xml:space="preserve">are </w:t>
      </w:r>
      <w:r w:rsidRPr="00C43350">
        <w:t>considered to be appropriate.</w:t>
      </w:r>
    </w:p>
    <w:p w14:paraId="40BFD903" w14:textId="21D34C04" w:rsidR="00853764" w:rsidRPr="00C43350" w:rsidRDefault="00853764" w:rsidP="00853764">
      <w:pPr>
        <w:pStyle w:val="Caption"/>
      </w:pPr>
      <w:bookmarkStart w:id="126" w:name="_Toc158818304"/>
      <w:r w:rsidRPr="00C43350">
        <w:t xml:space="preserve">Table </w:t>
      </w:r>
      <w:fldSimple w:instr=" SEQ Table \* ARABIC ">
        <w:r w:rsidR="00A75CD4">
          <w:rPr>
            <w:noProof/>
          </w:rPr>
          <w:t>15</w:t>
        </w:r>
      </w:fldSimple>
      <w:r w:rsidRPr="00C43350">
        <w:t>:</w:t>
      </w:r>
      <w:r w:rsidRPr="00C43350">
        <w:tab/>
        <w:t>Neomycin MRLs in some of Australia’s major trading markets for animal commodities</w:t>
      </w:r>
      <w:bookmarkEnd w:id="126"/>
    </w:p>
    <w:tbl>
      <w:tblPr>
        <w:tblStyle w:val="TableGrid"/>
        <w:tblW w:w="5000" w:type="pct"/>
        <w:tblLook w:val="04A0" w:firstRow="1" w:lastRow="0" w:firstColumn="1" w:lastColumn="0" w:noHBand="0" w:noVBand="1"/>
      </w:tblPr>
      <w:tblGrid>
        <w:gridCol w:w="1975"/>
        <w:gridCol w:w="1000"/>
        <w:gridCol w:w="615"/>
        <w:gridCol w:w="2018"/>
        <w:gridCol w:w="1910"/>
        <w:gridCol w:w="2120"/>
      </w:tblGrid>
      <w:tr w:rsidR="00A77489" w:rsidRPr="00EB2BC3" w14:paraId="77F972E6" w14:textId="77777777" w:rsidTr="0070626B">
        <w:tc>
          <w:tcPr>
            <w:tcW w:w="1024" w:type="pct"/>
            <w:tcBorders>
              <w:left w:val="nil"/>
              <w:bottom w:val="single" w:sz="4" w:space="0" w:color="auto"/>
              <w:right w:val="nil"/>
            </w:tcBorders>
            <w:shd w:val="clear" w:color="auto" w:fill="5C2946"/>
          </w:tcPr>
          <w:p w14:paraId="6564282F" w14:textId="77777777" w:rsidR="00A77489" w:rsidRPr="00C43350" w:rsidRDefault="00A77489" w:rsidP="00C43350">
            <w:pPr>
              <w:pStyle w:val="TableHead"/>
            </w:pPr>
            <w:r w:rsidRPr="00C43350">
              <w:t>Compound</w:t>
            </w:r>
          </w:p>
        </w:tc>
        <w:tc>
          <w:tcPr>
            <w:tcW w:w="838" w:type="pct"/>
            <w:gridSpan w:val="2"/>
            <w:tcBorders>
              <w:left w:val="nil"/>
              <w:right w:val="nil"/>
            </w:tcBorders>
            <w:shd w:val="clear" w:color="auto" w:fill="5C2946"/>
          </w:tcPr>
          <w:p w14:paraId="4E66724F" w14:textId="77777777" w:rsidR="00A77489" w:rsidRPr="00C43350" w:rsidRDefault="00A77489" w:rsidP="00C43350">
            <w:pPr>
              <w:pStyle w:val="TableHead"/>
            </w:pPr>
            <w:r w:rsidRPr="00C43350">
              <w:t xml:space="preserve">Dietary Standard, mg/kg </w:t>
            </w:r>
            <w:proofErr w:type="spellStart"/>
            <w:r w:rsidRPr="00C43350">
              <w:t>bw</w:t>
            </w:r>
            <w:proofErr w:type="spellEnd"/>
          </w:p>
        </w:tc>
        <w:tc>
          <w:tcPr>
            <w:tcW w:w="1047" w:type="pct"/>
            <w:tcBorders>
              <w:left w:val="nil"/>
              <w:right w:val="nil"/>
            </w:tcBorders>
            <w:shd w:val="clear" w:color="auto" w:fill="5C2946"/>
          </w:tcPr>
          <w:p w14:paraId="4B3C155E" w14:textId="77777777" w:rsidR="00A77489" w:rsidRPr="00C43350" w:rsidRDefault="00A77489" w:rsidP="00C43350">
            <w:pPr>
              <w:pStyle w:val="TableHead"/>
            </w:pPr>
            <w:r w:rsidRPr="00C43350">
              <w:t>No Observable Adverse Effect Level (</w:t>
            </w:r>
            <w:proofErr w:type="spellStart"/>
            <w:r w:rsidRPr="00C43350">
              <w:t>NOaEL</w:t>
            </w:r>
            <w:proofErr w:type="spellEnd"/>
            <w:r w:rsidRPr="00C43350">
              <w:t xml:space="preserve">), </w:t>
            </w:r>
          </w:p>
          <w:p w14:paraId="5B0C9ABA" w14:textId="77777777" w:rsidR="00A77489" w:rsidRPr="00C43350" w:rsidRDefault="00A77489" w:rsidP="00C43350">
            <w:pPr>
              <w:pStyle w:val="TableHead"/>
            </w:pPr>
            <w:r w:rsidRPr="00C43350">
              <w:t xml:space="preserve">mg/kg </w:t>
            </w:r>
            <w:proofErr w:type="spellStart"/>
            <w:r w:rsidRPr="00C43350">
              <w:t>bw</w:t>
            </w:r>
            <w:proofErr w:type="spellEnd"/>
          </w:p>
        </w:tc>
        <w:tc>
          <w:tcPr>
            <w:tcW w:w="991" w:type="pct"/>
            <w:tcBorders>
              <w:left w:val="nil"/>
              <w:bottom w:val="single" w:sz="4" w:space="0" w:color="auto"/>
              <w:right w:val="nil"/>
            </w:tcBorders>
            <w:shd w:val="clear" w:color="auto" w:fill="5C2946"/>
          </w:tcPr>
          <w:p w14:paraId="0D98BAC6" w14:textId="2E378B3A" w:rsidR="00A77489" w:rsidRPr="00C43350" w:rsidRDefault="00A77489" w:rsidP="00C43350">
            <w:pPr>
              <w:pStyle w:val="TableHead"/>
            </w:pPr>
            <w:r w:rsidRPr="00C43350">
              <w:t xml:space="preserve">Uncertainty </w:t>
            </w:r>
            <w:r w:rsidR="0070626B">
              <w:t>f</w:t>
            </w:r>
            <w:r w:rsidR="0070626B" w:rsidRPr="00C43350">
              <w:t>actor</w:t>
            </w:r>
          </w:p>
        </w:tc>
        <w:tc>
          <w:tcPr>
            <w:tcW w:w="1101" w:type="pct"/>
            <w:tcBorders>
              <w:left w:val="nil"/>
              <w:bottom w:val="single" w:sz="4" w:space="0" w:color="auto"/>
              <w:right w:val="nil"/>
            </w:tcBorders>
            <w:shd w:val="clear" w:color="auto" w:fill="5C2946"/>
          </w:tcPr>
          <w:p w14:paraId="3741F24E" w14:textId="77777777" w:rsidR="00A77489" w:rsidRPr="00C43350" w:rsidRDefault="00A77489" w:rsidP="00C43350">
            <w:pPr>
              <w:pStyle w:val="TableHead"/>
            </w:pPr>
            <w:r w:rsidRPr="00C43350">
              <w:t>Reference (APVMA/OCS/JMPR, date)</w:t>
            </w:r>
          </w:p>
        </w:tc>
      </w:tr>
      <w:tr w:rsidR="00A77489" w:rsidRPr="003F4126" w14:paraId="441C5F50" w14:textId="77777777" w:rsidTr="00C43350">
        <w:tc>
          <w:tcPr>
            <w:tcW w:w="1024" w:type="pct"/>
            <w:vMerge w:val="restart"/>
            <w:tcBorders>
              <w:left w:val="nil"/>
              <w:bottom w:val="single" w:sz="4" w:space="0" w:color="auto"/>
              <w:right w:val="nil"/>
            </w:tcBorders>
          </w:tcPr>
          <w:p w14:paraId="37B9D638" w14:textId="77777777" w:rsidR="00A77489" w:rsidRPr="00C43350" w:rsidRDefault="00A77489" w:rsidP="00C43350">
            <w:pPr>
              <w:pStyle w:val="APVMATableText"/>
            </w:pPr>
            <w:r w:rsidRPr="00C43350">
              <w:t>Neomycin</w:t>
            </w:r>
          </w:p>
        </w:tc>
        <w:tc>
          <w:tcPr>
            <w:tcW w:w="519" w:type="pct"/>
            <w:tcBorders>
              <w:left w:val="nil"/>
              <w:right w:val="nil"/>
            </w:tcBorders>
          </w:tcPr>
          <w:p w14:paraId="6F5BF523" w14:textId="77777777" w:rsidR="00A77489" w:rsidRPr="00C43350" w:rsidRDefault="00A77489" w:rsidP="00C43350">
            <w:pPr>
              <w:pStyle w:val="APVMATableText"/>
            </w:pPr>
            <w:r w:rsidRPr="00C43350">
              <w:t>ADI</w:t>
            </w:r>
          </w:p>
        </w:tc>
        <w:tc>
          <w:tcPr>
            <w:tcW w:w="319" w:type="pct"/>
            <w:tcBorders>
              <w:left w:val="nil"/>
              <w:bottom w:val="single" w:sz="4" w:space="0" w:color="auto"/>
              <w:right w:val="nil"/>
            </w:tcBorders>
          </w:tcPr>
          <w:p w14:paraId="35D834E7" w14:textId="77777777" w:rsidR="00A77489" w:rsidRPr="00C43350" w:rsidRDefault="00A77489" w:rsidP="00C43350">
            <w:pPr>
              <w:pStyle w:val="APVMATableText"/>
            </w:pPr>
            <w:r w:rsidRPr="00C43350">
              <w:t>0.06</w:t>
            </w:r>
          </w:p>
        </w:tc>
        <w:tc>
          <w:tcPr>
            <w:tcW w:w="1047" w:type="pct"/>
            <w:tcBorders>
              <w:left w:val="nil"/>
              <w:bottom w:val="single" w:sz="4" w:space="0" w:color="auto"/>
              <w:right w:val="nil"/>
            </w:tcBorders>
          </w:tcPr>
          <w:p w14:paraId="42725F0E" w14:textId="77777777" w:rsidR="00A77489" w:rsidRPr="00C43350" w:rsidRDefault="00A77489" w:rsidP="00C43350">
            <w:pPr>
              <w:pStyle w:val="APVMATableText"/>
            </w:pPr>
            <w:r w:rsidRPr="00C43350">
              <w:t>6 (JECFA 96)</w:t>
            </w:r>
          </w:p>
        </w:tc>
        <w:tc>
          <w:tcPr>
            <w:tcW w:w="991" w:type="pct"/>
            <w:tcBorders>
              <w:left w:val="nil"/>
              <w:bottom w:val="single" w:sz="4" w:space="0" w:color="auto"/>
              <w:right w:val="nil"/>
            </w:tcBorders>
          </w:tcPr>
          <w:p w14:paraId="38B56D75" w14:textId="77777777" w:rsidR="00A77489" w:rsidRPr="00C43350" w:rsidRDefault="00A77489" w:rsidP="00C43350">
            <w:pPr>
              <w:pStyle w:val="APVMATableText"/>
            </w:pPr>
            <w:r w:rsidRPr="00C43350">
              <w:t>100</w:t>
            </w:r>
          </w:p>
        </w:tc>
        <w:tc>
          <w:tcPr>
            <w:tcW w:w="1101" w:type="pct"/>
            <w:tcBorders>
              <w:left w:val="nil"/>
              <w:bottom w:val="single" w:sz="4" w:space="0" w:color="auto"/>
              <w:right w:val="nil"/>
            </w:tcBorders>
          </w:tcPr>
          <w:p w14:paraId="23350563" w14:textId="77777777" w:rsidR="00A77489" w:rsidRPr="00C43350" w:rsidRDefault="00A77489" w:rsidP="00C43350">
            <w:pPr>
              <w:pStyle w:val="APVMATableText"/>
            </w:pPr>
            <w:r w:rsidRPr="00C43350">
              <w:t>28/2/1986, OCS</w:t>
            </w:r>
          </w:p>
        </w:tc>
      </w:tr>
      <w:tr w:rsidR="00A77489" w:rsidRPr="00872E51" w14:paraId="71544B02" w14:textId="77777777" w:rsidTr="00C43350">
        <w:tc>
          <w:tcPr>
            <w:tcW w:w="1024" w:type="pct"/>
            <w:vMerge/>
            <w:tcBorders>
              <w:left w:val="nil"/>
              <w:bottom w:val="single" w:sz="4" w:space="0" w:color="auto"/>
              <w:right w:val="nil"/>
            </w:tcBorders>
          </w:tcPr>
          <w:p w14:paraId="0F814A52" w14:textId="77777777" w:rsidR="00A77489" w:rsidRPr="00C43350" w:rsidRDefault="00A77489" w:rsidP="00C43350">
            <w:pPr>
              <w:pStyle w:val="APVMATableText"/>
            </w:pPr>
          </w:p>
        </w:tc>
        <w:tc>
          <w:tcPr>
            <w:tcW w:w="519" w:type="pct"/>
            <w:tcBorders>
              <w:left w:val="nil"/>
              <w:right w:val="nil"/>
            </w:tcBorders>
          </w:tcPr>
          <w:p w14:paraId="6E0CDF7D" w14:textId="77777777" w:rsidR="00A77489" w:rsidRPr="00C43350" w:rsidRDefault="00A77489" w:rsidP="00C43350">
            <w:pPr>
              <w:pStyle w:val="APVMATableText"/>
            </w:pPr>
            <w:proofErr w:type="spellStart"/>
            <w:r w:rsidRPr="00C43350">
              <w:t>ARfD</w:t>
            </w:r>
            <w:proofErr w:type="spellEnd"/>
          </w:p>
        </w:tc>
        <w:tc>
          <w:tcPr>
            <w:tcW w:w="3458" w:type="pct"/>
            <w:gridSpan w:val="4"/>
            <w:tcBorders>
              <w:left w:val="nil"/>
              <w:right w:val="nil"/>
            </w:tcBorders>
          </w:tcPr>
          <w:p w14:paraId="7EE6A4FC" w14:textId="2C86E8A7" w:rsidR="00A77489" w:rsidRPr="00C43350" w:rsidRDefault="00A77489" w:rsidP="00C43350">
            <w:pPr>
              <w:pStyle w:val="APVMATableText"/>
            </w:pPr>
            <w:r w:rsidRPr="00C43350">
              <w:t xml:space="preserve">Not established by APVMA or </w:t>
            </w:r>
            <w:r w:rsidR="006955F2" w:rsidRPr="00C43350">
              <w:t>JECFA</w:t>
            </w:r>
          </w:p>
        </w:tc>
      </w:tr>
    </w:tbl>
    <w:p w14:paraId="1356C129" w14:textId="77777777" w:rsidR="00A77489" w:rsidRPr="00C43350" w:rsidRDefault="00A77489" w:rsidP="00C43350">
      <w:pPr>
        <w:pStyle w:val="Heading3"/>
      </w:pPr>
      <w:bookmarkStart w:id="127" w:name="_Toc5804419"/>
      <w:bookmarkStart w:id="128" w:name="_Toc5806477"/>
      <w:bookmarkStart w:id="129" w:name="_Toc5863439"/>
      <w:bookmarkStart w:id="130" w:name="_Toc5951080"/>
      <w:bookmarkStart w:id="131" w:name="_Toc152266117"/>
      <w:bookmarkStart w:id="132" w:name="_Toc158818268"/>
      <w:bookmarkEnd w:id="127"/>
      <w:bookmarkEnd w:id="128"/>
      <w:bookmarkEnd w:id="129"/>
      <w:bookmarkEnd w:id="130"/>
      <w:r w:rsidRPr="00C43350">
        <w:t>JECFA estimated dietary intake</w:t>
      </w:r>
      <w:bookmarkEnd w:id="131"/>
      <w:bookmarkEnd w:id="132"/>
    </w:p>
    <w:p w14:paraId="023CF9A5" w14:textId="441A1650" w:rsidR="00A77489" w:rsidRPr="00C43350" w:rsidRDefault="00A77489" w:rsidP="00C43350">
      <w:pPr>
        <w:pStyle w:val="APVMAText"/>
      </w:pPr>
      <w:r w:rsidRPr="00C43350">
        <w:t>The APVMA utilises the JECFA approach to MRL-setting where chronic exposure to total residues is estimated by multiplying the components of the conservative JECFA food basket (consisting of 300</w:t>
      </w:r>
      <w:r w:rsidR="00B102FF">
        <w:t> </w:t>
      </w:r>
      <w:r w:rsidRPr="00C43350">
        <w:t>g muscle, 100</w:t>
      </w:r>
      <w:r w:rsidR="00B102FF">
        <w:t> </w:t>
      </w:r>
      <w:r w:rsidRPr="00C43350">
        <w:t>g liver, 50</w:t>
      </w:r>
      <w:r w:rsidR="00B102FF">
        <w:t> </w:t>
      </w:r>
      <w:r w:rsidRPr="00C43350">
        <w:t>g kidney and 50</w:t>
      </w:r>
      <w:r w:rsidR="00B102FF">
        <w:t> </w:t>
      </w:r>
      <w:r w:rsidRPr="00C43350">
        <w:t xml:space="preserve">g fat) by the </w:t>
      </w:r>
      <w:r w:rsidR="00092592">
        <w:t>‘</w:t>
      </w:r>
      <w:r w:rsidRPr="00C43350">
        <w:t>median residue</w:t>
      </w:r>
      <w:r w:rsidR="00092592">
        <w:t>’</w:t>
      </w:r>
      <w:r w:rsidR="00092592" w:rsidRPr="00C43350">
        <w:t xml:space="preserve"> </w:t>
      </w:r>
      <w:r w:rsidRPr="00C43350">
        <w:t xml:space="preserve">in each food (muscle, liver, kidney, </w:t>
      </w:r>
      <w:r w:rsidRPr="00C43350">
        <w:lastRenderedPageBreak/>
        <w:t xml:space="preserve">skin/fat) at a specified sampling time, and summing the total residues to determine the </w:t>
      </w:r>
      <w:r w:rsidR="00092592">
        <w:t>‘</w:t>
      </w:r>
      <w:r w:rsidRPr="00C43350">
        <w:t>estimated daily intake</w:t>
      </w:r>
      <w:r w:rsidR="00092592">
        <w:t>’</w:t>
      </w:r>
      <w:r w:rsidR="00092592" w:rsidRPr="00C43350">
        <w:t xml:space="preserve"> </w:t>
      </w:r>
      <w:r w:rsidRPr="00C43350">
        <w:t>(EDI)</w:t>
      </w:r>
      <w:r w:rsidRPr="00C43350">
        <w:rPr>
          <w:vertAlign w:val="superscript"/>
        </w:rPr>
        <w:footnoteReference w:id="7"/>
      </w:r>
      <w:r w:rsidR="006955F2" w:rsidRPr="00C43350">
        <w:t>.</w:t>
      </w:r>
      <w:r w:rsidR="00853764">
        <w:t xml:space="preserve"> These values are shows in </w:t>
      </w:r>
      <w:r w:rsidR="00644AD6">
        <w:t>T</w:t>
      </w:r>
      <w:r w:rsidR="00853764">
        <w:t>able 16</w:t>
      </w:r>
      <w:r w:rsidR="0057686F">
        <w:t xml:space="preserve"> below</w:t>
      </w:r>
      <w:r w:rsidR="00853764">
        <w:t>.</w:t>
      </w:r>
    </w:p>
    <w:p w14:paraId="7841E7CF" w14:textId="3BE272D4" w:rsidR="00A77489" w:rsidRPr="00C43350" w:rsidRDefault="00E9120B" w:rsidP="00C43350">
      <w:pPr>
        <w:pStyle w:val="Caption"/>
      </w:pPr>
      <w:bookmarkStart w:id="133" w:name="_Toc158818305"/>
      <w:r w:rsidRPr="00C43350">
        <w:t xml:space="preserve">Table </w:t>
      </w:r>
      <w:fldSimple w:instr=" SEQ Table \* ARABIC ">
        <w:r w:rsidR="00A75CD4">
          <w:rPr>
            <w:noProof/>
          </w:rPr>
          <w:t>16</w:t>
        </w:r>
      </w:fldSimple>
      <w:r w:rsidRPr="00C43350">
        <w:t>:</w:t>
      </w:r>
      <w:r w:rsidR="009C3C7F" w:rsidRPr="00C43350">
        <w:tab/>
      </w:r>
      <w:r w:rsidRPr="00C43350">
        <w:t xml:space="preserve">Estimated daily intake for </w:t>
      </w:r>
      <w:r w:rsidR="00B102FF">
        <w:t>n</w:t>
      </w:r>
      <w:r w:rsidRPr="00C43350">
        <w:t>eomycin residues</w:t>
      </w:r>
      <w:bookmarkEnd w:id="133"/>
    </w:p>
    <w:tbl>
      <w:tblPr>
        <w:tblW w:w="5000" w:type="pct"/>
        <w:tblBorders>
          <w:bottom w:val="dotted" w:sz="2" w:space="0" w:color="auto"/>
          <w:insideH w:val="dotted" w:sz="2" w:space="0" w:color="auto"/>
        </w:tblBorders>
        <w:tblLook w:val="01E0" w:firstRow="1" w:lastRow="1" w:firstColumn="1" w:lastColumn="1" w:noHBand="0" w:noVBand="0"/>
      </w:tblPr>
      <w:tblGrid>
        <w:gridCol w:w="1560"/>
        <w:gridCol w:w="1702"/>
        <w:gridCol w:w="2269"/>
        <w:gridCol w:w="1985"/>
        <w:gridCol w:w="2122"/>
      </w:tblGrid>
      <w:tr w:rsidR="001B3EE3" w14:paraId="7C235FDA" w14:textId="1293EAE3" w:rsidTr="00C43350">
        <w:trPr>
          <w:cantSplit/>
          <w:tblHeader/>
        </w:trPr>
        <w:tc>
          <w:tcPr>
            <w:tcW w:w="809" w:type="pct"/>
            <w:tcBorders>
              <w:top w:val="single" w:sz="4" w:space="0" w:color="auto"/>
              <w:bottom w:val="single" w:sz="4" w:space="0" w:color="auto"/>
            </w:tcBorders>
            <w:shd w:val="clear" w:color="auto" w:fill="5C2946"/>
            <w:vAlign w:val="center"/>
          </w:tcPr>
          <w:p w14:paraId="0757FFAC" w14:textId="64959228" w:rsidR="001B3EE3" w:rsidRPr="00C43350" w:rsidRDefault="001B3EE3" w:rsidP="00C43350">
            <w:pPr>
              <w:pStyle w:val="TableHead"/>
            </w:pPr>
            <w:r w:rsidRPr="00C43350">
              <w:t>Edible tissue</w:t>
            </w:r>
          </w:p>
        </w:tc>
        <w:tc>
          <w:tcPr>
            <w:tcW w:w="883" w:type="pct"/>
            <w:tcBorders>
              <w:top w:val="single" w:sz="4" w:space="0" w:color="auto"/>
              <w:bottom w:val="single" w:sz="4" w:space="0" w:color="auto"/>
            </w:tcBorders>
            <w:shd w:val="clear" w:color="auto" w:fill="5C2946"/>
            <w:vAlign w:val="center"/>
          </w:tcPr>
          <w:p w14:paraId="55F823ED" w14:textId="689A1BC8" w:rsidR="001B3EE3" w:rsidRPr="00C43350" w:rsidRDefault="001B3EE3" w:rsidP="00C43350">
            <w:pPr>
              <w:pStyle w:val="TableHeadRight"/>
            </w:pPr>
            <w:r w:rsidRPr="00C43350">
              <w:t>MRL (mg/</w:t>
            </w:r>
            <w:proofErr w:type="gramStart"/>
            <w:r w:rsidRPr="00C43350">
              <w:t>kg)#</w:t>
            </w:r>
            <w:proofErr w:type="gramEnd"/>
          </w:p>
        </w:tc>
        <w:tc>
          <w:tcPr>
            <w:tcW w:w="1177" w:type="pct"/>
            <w:tcBorders>
              <w:top w:val="single" w:sz="4" w:space="0" w:color="auto"/>
              <w:bottom w:val="single" w:sz="4" w:space="0" w:color="auto"/>
            </w:tcBorders>
            <w:shd w:val="clear" w:color="auto" w:fill="5C2946"/>
            <w:vAlign w:val="center"/>
          </w:tcPr>
          <w:p w14:paraId="2B872F03" w14:textId="076927AA" w:rsidR="001B3EE3" w:rsidRPr="00C43350" w:rsidRDefault="001B3EE3" w:rsidP="00C43350">
            <w:pPr>
              <w:pStyle w:val="TableHeadRight"/>
            </w:pPr>
            <w:r w:rsidRPr="00C43350">
              <w:t>Ratio of marker residue to total residues *</w:t>
            </w:r>
          </w:p>
        </w:tc>
        <w:tc>
          <w:tcPr>
            <w:tcW w:w="1030" w:type="pct"/>
            <w:tcBorders>
              <w:top w:val="single" w:sz="4" w:space="0" w:color="auto"/>
              <w:bottom w:val="single" w:sz="4" w:space="0" w:color="auto"/>
            </w:tcBorders>
            <w:shd w:val="clear" w:color="auto" w:fill="5C2946"/>
            <w:vAlign w:val="center"/>
          </w:tcPr>
          <w:p w14:paraId="4FA6B0A6" w14:textId="263D37A4" w:rsidR="001B3EE3" w:rsidRPr="00C43350" w:rsidRDefault="001B3EE3" w:rsidP="00C43350">
            <w:pPr>
              <w:pStyle w:val="TableHeadRight"/>
            </w:pPr>
            <w:r w:rsidRPr="00C43350">
              <w:t>Daily consumption (kg/person)</w:t>
            </w:r>
          </w:p>
        </w:tc>
        <w:tc>
          <w:tcPr>
            <w:tcW w:w="1101" w:type="pct"/>
            <w:tcBorders>
              <w:top w:val="single" w:sz="4" w:space="0" w:color="auto"/>
              <w:bottom w:val="single" w:sz="4" w:space="0" w:color="auto"/>
            </w:tcBorders>
            <w:shd w:val="clear" w:color="auto" w:fill="5C2946"/>
            <w:vAlign w:val="center"/>
          </w:tcPr>
          <w:p w14:paraId="48D3B442" w14:textId="6FFE2006" w:rsidR="001B3EE3" w:rsidRPr="00C43350" w:rsidRDefault="001B3EE3" w:rsidP="00C43350">
            <w:pPr>
              <w:pStyle w:val="TableHeadRight"/>
            </w:pPr>
            <w:r w:rsidRPr="00C43350">
              <w:t>Daily intake residues (mg/person)</w:t>
            </w:r>
          </w:p>
        </w:tc>
      </w:tr>
      <w:tr w:rsidR="001B3EE3" w14:paraId="6136D465" w14:textId="7CB72DA7" w:rsidTr="00C43350">
        <w:trPr>
          <w:cantSplit/>
        </w:trPr>
        <w:tc>
          <w:tcPr>
            <w:tcW w:w="809" w:type="pct"/>
            <w:tcBorders>
              <w:top w:val="single" w:sz="4" w:space="0" w:color="auto"/>
              <w:bottom w:val="single" w:sz="4" w:space="0" w:color="auto"/>
            </w:tcBorders>
            <w:vAlign w:val="center"/>
          </w:tcPr>
          <w:p w14:paraId="74211F42" w14:textId="26A43C85" w:rsidR="001B3EE3" w:rsidRDefault="001B3EE3" w:rsidP="00C43350">
            <w:pPr>
              <w:pStyle w:val="TableText"/>
            </w:pPr>
            <w:r w:rsidRPr="00A97119">
              <w:t xml:space="preserve">Fat </w:t>
            </w:r>
          </w:p>
        </w:tc>
        <w:tc>
          <w:tcPr>
            <w:tcW w:w="883" w:type="pct"/>
            <w:tcBorders>
              <w:top w:val="single" w:sz="4" w:space="0" w:color="auto"/>
              <w:bottom w:val="single" w:sz="4" w:space="0" w:color="auto"/>
            </w:tcBorders>
            <w:vAlign w:val="center"/>
          </w:tcPr>
          <w:p w14:paraId="35B92AED" w14:textId="05B28540" w:rsidR="001B3EE3" w:rsidRDefault="001B3EE3" w:rsidP="00C43350">
            <w:pPr>
              <w:pStyle w:val="TableTextRight"/>
            </w:pPr>
            <w:r w:rsidRPr="00A97119">
              <w:t>0.1</w:t>
            </w:r>
          </w:p>
        </w:tc>
        <w:tc>
          <w:tcPr>
            <w:tcW w:w="1177" w:type="pct"/>
            <w:tcBorders>
              <w:top w:val="single" w:sz="4" w:space="0" w:color="auto"/>
              <w:bottom w:val="single" w:sz="4" w:space="0" w:color="auto"/>
            </w:tcBorders>
            <w:vAlign w:val="center"/>
          </w:tcPr>
          <w:p w14:paraId="1BB09AFE" w14:textId="2CAE8DF1" w:rsidR="001B3EE3" w:rsidRDefault="001B3EE3" w:rsidP="00C43350">
            <w:pPr>
              <w:pStyle w:val="TableTextRight"/>
            </w:pPr>
            <w:r w:rsidRPr="00A97119">
              <w:t>1</w:t>
            </w:r>
          </w:p>
        </w:tc>
        <w:tc>
          <w:tcPr>
            <w:tcW w:w="1030" w:type="pct"/>
            <w:tcBorders>
              <w:top w:val="single" w:sz="4" w:space="0" w:color="auto"/>
              <w:bottom w:val="single" w:sz="4" w:space="0" w:color="auto"/>
            </w:tcBorders>
            <w:vAlign w:val="center"/>
          </w:tcPr>
          <w:p w14:paraId="1A5F4C2B" w14:textId="3F88180A" w:rsidR="001B3EE3" w:rsidRDefault="001B3EE3" w:rsidP="00C43350">
            <w:pPr>
              <w:pStyle w:val="TableTextRight"/>
            </w:pPr>
            <w:r w:rsidRPr="00A97119">
              <w:t>0.05</w:t>
            </w:r>
          </w:p>
        </w:tc>
        <w:tc>
          <w:tcPr>
            <w:tcW w:w="1101" w:type="pct"/>
            <w:tcBorders>
              <w:top w:val="single" w:sz="4" w:space="0" w:color="auto"/>
              <w:bottom w:val="single" w:sz="4" w:space="0" w:color="auto"/>
            </w:tcBorders>
            <w:vAlign w:val="center"/>
          </w:tcPr>
          <w:p w14:paraId="54F9C1B2" w14:textId="630F0807" w:rsidR="001B3EE3" w:rsidRDefault="001B3EE3" w:rsidP="00C43350">
            <w:pPr>
              <w:pStyle w:val="TableTextRight"/>
            </w:pPr>
            <w:r w:rsidRPr="005F30EE">
              <w:t>0.005</w:t>
            </w:r>
          </w:p>
        </w:tc>
      </w:tr>
      <w:tr w:rsidR="001B3EE3" w14:paraId="3332EAB3" w14:textId="77777777" w:rsidTr="00C43350">
        <w:trPr>
          <w:cantSplit/>
        </w:trPr>
        <w:tc>
          <w:tcPr>
            <w:tcW w:w="809" w:type="pct"/>
            <w:tcBorders>
              <w:top w:val="single" w:sz="4" w:space="0" w:color="auto"/>
              <w:bottom w:val="single" w:sz="4" w:space="0" w:color="auto"/>
            </w:tcBorders>
            <w:vAlign w:val="center"/>
          </w:tcPr>
          <w:p w14:paraId="654B41AA" w14:textId="52B3F0EC" w:rsidR="001B3EE3" w:rsidRDefault="001B3EE3" w:rsidP="00C43350">
            <w:pPr>
              <w:pStyle w:val="TableText"/>
            </w:pPr>
            <w:r w:rsidRPr="00A97119">
              <w:t>Liver</w:t>
            </w:r>
          </w:p>
        </w:tc>
        <w:tc>
          <w:tcPr>
            <w:tcW w:w="883" w:type="pct"/>
            <w:tcBorders>
              <w:top w:val="single" w:sz="4" w:space="0" w:color="auto"/>
              <w:bottom w:val="single" w:sz="4" w:space="0" w:color="auto"/>
            </w:tcBorders>
            <w:vAlign w:val="center"/>
          </w:tcPr>
          <w:p w14:paraId="13230E0C" w14:textId="5C2E7BA7" w:rsidR="001B3EE3" w:rsidRDefault="001B3EE3" w:rsidP="00C43350">
            <w:pPr>
              <w:pStyle w:val="TableTextRight"/>
            </w:pPr>
            <w:r w:rsidRPr="00A97119">
              <w:t>1.4</w:t>
            </w:r>
          </w:p>
        </w:tc>
        <w:tc>
          <w:tcPr>
            <w:tcW w:w="1177" w:type="pct"/>
            <w:tcBorders>
              <w:top w:val="single" w:sz="4" w:space="0" w:color="auto"/>
              <w:bottom w:val="single" w:sz="4" w:space="0" w:color="auto"/>
            </w:tcBorders>
            <w:vAlign w:val="center"/>
          </w:tcPr>
          <w:p w14:paraId="42DE9C6E" w14:textId="7E4AA169" w:rsidR="001B3EE3" w:rsidRDefault="001B3EE3" w:rsidP="00C43350">
            <w:pPr>
              <w:pStyle w:val="TableTextRight"/>
            </w:pPr>
            <w:r w:rsidRPr="00A97119">
              <w:t>1</w:t>
            </w:r>
          </w:p>
        </w:tc>
        <w:tc>
          <w:tcPr>
            <w:tcW w:w="1030" w:type="pct"/>
            <w:tcBorders>
              <w:top w:val="single" w:sz="4" w:space="0" w:color="auto"/>
              <w:bottom w:val="single" w:sz="4" w:space="0" w:color="auto"/>
            </w:tcBorders>
            <w:vAlign w:val="center"/>
          </w:tcPr>
          <w:p w14:paraId="7123F908" w14:textId="101F40FE" w:rsidR="001B3EE3" w:rsidRDefault="001B3EE3" w:rsidP="00C43350">
            <w:pPr>
              <w:pStyle w:val="TableTextRight"/>
            </w:pPr>
            <w:r w:rsidRPr="00A97119">
              <w:t>0.1</w:t>
            </w:r>
          </w:p>
        </w:tc>
        <w:tc>
          <w:tcPr>
            <w:tcW w:w="1101" w:type="pct"/>
            <w:tcBorders>
              <w:top w:val="single" w:sz="4" w:space="0" w:color="auto"/>
              <w:bottom w:val="single" w:sz="4" w:space="0" w:color="auto"/>
            </w:tcBorders>
            <w:vAlign w:val="center"/>
          </w:tcPr>
          <w:p w14:paraId="0C159647" w14:textId="1A0D0FE4" w:rsidR="001B3EE3" w:rsidRDefault="001B3EE3" w:rsidP="00C43350">
            <w:pPr>
              <w:pStyle w:val="TableTextRight"/>
            </w:pPr>
            <w:r w:rsidRPr="005F30EE">
              <w:t>0.140</w:t>
            </w:r>
          </w:p>
        </w:tc>
      </w:tr>
      <w:tr w:rsidR="001B3EE3" w14:paraId="6E3956DC" w14:textId="77777777" w:rsidTr="00C43350">
        <w:trPr>
          <w:cantSplit/>
        </w:trPr>
        <w:tc>
          <w:tcPr>
            <w:tcW w:w="809" w:type="pct"/>
            <w:tcBorders>
              <w:top w:val="single" w:sz="4" w:space="0" w:color="auto"/>
              <w:bottom w:val="single" w:sz="4" w:space="0" w:color="auto"/>
            </w:tcBorders>
            <w:vAlign w:val="center"/>
          </w:tcPr>
          <w:p w14:paraId="162BA67F" w14:textId="0227597A" w:rsidR="001B3EE3" w:rsidRDefault="001B3EE3" w:rsidP="00C43350">
            <w:pPr>
              <w:pStyle w:val="TableText"/>
            </w:pPr>
            <w:r w:rsidRPr="00A97119">
              <w:t>Kidney</w:t>
            </w:r>
          </w:p>
        </w:tc>
        <w:tc>
          <w:tcPr>
            <w:tcW w:w="883" w:type="pct"/>
            <w:tcBorders>
              <w:top w:val="single" w:sz="4" w:space="0" w:color="auto"/>
              <w:bottom w:val="single" w:sz="4" w:space="0" w:color="auto"/>
            </w:tcBorders>
            <w:vAlign w:val="center"/>
          </w:tcPr>
          <w:p w14:paraId="239F0831" w14:textId="3AA040E9" w:rsidR="001B3EE3" w:rsidRDefault="001B3EE3" w:rsidP="00C43350">
            <w:pPr>
              <w:pStyle w:val="TableTextRight"/>
            </w:pPr>
            <w:r w:rsidRPr="00A97119">
              <w:t>10</w:t>
            </w:r>
          </w:p>
        </w:tc>
        <w:tc>
          <w:tcPr>
            <w:tcW w:w="1177" w:type="pct"/>
            <w:tcBorders>
              <w:top w:val="single" w:sz="4" w:space="0" w:color="auto"/>
              <w:bottom w:val="single" w:sz="4" w:space="0" w:color="auto"/>
            </w:tcBorders>
            <w:vAlign w:val="center"/>
          </w:tcPr>
          <w:p w14:paraId="270A002B" w14:textId="30E70F34" w:rsidR="001B3EE3" w:rsidRDefault="001B3EE3" w:rsidP="00C43350">
            <w:pPr>
              <w:pStyle w:val="TableTextRight"/>
            </w:pPr>
            <w:r w:rsidRPr="00A97119">
              <w:t>1</w:t>
            </w:r>
          </w:p>
        </w:tc>
        <w:tc>
          <w:tcPr>
            <w:tcW w:w="1030" w:type="pct"/>
            <w:tcBorders>
              <w:top w:val="single" w:sz="4" w:space="0" w:color="auto"/>
              <w:bottom w:val="single" w:sz="4" w:space="0" w:color="auto"/>
            </w:tcBorders>
            <w:vAlign w:val="center"/>
          </w:tcPr>
          <w:p w14:paraId="45B52639" w14:textId="2B3EFF3B" w:rsidR="001B3EE3" w:rsidRDefault="001B3EE3" w:rsidP="00C43350">
            <w:pPr>
              <w:pStyle w:val="TableTextRight"/>
            </w:pPr>
            <w:r w:rsidRPr="00A97119">
              <w:t>0.05</w:t>
            </w:r>
          </w:p>
        </w:tc>
        <w:tc>
          <w:tcPr>
            <w:tcW w:w="1101" w:type="pct"/>
            <w:tcBorders>
              <w:top w:val="single" w:sz="4" w:space="0" w:color="auto"/>
              <w:bottom w:val="single" w:sz="4" w:space="0" w:color="auto"/>
            </w:tcBorders>
            <w:vAlign w:val="center"/>
          </w:tcPr>
          <w:p w14:paraId="51881FD0" w14:textId="2AD23CE6" w:rsidR="001B3EE3" w:rsidRDefault="001B3EE3" w:rsidP="00C43350">
            <w:pPr>
              <w:pStyle w:val="TableTextRight"/>
            </w:pPr>
            <w:r w:rsidRPr="005F30EE">
              <w:t>0.500</w:t>
            </w:r>
          </w:p>
        </w:tc>
      </w:tr>
      <w:tr w:rsidR="001B3EE3" w14:paraId="70351ABF" w14:textId="77777777" w:rsidTr="00C43350">
        <w:trPr>
          <w:cantSplit/>
        </w:trPr>
        <w:tc>
          <w:tcPr>
            <w:tcW w:w="809" w:type="pct"/>
            <w:tcBorders>
              <w:top w:val="single" w:sz="4" w:space="0" w:color="auto"/>
              <w:bottom w:val="single" w:sz="4" w:space="0" w:color="auto"/>
            </w:tcBorders>
            <w:vAlign w:val="center"/>
          </w:tcPr>
          <w:p w14:paraId="04BF7FB9" w14:textId="5E76FB73" w:rsidR="001B3EE3" w:rsidRDefault="001B3EE3" w:rsidP="00C43350">
            <w:pPr>
              <w:pStyle w:val="TableText"/>
            </w:pPr>
            <w:r w:rsidRPr="00A97119">
              <w:t>Muscle</w:t>
            </w:r>
          </w:p>
        </w:tc>
        <w:tc>
          <w:tcPr>
            <w:tcW w:w="883" w:type="pct"/>
            <w:tcBorders>
              <w:top w:val="single" w:sz="4" w:space="0" w:color="auto"/>
              <w:bottom w:val="single" w:sz="4" w:space="0" w:color="auto"/>
            </w:tcBorders>
            <w:vAlign w:val="center"/>
          </w:tcPr>
          <w:p w14:paraId="4193A02B" w14:textId="159957F3" w:rsidR="001B3EE3" w:rsidRDefault="001B3EE3" w:rsidP="00C43350">
            <w:pPr>
              <w:pStyle w:val="TableTextRight"/>
            </w:pPr>
            <w:r w:rsidRPr="00A97119">
              <w:t>0.08</w:t>
            </w:r>
          </w:p>
        </w:tc>
        <w:tc>
          <w:tcPr>
            <w:tcW w:w="1177" w:type="pct"/>
            <w:tcBorders>
              <w:top w:val="single" w:sz="4" w:space="0" w:color="auto"/>
              <w:bottom w:val="single" w:sz="4" w:space="0" w:color="auto"/>
            </w:tcBorders>
            <w:vAlign w:val="center"/>
          </w:tcPr>
          <w:p w14:paraId="577461CB" w14:textId="36CFD1B5" w:rsidR="001B3EE3" w:rsidRDefault="001B3EE3" w:rsidP="00C43350">
            <w:pPr>
              <w:pStyle w:val="TableTextRight"/>
            </w:pPr>
            <w:r w:rsidRPr="00A97119">
              <w:t>1</w:t>
            </w:r>
          </w:p>
        </w:tc>
        <w:tc>
          <w:tcPr>
            <w:tcW w:w="1030" w:type="pct"/>
            <w:tcBorders>
              <w:top w:val="single" w:sz="4" w:space="0" w:color="auto"/>
              <w:bottom w:val="single" w:sz="4" w:space="0" w:color="auto"/>
            </w:tcBorders>
            <w:vAlign w:val="center"/>
          </w:tcPr>
          <w:p w14:paraId="26D89039" w14:textId="5DACCAB8" w:rsidR="001B3EE3" w:rsidRDefault="001B3EE3" w:rsidP="00C43350">
            <w:pPr>
              <w:pStyle w:val="TableTextRight"/>
            </w:pPr>
            <w:r w:rsidRPr="00A97119">
              <w:t>0.3</w:t>
            </w:r>
          </w:p>
        </w:tc>
        <w:tc>
          <w:tcPr>
            <w:tcW w:w="1101" w:type="pct"/>
            <w:tcBorders>
              <w:top w:val="single" w:sz="4" w:space="0" w:color="auto"/>
              <w:bottom w:val="single" w:sz="4" w:space="0" w:color="auto"/>
            </w:tcBorders>
            <w:vAlign w:val="center"/>
          </w:tcPr>
          <w:p w14:paraId="5D21AEA0" w14:textId="48E9D700" w:rsidR="001B3EE3" w:rsidRDefault="001B3EE3" w:rsidP="00C43350">
            <w:pPr>
              <w:pStyle w:val="TableTextRight"/>
            </w:pPr>
            <w:r w:rsidRPr="005F30EE">
              <w:t>0.024</w:t>
            </w:r>
          </w:p>
        </w:tc>
      </w:tr>
      <w:tr w:rsidR="001B3EE3" w14:paraId="26BE845A" w14:textId="77777777" w:rsidTr="00C43350">
        <w:trPr>
          <w:cantSplit/>
        </w:trPr>
        <w:tc>
          <w:tcPr>
            <w:tcW w:w="3899" w:type="pct"/>
            <w:gridSpan w:val="4"/>
            <w:tcBorders>
              <w:top w:val="single" w:sz="4" w:space="0" w:color="auto"/>
              <w:bottom w:val="single" w:sz="4" w:space="0" w:color="auto"/>
            </w:tcBorders>
            <w:vAlign w:val="center"/>
          </w:tcPr>
          <w:p w14:paraId="0A1F0738" w14:textId="1D7B5C8E" w:rsidR="001B3EE3" w:rsidRDefault="001B3EE3" w:rsidP="00C43350">
            <w:pPr>
              <w:pStyle w:val="TableText"/>
            </w:pPr>
            <w:r w:rsidRPr="00A97119">
              <w:t>Percentage of ADI (using the JECFA diet)</w:t>
            </w:r>
          </w:p>
        </w:tc>
        <w:tc>
          <w:tcPr>
            <w:tcW w:w="1101" w:type="pct"/>
            <w:tcBorders>
              <w:top w:val="single" w:sz="4" w:space="0" w:color="auto"/>
              <w:bottom w:val="single" w:sz="4" w:space="0" w:color="auto"/>
            </w:tcBorders>
            <w:vAlign w:val="center"/>
          </w:tcPr>
          <w:p w14:paraId="6364A298" w14:textId="642F9B79" w:rsidR="001B3EE3" w:rsidRDefault="001B3EE3" w:rsidP="00C43350">
            <w:pPr>
              <w:pStyle w:val="TableTextRight"/>
            </w:pPr>
            <w:r w:rsidRPr="005F30EE">
              <w:t>18.6</w:t>
            </w:r>
            <w:bookmarkStart w:id="134" w:name="_Hlk158303408"/>
            <w:r w:rsidRPr="005F30EE">
              <w:t>%</w:t>
            </w:r>
            <w:bookmarkEnd w:id="134"/>
          </w:p>
        </w:tc>
      </w:tr>
    </w:tbl>
    <w:p w14:paraId="7665A119" w14:textId="720D4BA3" w:rsidR="00A77489" w:rsidRPr="00C43350" w:rsidRDefault="00A77489" w:rsidP="00C43350">
      <w:pPr>
        <w:pStyle w:val="APVMAText"/>
      </w:pPr>
      <w:r w:rsidRPr="00C43350">
        <w:t xml:space="preserve">The highest </w:t>
      </w:r>
      <w:r w:rsidR="00B102FF">
        <w:t>n</w:t>
      </w:r>
      <w:r w:rsidRPr="00C43350">
        <w:t>eomycin MRL for mammalian tissues, which are all for cattle tissues except for liver</w:t>
      </w:r>
      <w:r w:rsidR="00644AD6">
        <w:t>,</w:t>
      </w:r>
      <w:r w:rsidRPr="00C43350">
        <w:t xml:space="preserve"> which is for sheep</w:t>
      </w:r>
      <w:r w:rsidR="001116A2" w:rsidRPr="00C43350">
        <w:t>,</w:t>
      </w:r>
      <w:r w:rsidRPr="00C43350">
        <w:t xml:space="preserve"> has been used in the EDI calculation as a worst case.</w:t>
      </w:r>
    </w:p>
    <w:p w14:paraId="33E22548" w14:textId="12C45EEA" w:rsidR="00A77489" w:rsidRPr="00C43350" w:rsidRDefault="001B3EE3" w:rsidP="00C43350">
      <w:pPr>
        <w:pStyle w:val="APVMAText"/>
      </w:pPr>
      <w:r w:rsidRPr="00C43350">
        <w:t xml:space="preserve">Table </w:t>
      </w:r>
      <w:r w:rsidR="00853764">
        <w:t>16</w:t>
      </w:r>
      <w:r w:rsidR="00853764" w:rsidRPr="00C43350">
        <w:t xml:space="preserve"> </w:t>
      </w:r>
      <w:r w:rsidRPr="00C43350">
        <w:t xml:space="preserve">above </w:t>
      </w:r>
      <w:r w:rsidR="00A77489" w:rsidRPr="00C43350">
        <w:t>demonstrates that the ‘estimated daily intake’ associated with the proposed</w:t>
      </w:r>
      <w:r w:rsidR="001116A2" w:rsidRPr="00C43350">
        <w:t xml:space="preserve"> </w:t>
      </w:r>
      <w:r w:rsidR="00E4250D" w:rsidRPr="00C43350">
        <w:t>MRLs for neomycin</w:t>
      </w:r>
      <w:r w:rsidR="00A77489" w:rsidRPr="00C43350">
        <w:t xml:space="preserve"> is acceptable. For estimations on the chronic dietary exposure associated with the supported uses, Australian consumption data will also be considered using the NEDI calculation.</w:t>
      </w:r>
    </w:p>
    <w:p w14:paraId="159463FE" w14:textId="3130FA90" w:rsidR="00A77489" w:rsidRPr="00C43350" w:rsidRDefault="00A77489" w:rsidP="00C43350">
      <w:pPr>
        <w:pStyle w:val="Heading3"/>
      </w:pPr>
      <w:bookmarkStart w:id="135" w:name="_Toc158818269"/>
      <w:r w:rsidRPr="00C43350">
        <w:t>Chronic Dietary Exposure Assessment</w:t>
      </w:r>
      <w:bookmarkEnd w:id="135"/>
    </w:p>
    <w:p w14:paraId="78CCC337" w14:textId="3967AD41" w:rsidR="00A77489" w:rsidRPr="00C43350" w:rsidRDefault="00A77489" w:rsidP="00C43350">
      <w:pPr>
        <w:pStyle w:val="APVMAText"/>
      </w:pPr>
      <w:r w:rsidRPr="00C43350">
        <w:t xml:space="preserve">The chronic dietary exposure to neomycin is estimated by the National Estimated Daily Intake (NEDI) calculation, encompassing all registered/temporary uses of the chemical and the mean daily dietary consumption data derived primarily from the FSANZ 2017 Food Consumption </w:t>
      </w:r>
      <w:proofErr w:type="spellStart"/>
      <w:r w:rsidRPr="00C43350">
        <w:t>Datapack</w:t>
      </w:r>
      <w:proofErr w:type="spellEnd"/>
      <w:r w:rsidRPr="00C43350">
        <w:t xml:space="preserve">. The 2017 </w:t>
      </w:r>
      <w:proofErr w:type="spellStart"/>
      <w:r w:rsidRPr="00C43350">
        <w:t>Datapack</w:t>
      </w:r>
      <w:proofErr w:type="spellEnd"/>
      <w:r w:rsidRPr="00C43350">
        <w:t xml:space="preserve"> contains food consumption data from the latest national nutrition survey (2011</w:t>
      </w:r>
      <w:r w:rsidR="00B102FF">
        <w:t>–</w:t>
      </w:r>
      <w:r w:rsidRPr="00C43350">
        <w:t>12 National Nutrition and Physical Activity Survey). The NEDI calculation is made in accordance with WHO Guidelines and is a conservative estimate of dietary exposure to chemical residues in food. The NEDI for neomycin reflecting overall changes to MRLs, at the end of the phase-out period for non-supported label uses of neomycin, is equivalent to &lt;1% of the ADI of 0.06</w:t>
      </w:r>
      <w:r w:rsidR="00B102FF">
        <w:t> </w:t>
      </w:r>
      <w:r w:rsidRPr="00C43350">
        <w:t>mg/kg/</w:t>
      </w:r>
      <w:proofErr w:type="spellStart"/>
      <w:r w:rsidRPr="00C43350">
        <w:t>bw</w:t>
      </w:r>
      <w:proofErr w:type="spellEnd"/>
      <w:r w:rsidRPr="00C43350">
        <w:t xml:space="preserve"> day</w:t>
      </w:r>
      <w:bookmarkStart w:id="136" w:name="_Hlk152923115"/>
      <w:r w:rsidRPr="00C43350">
        <w:t>. It is concluded that the chronic dietary exposure to neomycin is acceptable.</w:t>
      </w:r>
    </w:p>
    <w:p w14:paraId="626A11CF" w14:textId="77777777" w:rsidR="00A77489" w:rsidRPr="00C43350" w:rsidRDefault="00A77489" w:rsidP="00C43350">
      <w:pPr>
        <w:pStyle w:val="Heading3"/>
      </w:pPr>
      <w:bookmarkStart w:id="137" w:name="_Toc158818270"/>
      <w:bookmarkEnd w:id="136"/>
      <w:r w:rsidRPr="00C43350">
        <w:t>Acute dietary exposure</w:t>
      </w:r>
      <w:bookmarkEnd w:id="137"/>
    </w:p>
    <w:p w14:paraId="1A3A23B8" w14:textId="4FFD75B7" w:rsidR="00A77489" w:rsidRPr="00C43350" w:rsidRDefault="00A77489" w:rsidP="00C43350">
      <w:pPr>
        <w:pStyle w:val="APVMAText"/>
      </w:pPr>
      <w:r w:rsidRPr="00C43350">
        <w:t xml:space="preserve">The acute dietary exposure for neomycin is estimated by the National Estimated </w:t>
      </w:r>
      <w:proofErr w:type="gramStart"/>
      <w:r w:rsidRPr="00C43350">
        <w:t>Short Term</w:t>
      </w:r>
      <w:proofErr w:type="gramEnd"/>
      <w:r w:rsidRPr="00C43350">
        <w:t xml:space="preserve"> Intake (NESTI) calculation. The NESTI calculations are made in accordance with the deterministic method used by the JMPR with 97.5th percentile food consumption data derived primarily from the 2011</w:t>
      </w:r>
      <w:r w:rsidR="00B102FF">
        <w:t>–</w:t>
      </w:r>
      <w:r w:rsidRPr="00C43350">
        <w:t xml:space="preserve">12 National Nutritional </w:t>
      </w:r>
      <w:r w:rsidRPr="00C43350">
        <w:lastRenderedPageBreak/>
        <w:t>and Physical Activity Survey. NESTI calculations are conservative estimates of short-term exposure (</w:t>
      </w:r>
      <w:r w:rsidR="00EB2BC3" w:rsidRPr="00C43350">
        <w:t>24-hour</w:t>
      </w:r>
      <w:r w:rsidRPr="00C43350">
        <w:t xml:space="preserve"> period) to chemical residues in food.</w:t>
      </w:r>
    </w:p>
    <w:p w14:paraId="43790470" w14:textId="304B680D" w:rsidR="00A77489" w:rsidRPr="00C43350" w:rsidRDefault="00A77489" w:rsidP="00C43350">
      <w:pPr>
        <w:pStyle w:val="APVMAText"/>
      </w:pPr>
      <w:r w:rsidRPr="00C43350">
        <w:t xml:space="preserve">An </w:t>
      </w:r>
      <w:proofErr w:type="spellStart"/>
      <w:r w:rsidRPr="00C43350">
        <w:t>ARfD</w:t>
      </w:r>
      <w:proofErr w:type="spellEnd"/>
      <w:r w:rsidRPr="00C43350">
        <w:t xml:space="preserve"> has not been established by the APVMA or JECFA for neomycin and a NESTI calculation could therefore not be performed.</w:t>
      </w:r>
    </w:p>
    <w:p w14:paraId="0554BC3F" w14:textId="7473AA65" w:rsidR="00AA5DC7" w:rsidRPr="00C43350" w:rsidRDefault="00872D8E" w:rsidP="00C43350">
      <w:pPr>
        <w:pStyle w:val="Heading2"/>
      </w:pPr>
      <w:bookmarkStart w:id="138" w:name="_Toc158818271"/>
      <w:r w:rsidRPr="00C43350">
        <w:t xml:space="preserve">Residues and Trade </w:t>
      </w:r>
      <w:r w:rsidR="00853764">
        <w:t>r</w:t>
      </w:r>
      <w:r w:rsidR="00A77489" w:rsidRPr="00C43350">
        <w:t>ecommendations</w:t>
      </w:r>
      <w:bookmarkEnd w:id="138"/>
    </w:p>
    <w:p w14:paraId="1C8005A0" w14:textId="1E4F268B" w:rsidR="00071F6A" w:rsidRPr="00C43350" w:rsidRDefault="00071F6A" w:rsidP="00C43350">
      <w:pPr>
        <w:pStyle w:val="Heading3"/>
      </w:pPr>
      <w:bookmarkStart w:id="139" w:name="_Toc158818272"/>
      <w:r w:rsidRPr="00C43350">
        <w:t>Uses supported from a residues and trade perspective</w:t>
      </w:r>
      <w:bookmarkEnd w:id="139"/>
    </w:p>
    <w:p w14:paraId="4FA6F27B" w14:textId="73791E8D" w:rsidR="00A77489" w:rsidRPr="00C43350" w:rsidRDefault="00872D8E" w:rsidP="00C43350">
      <w:pPr>
        <w:pStyle w:val="APVMAText"/>
      </w:pPr>
      <w:r w:rsidRPr="00C43350">
        <w:t xml:space="preserve">The use of </w:t>
      </w:r>
      <w:r w:rsidR="00763D05" w:rsidRPr="00C43350">
        <w:t>registered p</w:t>
      </w:r>
      <w:r w:rsidR="001B3EE3" w:rsidRPr="00C43350">
        <w:t xml:space="preserve">roduct </w:t>
      </w:r>
      <w:r w:rsidR="00763D05" w:rsidRPr="00C43350">
        <w:t xml:space="preserve">number </w:t>
      </w:r>
      <w:r w:rsidR="00A77489" w:rsidRPr="00C43350">
        <w:t>37241</w:t>
      </w:r>
      <w:r w:rsidRPr="00C43350">
        <w:t xml:space="preserve"> is supported for use in cattle sheep, pigs and horses from a residues and trade perspective</w:t>
      </w:r>
      <w:r w:rsidR="00763D05" w:rsidRPr="00C43350">
        <w:t>,</w:t>
      </w:r>
      <w:r w:rsidRPr="00C43350">
        <w:t xml:space="preserve"> however the </w:t>
      </w:r>
      <w:r w:rsidR="00266EBF" w:rsidRPr="00C43350">
        <w:t>WHP</w:t>
      </w:r>
      <w:r w:rsidRPr="00C43350">
        <w:t>s, restraints and trade advice statement should be amended as follows:</w:t>
      </w:r>
    </w:p>
    <w:p w14:paraId="72C3D229" w14:textId="48FBB9EF" w:rsidR="00A77489" w:rsidRPr="00CC1827" w:rsidRDefault="00155DDA" w:rsidP="006720DE">
      <w:pPr>
        <w:pStyle w:val="Boxtext"/>
      </w:pPr>
      <w:r w:rsidRPr="00155DDA">
        <w:t>WITHHOLDING PERIODS:</w:t>
      </w:r>
    </w:p>
    <w:p w14:paraId="5D625B9D" w14:textId="77777777" w:rsidR="00A77489" w:rsidRPr="00CC1827" w:rsidRDefault="00A77489" w:rsidP="006720DE">
      <w:pPr>
        <w:pStyle w:val="Boxtext"/>
      </w:pPr>
      <w:r w:rsidRPr="00CC1827">
        <w:t>MEAT: DO NOT USE less than 42 days for cattle, 35 days for sheep and 100 days for pigs before slaughter for human consumption.</w:t>
      </w:r>
    </w:p>
    <w:p w14:paraId="21618575" w14:textId="77777777" w:rsidR="00A77489" w:rsidRPr="00CC1827" w:rsidRDefault="00A77489" w:rsidP="006720DE">
      <w:pPr>
        <w:pStyle w:val="Boxtext"/>
      </w:pPr>
      <w:r w:rsidRPr="00CC1827">
        <w:t>MILK: DO NOT USE in lactating or pregnant cows or ewes where milk may be used or processed for human consumption.</w:t>
      </w:r>
    </w:p>
    <w:p w14:paraId="354990CD" w14:textId="420F51D9" w:rsidR="00A77489" w:rsidRPr="00CC1827" w:rsidRDefault="00155DDA" w:rsidP="006720DE">
      <w:pPr>
        <w:pStyle w:val="Boxtext"/>
      </w:pPr>
      <w:r w:rsidRPr="00155DDA">
        <w:t>RESTRAINTS</w:t>
      </w:r>
      <w:r w:rsidR="00872D8E" w:rsidRPr="00CC1827">
        <w:t>:</w:t>
      </w:r>
    </w:p>
    <w:p w14:paraId="6244E442" w14:textId="77777777" w:rsidR="00A77489" w:rsidRPr="00CC1827" w:rsidRDefault="00A77489" w:rsidP="006720DE">
      <w:pPr>
        <w:pStyle w:val="Boxtext"/>
      </w:pPr>
      <w:bookmarkStart w:id="140" w:name="_Hlk152256088"/>
      <w:r w:rsidRPr="00CC1827">
        <w:t>DO NOT USE in horses that may be used for human consumption.</w:t>
      </w:r>
    </w:p>
    <w:p w14:paraId="1246AD3A" w14:textId="28580877" w:rsidR="00C52825" w:rsidRPr="00CC1827" w:rsidRDefault="00A77489" w:rsidP="006720DE">
      <w:pPr>
        <w:pStyle w:val="Boxtext"/>
      </w:pPr>
      <w:bookmarkStart w:id="141" w:name="_Hlk156373391"/>
      <w:bookmarkEnd w:id="140"/>
      <w:r w:rsidRPr="00CC1827">
        <w:t>RE-TREATMENT INTERVAL:</w:t>
      </w:r>
    </w:p>
    <w:p w14:paraId="2EDF4B85" w14:textId="200131A0" w:rsidR="00C52825" w:rsidRPr="00CC1827" w:rsidRDefault="00A77489" w:rsidP="006720DE">
      <w:pPr>
        <w:pStyle w:val="Boxtext"/>
      </w:pPr>
      <w:r w:rsidRPr="00CC1827">
        <w:t xml:space="preserve">DO NOT RE-TREAT cattle for 12 months after the last </w:t>
      </w:r>
      <w:r w:rsidR="00266EBF" w:rsidRPr="00CC1827">
        <w:t xml:space="preserve">dose in one course of </w:t>
      </w:r>
      <w:r w:rsidRPr="00CC1827">
        <w:t>treatment.</w:t>
      </w:r>
    </w:p>
    <w:p w14:paraId="52F64DED" w14:textId="30E36407" w:rsidR="00C52825" w:rsidRPr="00CC1827" w:rsidRDefault="00A447BC" w:rsidP="006720DE">
      <w:pPr>
        <w:pStyle w:val="Boxtext"/>
      </w:pPr>
      <w:r w:rsidRPr="00CC1827">
        <w:t xml:space="preserve">DO NOT RE-TREAT </w:t>
      </w:r>
      <w:r w:rsidR="002D767D">
        <w:t xml:space="preserve">sheep </w:t>
      </w:r>
      <w:r w:rsidRPr="00CC1827">
        <w:t>for 4 months after the last dose in one course of treatment.</w:t>
      </w:r>
    </w:p>
    <w:p w14:paraId="07F5A560" w14:textId="71DA4E33" w:rsidR="00A77489" w:rsidRPr="00CC1827" w:rsidRDefault="00A77489" w:rsidP="006720DE">
      <w:pPr>
        <w:pStyle w:val="Boxtext"/>
      </w:pPr>
      <w:r w:rsidRPr="00CC1827">
        <w:t xml:space="preserve">DO NOT RE-TREAT </w:t>
      </w:r>
      <w:r w:rsidR="00266EBF" w:rsidRPr="00CC1827">
        <w:t>pigs for 10 weeks after the last dose in one course of treatment</w:t>
      </w:r>
      <w:r w:rsidRPr="00CC1827">
        <w:t>.</w:t>
      </w:r>
    </w:p>
    <w:bookmarkEnd w:id="141"/>
    <w:p w14:paraId="75D60ED7" w14:textId="491825B1" w:rsidR="00A77489" w:rsidRPr="00CC1827" w:rsidRDefault="00155DDA" w:rsidP="006720DE">
      <w:pPr>
        <w:pStyle w:val="Boxtext"/>
      </w:pPr>
      <w:r w:rsidRPr="00155DDA">
        <w:t>TRADE ADVICE STATEMENT:</w:t>
      </w:r>
    </w:p>
    <w:p w14:paraId="30044C70" w14:textId="7F7AB2C0" w:rsidR="00A77489" w:rsidRPr="00CC1827" w:rsidRDefault="00A77489" w:rsidP="006720DE">
      <w:pPr>
        <w:pStyle w:val="Boxtext"/>
      </w:pPr>
      <w:r w:rsidRPr="00CC1827">
        <w:t xml:space="preserve">EXPORT SLAUGHTER INTERVAL (ESI): DO NOT USE less than 57 days for cattle, 56 days for sheep and 100 days for pigs before slaughter for export. Before using this product, confirm the current ESI from the manufacturer on </w:t>
      </w:r>
      <w:r w:rsidR="00E36E26" w:rsidRPr="00CC1827">
        <w:t>1800</w:t>
      </w:r>
      <w:r w:rsidR="00E36E26">
        <w:t> </w:t>
      </w:r>
      <w:r w:rsidRPr="00CC1827">
        <w:t>033461 or the APVMA website (apvma.gov.au/residues).</w:t>
      </w:r>
    </w:p>
    <w:p w14:paraId="74F75E8A" w14:textId="5F5E6B1A" w:rsidR="00872D8E" w:rsidRPr="00C43350" w:rsidRDefault="00872D8E" w:rsidP="00C43350">
      <w:pPr>
        <w:pStyle w:val="APVMAText"/>
      </w:pPr>
      <w:r w:rsidRPr="00C43350">
        <w:t>The use of neomycin on horses currently approved for products 36026, 36237, 37241, 46414 and 49788</w:t>
      </w:r>
      <w:r w:rsidR="00237144" w:rsidRPr="00C43350">
        <w:t xml:space="preserve"> is</w:t>
      </w:r>
      <w:r w:rsidRPr="00C43350">
        <w:t xml:space="preserve"> supported from a </w:t>
      </w:r>
      <w:proofErr w:type="gramStart"/>
      <w:r w:rsidRPr="00C43350">
        <w:t>residues</w:t>
      </w:r>
      <w:proofErr w:type="gramEnd"/>
      <w:r w:rsidRPr="00C43350">
        <w:t xml:space="preserve"> perspective, provided the restraint ‘DO NOT USE in horses that may be used for human consumption’ is added and the current meat </w:t>
      </w:r>
      <w:r w:rsidR="00266EBF" w:rsidRPr="00C43350">
        <w:t>WHP</w:t>
      </w:r>
      <w:r w:rsidRPr="00C43350">
        <w:t xml:space="preserve"> for horses be removed from product labels.</w:t>
      </w:r>
    </w:p>
    <w:p w14:paraId="48B761F0" w14:textId="02C4F736" w:rsidR="00A77489" w:rsidRPr="00C43350" w:rsidRDefault="00CB6306" w:rsidP="00C43350">
      <w:pPr>
        <w:pStyle w:val="Heading3"/>
      </w:pPr>
      <w:bookmarkStart w:id="142" w:name="_Toc158818273"/>
      <w:r w:rsidRPr="00C43350">
        <w:t>U</w:t>
      </w:r>
      <w:r w:rsidR="00872D8E" w:rsidRPr="00C43350">
        <w:t xml:space="preserve">ses </w:t>
      </w:r>
      <w:r w:rsidR="00A77489" w:rsidRPr="00C43350">
        <w:t xml:space="preserve">NOT </w:t>
      </w:r>
      <w:r w:rsidR="00872D8E" w:rsidRPr="00C43350">
        <w:t>s</w:t>
      </w:r>
      <w:r w:rsidR="00A77489" w:rsidRPr="00C43350">
        <w:t xml:space="preserve">upported </w:t>
      </w:r>
      <w:r w:rsidR="00872D8E" w:rsidRPr="00C43350">
        <w:t>from a residues and trade perspective</w:t>
      </w:r>
      <w:bookmarkEnd w:id="142"/>
    </w:p>
    <w:p w14:paraId="558597D7" w14:textId="37E8E33F" w:rsidR="00872D8E" w:rsidRPr="00C43350" w:rsidRDefault="00872D8E" w:rsidP="00C43350">
      <w:pPr>
        <w:pStyle w:val="APVMAText"/>
      </w:pPr>
      <w:bookmarkStart w:id="143" w:name="_Hlk152257453"/>
      <w:r w:rsidRPr="00C43350">
        <w:t>The following uses of neomycin are not supported based on insufficient relevant residues data</w:t>
      </w:r>
      <w:r w:rsidR="00801280">
        <w:t>. Use of</w:t>
      </w:r>
      <w:r w:rsidRPr="00C43350">
        <w:t>:</w:t>
      </w:r>
    </w:p>
    <w:p w14:paraId="1054612A" w14:textId="08193282" w:rsidR="00872D8E" w:rsidRPr="00053BAB" w:rsidRDefault="00031F04" w:rsidP="00C43350">
      <w:pPr>
        <w:pStyle w:val="Bullet1"/>
      </w:pPr>
      <w:r>
        <w:t>f</w:t>
      </w:r>
      <w:r w:rsidR="00872D8E" w:rsidRPr="00053BAB">
        <w:t xml:space="preserve">eed additive powder product (67805) in poultry, </w:t>
      </w:r>
      <w:proofErr w:type="gramStart"/>
      <w:r w:rsidR="00872D8E" w:rsidRPr="00053BAB">
        <w:t>pigs</w:t>
      </w:r>
      <w:proofErr w:type="gramEnd"/>
      <w:r w:rsidR="00872D8E" w:rsidRPr="00053BAB">
        <w:t xml:space="preserve"> and cattle</w:t>
      </w:r>
    </w:p>
    <w:p w14:paraId="7D4E289D" w14:textId="2F6627A1" w:rsidR="00872D8E" w:rsidRPr="00053BAB" w:rsidRDefault="00031F04" w:rsidP="00C43350">
      <w:pPr>
        <w:pStyle w:val="Bullet1"/>
      </w:pPr>
      <w:r>
        <w:lastRenderedPageBreak/>
        <w:t>o</w:t>
      </w:r>
      <w:r w:rsidR="00872D8E" w:rsidRPr="00053BAB">
        <w:t xml:space="preserve">ral solution in </w:t>
      </w:r>
      <w:r w:rsidR="00CB6306" w:rsidRPr="00CB6306">
        <w:t>water product</w:t>
      </w:r>
      <w:r w:rsidR="00872D8E" w:rsidRPr="00053BAB">
        <w:t xml:space="preserve"> (52782) in poultry</w:t>
      </w:r>
    </w:p>
    <w:p w14:paraId="04F10C33" w14:textId="47FB5671" w:rsidR="00872D8E" w:rsidRPr="00053BAB" w:rsidRDefault="00031F04" w:rsidP="00C43350">
      <w:pPr>
        <w:pStyle w:val="Bullet1"/>
      </w:pPr>
      <w:r>
        <w:t>i</w:t>
      </w:r>
      <w:r w:rsidR="00872D8E" w:rsidRPr="00053BAB">
        <w:t>ntramammary suspension products (49851, 38696) in lactating cows</w:t>
      </w:r>
    </w:p>
    <w:p w14:paraId="50AC07F7" w14:textId="77BB1BE9" w:rsidR="00872D8E" w:rsidRPr="00053BAB" w:rsidRDefault="00031F04" w:rsidP="00C43350">
      <w:pPr>
        <w:pStyle w:val="Bullet1"/>
      </w:pPr>
      <w:r>
        <w:t>c</w:t>
      </w:r>
      <w:r w:rsidR="00872D8E" w:rsidRPr="00053BAB">
        <w:t xml:space="preserve">ertain injectable products (36237) in cattle, </w:t>
      </w:r>
      <w:proofErr w:type="gramStart"/>
      <w:r w:rsidR="00872D8E" w:rsidRPr="00053BAB">
        <w:t>sheep</w:t>
      </w:r>
      <w:proofErr w:type="gramEnd"/>
      <w:r w:rsidR="00872D8E" w:rsidRPr="00053BAB">
        <w:t xml:space="preserve"> and pigs</w:t>
      </w:r>
    </w:p>
    <w:p w14:paraId="323DDEE2" w14:textId="66C8923C" w:rsidR="00872D8E" w:rsidRPr="00053BAB" w:rsidRDefault="00031F04" w:rsidP="00C43350">
      <w:pPr>
        <w:pStyle w:val="Bullet1"/>
      </w:pPr>
      <w:r>
        <w:t>o</w:t>
      </w:r>
      <w:r w:rsidR="00872D8E" w:rsidRPr="00053BAB">
        <w:t>ral suspension product (36026</w:t>
      </w:r>
      <w:r w:rsidR="00E9120B" w:rsidRPr="00053BAB">
        <w:t>,49788</w:t>
      </w:r>
      <w:r w:rsidR="00872D8E" w:rsidRPr="00053BAB">
        <w:t>) in calves</w:t>
      </w:r>
    </w:p>
    <w:p w14:paraId="4D42E1EA" w14:textId="55F81005" w:rsidR="00872D8E" w:rsidRPr="00053BAB" w:rsidRDefault="00031F04" w:rsidP="00C43350">
      <w:pPr>
        <w:pStyle w:val="Bullet1"/>
      </w:pPr>
      <w:r>
        <w:t>o</w:t>
      </w:r>
      <w:r w:rsidR="00872D8E" w:rsidRPr="00053BAB">
        <w:t>ral tablets products (46414) in calves.</w:t>
      </w:r>
    </w:p>
    <w:p w14:paraId="65A0FFE4" w14:textId="42D5C32F" w:rsidR="00280856" w:rsidRDefault="00872D8E" w:rsidP="00B102FF">
      <w:pPr>
        <w:pStyle w:val="Heading3"/>
        <w:rPr>
          <w:b/>
          <w:caps/>
        </w:rPr>
      </w:pPr>
      <w:bookmarkStart w:id="144" w:name="_Toc152266122"/>
      <w:bookmarkStart w:id="145" w:name="_Toc158818274"/>
      <w:bookmarkEnd w:id="143"/>
      <w:r w:rsidRPr="00C43350">
        <w:t xml:space="preserve">Proposed </w:t>
      </w:r>
      <w:bookmarkStart w:id="146" w:name="_Toc151720020"/>
      <w:bookmarkEnd w:id="144"/>
      <w:r w:rsidRPr="00C43350">
        <w:t>Amendments to the Agricultural and Veterinary Chemicals (MRL Standard for Residues of Chemical Products) Instrument 2023</w:t>
      </w:r>
      <w:bookmarkStart w:id="147" w:name="_Toc309136723"/>
      <w:bookmarkStart w:id="148" w:name="_Toc463962180"/>
      <w:bookmarkEnd w:id="145"/>
      <w:bookmarkEnd w:id="146"/>
      <w:bookmarkEnd w:id="147"/>
    </w:p>
    <w:p w14:paraId="1678899C" w14:textId="5A4BD6A4" w:rsidR="00CB6306" w:rsidRPr="00C43350" w:rsidRDefault="00853764" w:rsidP="00C43350">
      <w:pPr>
        <w:pStyle w:val="APVMAText"/>
      </w:pPr>
      <w:r>
        <w:t>Table 17</w:t>
      </w:r>
      <w:r w:rsidR="00872D8E" w:rsidRPr="00C43350">
        <w:t xml:space="preserve"> and </w:t>
      </w:r>
      <w:r w:rsidR="00CB6306" w:rsidRPr="00C43350">
        <w:t xml:space="preserve">Table </w:t>
      </w:r>
      <w:r>
        <w:t>18</w:t>
      </w:r>
      <w:r w:rsidRPr="00C43350">
        <w:t xml:space="preserve"> </w:t>
      </w:r>
      <w:r w:rsidR="00872D8E" w:rsidRPr="00C43350">
        <w:t xml:space="preserve">include the recommended MRL changes in the Agricultural and Veterinary Chemicals (MRL Standard for Residues of Chemical Products) Instrument 2023 which will be required as an outcome of the review of registered products. </w:t>
      </w:r>
      <w:r w:rsidR="00280856" w:rsidRPr="00C43350">
        <w:t>No residues data on the use of neomycin in goats has been submitted</w:t>
      </w:r>
      <w:r w:rsidR="001B3EE3" w:rsidRPr="00C43350">
        <w:t xml:space="preserve"> and t</w:t>
      </w:r>
      <w:r w:rsidR="00280856" w:rsidRPr="00C43350">
        <w:t xml:space="preserve">here are currently no registered or permit uses on goats. It is therefore recommended that the currently established MRLs that include goats be deleted from the current Table 1 </w:t>
      </w:r>
      <w:r w:rsidR="00E9120B" w:rsidRPr="00C43350">
        <w:t>of the Agricultural and Veterinary Chemicals (MRL Standard for Residues of Chemical Products) Instrument 2023.</w:t>
      </w:r>
    </w:p>
    <w:p w14:paraId="1019EDCD" w14:textId="5A716B75" w:rsidR="00872D8E" w:rsidRPr="00C43350" w:rsidRDefault="00872D8E" w:rsidP="00C43350">
      <w:pPr>
        <w:pStyle w:val="Caption"/>
      </w:pPr>
      <w:bookmarkStart w:id="149" w:name="_Ref149658657"/>
      <w:bookmarkStart w:id="150" w:name="_Toc151720076"/>
      <w:bookmarkStart w:id="151" w:name="_Toc158818306"/>
      <w:r w:rsidRPr="00C43350">
        <w:t xml:space="preserve">Table </w:t>
      </w:r>
      <w:fldSimple w:instr=" SEQ Table \* ARABIC ">
        <w:r w:rsidR="00A75CD4">
          <w:rPr>
            <w:noProof/>
          </w:rPr>
          <w:t>17</w:t>
        </w:r>
      </w:fldSimple>
      <w:bookmarkEnd w:id="149"/>
      <w:r w:rsidRPr="00C43350">
        <w:t>:</w:t>
      </w:r>
      <w:r w:rsidR="009C3C7F" w:rsidRPr="00C43350">
        <w:tab/>
      </w:r>
      <w:r w:rsidRPr="00C43350">
        <w:t>Amendments to Table 1 of the Agricultural and Veterinary Chemicals (MRL Standard for Residues of Chemical Products) Instrument 2023</w:t>
      </w:r>
      <w:bookmarkEnd w:id="150"/>
      <w:bookmarkEnd w:id="151"/>
    </w:p>
    <w:tbl>
      <w:tblPr>
        <w:tblW w:w="5000" w:type="pct"/>
        <w:tblBorders>
          <w:bottom w:val="dotted" w:sz="2" w:space="0" w:color="auto"/>
          <w:insideH w:val="dotted" w:sz="2" w:space="0" w:color="auto"/>
        </w:tblBorders>
        <w:tblLook w:val="01E0" w:firstRow="1" w:lastRow="1" w:firstColumn="1" w:lastColumn="1" w:noHBand="0" w:noVBand="0"/>
      </w:tblPr>
      <w:tblGrid>
        <w:gridCol w:w="895"/>
        <w:gridCol w:w="1374"/>
        <w:gridCol w:w="4994"/>
        <w:gridCol w:w="1218"/>
        <w:gridCol w:w="1157"/>
      </w:tblGrid>
      <w:tr w:rsidR="00872D8E" w:rsidRPr="00053BAB" w14:paraId="2B78316E" w14:textId="77777777" w:rsidTr="00C43350">
        <w:trPr>
          <w:cantSplit/>
          <w:trHeight w:val="288"/>
          <w:tblHeader/>
        </w:trPr>
        <w:tc>
          <w:tcPr>
            <w:tcW w:w="1177" w:type="pct"/>
            <w:gridSpan w:val="2"/>
            <w:vMerge w:val="restart"/>
            <w:tcBorders>
              <w:top w:val="single" w:sz="4" w:space="0" w:color="auto"/>
            </w:tcBorders>
            <w:shd w:val="clear" w:color="auto" w:fill="5C2946"/>
          </w:tcPr>
          <w:p w14:paraId="3A861656" w14:textId="77777777" w:rsidR="00872D8E" w:rsidRPr="00C43350" w:rsidRDefault="00872D8E" w:rsidP="00C43350">
            <w:pPr>
              <w:pStyle w:val="TableHead"/>
            </w:pPr>
            <w:r w:rsidRPr="00C43350">
              <w:t>Code</w:t>
            </w:r>
          </w:p>
        </w:tc>
        <w:tc>
          <w:tcPr>
            <w:tcW w:w="2591" w:type="pct"/>
            <w:vMerge w:val="restart"/>
            <w:tcBorders>
              <w:top w:val="single" w:sz="4" w:space="0" w:color="auto"/>
            </w:tcBorders>
            <w:shd w:val="clear" w:color="auto" w:fill="5C2946"/>
          </w:tcPr>
          <w:p w14:paraId="4513A67A" w14:textId="77777777" w:rsidR="00872D8E" w:rsidRPr="00C43350" w:rsidRDefault="00872D8E" w:rsidP="00C43350">
            <w:pPr>
              <w:pStyle w:val="TableHead"/>
            </w:pPr>
            <w:r w:rsidRPr="00C43350">
              <w:t>Commodity</w:t>
            </w:r>
          </w:p>
        </w:tc>
        <w:tc>
          <w:tcPr>
            <w:tcW w:w="1232" w:type="pct"/>
            <w:gridSpan w:val="2"/>
            <w:tcBorders>
              <w:top w:val="single" w:sz="4" w:space="0" w:color="auto"/>
              <w:bottom w:val="single" w:sz="4" w:space="0" w:color="auto"/>
            </w:tcBorders>
            <w:shd w:val="clear" w:color="auto" w:fill="5C2946"/>
          </w:tcPr>
          <w:p w14:paraId="1DE669DE" w14:textId="77777777" w:rsidR="00872D8E" w:rsidRPr="00C43350" w:rsidRDefault="00872D8E" w:rsidP="00C43350">
            <w:pPr>
              <w:pStyle w:val="TableHeadRight"/>
            </w:pPr>
            <w:r w:rsidRPr="00C43350">
              <w:t>MRL (mg/kg)</w:t>
            </w:r>
          </w:p>
        </w:tc>
      </w:tr>
      <w:tr w:rsidR="00872D8E" w:rsidRPr="00053BAB" w14:paraId="60F33F46" w14:textId="77777777" w:rsidTr="00C43350">
        <w:trPr>
          <w:cantSplit/>
          <w:trHeight w:val="345"/>
          <w:tblHeader/>
        </w:trPr>
        <w:tc>
          <w:tcPr>
            <w:tcW w:w="1177" w:type="pct"/>
            <w:gridSpan w:val="2"/>
            <w:vMerge/>
            <w:tcBorders>
              <w:bottom w:val="single" w:sz="4" w:space="0" w:color="auto"/>
            </w:tcBorders>
            <w:shd w:val="clear" w:color="auto" w:fill="5C2946"/>
          </w:tcPr>
          <w:p w14:paraId="3D0D2340" w14:textId="77777777" w:rsidR="00872D8E" w:rsidRPr="00C43350" w:rsidRDefault="00872D8E" w:rsidP="00C43350">
            <w:pPr>
              <w:pStyle w:val="TableHead"/>
            </w:pPr>
          </w:p>
        </w:tc>
        <w:tc>
          <w:tcPr>
            <w:tcW w:w="2591" w:type="pct"/>
            <w:vMerge/>
            <w:tcBorders>
              <w:bottom w:val="single" w:sz="4" w:space="0" w:color="auto"/>
            </w:tcBorders>
            <w:shd w:val="clear" w:color="auto" w:fill="5C2946"/>
          </w:tcPr>
          <w:p w14:paraId="3C0E235E" w14:textId="77777777" w:rsidR="00872D8E" w:rsidRPr="00C43350" w:rsidRDefault="00872D8E" w:rsidP="00C43350">
            <w:pPr>
              <w:pStyle w:val="TableHead"/>
            </w:pPr>
          </w:p>
        </w:tc>
        <w:tc>
          <w:tcPr>
            <w:tcW w:w="632" w:type="pct"/>
            <w:tcBorders>
              <w:top w:val="nil"/>
              <w:bottom w:val="single" w:sz="4" w:space="0" w:color="auto"/>
            </w:tcBorders>
            <w:shd w:val="clear" w:color="auto" w:fill="5C2946"/>
          </w:tcPr>
          <w:p w14:paraId="056FB42E" w14:textId="6D78EC40" w:rsidR="00872D8E" w:rsidRPr="00C43350" w:rsidRDefault="00B102FF" w:rsidP="00C43350">
            <w:pPr>
              <w:pStyle w:val="TableHeadRight"/>
            </w:pPr>
            <w:r w:rsidRPr="00C43350">
              <w:t>Delete</w:t>
            </w:r>
          </w:p>
        </w:tc>
        <w:tc>
          <w:tcPr>
            <w:tcW w:w="600" w:type="pct"/>
            <w:tcBorders>
              <w:top w:val="nil"/>
              <w:bottom w:val="single" w:sz="4" w:space="0" w:color="auto"/>
            </w:tcBorders>
            <w:shd w:val="clear" w:color="auto" w:fill="5C2946"/>
          </w:tcPr>
          <w:p w14:paraId="295FF2D3" w14:textId="70267894" w:rsidR="00872D8E" w:rsidRPr="00C43350" w:rsidRDefault="00B102FF" w:rsidP="00C43350">
            <w:pPr>
              <w:pStyle w:val="TableHeadRight"/>
            </w:pPr>
            <w:r w:rsidRPr="00C43350">
              <w:t>Add</w:t>
            </w:r>
          </w:p>
        </w:tc>
      </w:tr>
      <w:tr w:rsidR="00872D8E" w:rsidRPr="00053BAB" w14:paraId="02478E2A" w14:textId="77777777" w:rsidTr="00C43350">
        <w:trPr>
          <w:cantSplit/>
          <w:trHeight w:val="388"/>
        </w:trPr>
        <w:tc>
          <w:tcPr>
            <w:tcW w:w="464" w:type="pct"/>
            <w:tcBorders>
              <w:top w:val="single" w:sz="4" w:space="0" w:color="auto"/>
              <w:bottom w:val="single" w:sz="4" w:space="0" w:color="auto"/>
            </w:tcBorders>
          </w:tcPr>
          <w:p w14:paraId="6ECF4A3A" w14:textId="5867B555" w:rsidR="00872D8E" w:rsidRPr="00C43350" w:rsidRDefault="00872D8E" w:rsidP="00C43350">
            <w:pPr>
              <w:pStyle w:val="TableText"/>
            </w:pPr>
            <w:r w:rsidRPr="00C43350">
              <w:t xml:space="preserve">PE </w:t>
            </w:r>
          </w:p>
        </w:tc>
        <w:tc>
          <w:tcPr>
            <w:tcW w:w="713" w:type="pct"/>
            <w:tcBorders>
              <w:top w:val="single" w:sz="4" w:space="0" w:color="auto"/>
              <w:bottom w:val="single" w:sz="4" w:space="0" w:color="auto"/>
            </w:tcBorders>
          </w:tcPr>
          <w:p w14:paraId="215F7F32" w14:textId="5419CA97" w:rsidR="00872D8E" w:rsidRPr="00C43350" w:rsidRDefault="00872D8E" w:rsidP="00C43350">
            <w:pPr>
              <w:pStyle w:val="TableText"/>
            </w:pPr>
            <w:r w:rsidRPr="00C43350">
              <w:t>0112</w:t>
            </w:r>
          </w:p>
        </w:tc>
        <w:tc>
          <w:tcPr>
            <w:tcW w:w="2591" w:type="pct"/>
            <w:tcBorders>
              <w:top w:val="single" w:sz="4" w:space="0" w:color="auto"/>
              <w:bottom w:val="single" w:sz="4" w:space="0" w:color="auto"/>
            </w:tcBorders>
          </w:tcPr>
          <w:p w14:paraId="679F58D5" w14:textId="7C7DDD24" w:rsidR="00872D8E" w:rsidRPr="00C43350" w:rsidRDefault="00872D8E" w:rsidP="00C43350">
            <w:pPr>
              <w:pStyle w:val="TableText"/>
            </w:pPr>
            <w:r w:rsidRPr="00C43350">
              <w:t>Eggs</w:t>
            </w:r>
          </w:p>
        </w:tc>
        <w:tc>
          <w:tcPr>
            <w:tcW w:w="632" w:type="pct"/>
            <w:tcBorders>
              <w:top w:val="single" w:sz="4" w:space="0" w:color="auto"/>
              <w:bottom w:val="single" w:sz="4" w:space="0" w:color="auto"/>
            </w:tcBorders>
          </w:tcPr>
          <w:p w14:paraId="671FE201" w14:textId="2430CE83" w:rsidR="00872D8E" w:rsidRPr="009C3C7F" w:rsidRDefault="00872D8E" w:rsidP="00C43350">
            <w:pPr>
              <w:pStyle w:val="TableTextRight"/>
            </w:pPr>
            <w:r w:rsidRPr="009C3C7F">
              <w:t>T0.5</w:t>
            </w:r>
          </w:p>
        </w:tc>
        <w:tc>
          <w:tcPr>
            <w:tcW w:w="600" w:type="pct"/>
            <w:tcBorders>
              <w:top w:val="single" w:sz="4" w:space="0" w:color="auto"/>
              <w:bottom w:val="single" w:sz="4" w:space="0" w:color="auto"/>
            </w:tcBorders>
          </w:tcPr>
          <w:p w14:paraId="4D2E3F84" w14:textId="77777777" w:rsidR="00872D8E" w:rsidRPr="009C3C7F" w:rsidRDefault="00872D8E" w:rsidP="00C43350">
            <w:pPr>
              <w:pStyle w:val="TableTextRight"/>
            </w:pPr>
          </w:p>
        </w:tc>
      </w:tr>
      <w:tr w:rsidR="00872D8E" w:rsidRPr="00053BAB" w14:paraId="4FD0F1A0" w14:textId="77777777" w:rsidTr="00C43350">
        <w:trPr>
          <w:cantSplit/>
          <w:trHeight w:val="374"/>
        </w:trPr>
        <w:tc>
          <w:tcPr>
            <w:tcW w:w="464" w:type="pct"/>
            <w:tcBorders>
              <w:top w:val="single" w:sz="4" w:space="0" w:color="auto"/>
              <w:bottom w:val="single" w:sz="4" w:space="0" w:color="auto"/>
            </w:tcBorders>
          </w:tcPr>
          <w:p w14:paraId="0E258141" w14:textId="7C1F2447" w:rsidR="00872D8E" w:rsidRPr="00C43350" w:rsidRDefault="00872D8E" w:rsidP="00C43350">
            <w:pPr>
              <w:pStyle w:val="TableText"/>
            </w:pPr>
            <w:r w:rsidRPr="00C43350">
              <w:t xml:space="preserve">MO </w:t>
            </w:r>
          </w:p>
        </w:tc>
        <w:tc>
          <w:tcPr>
            <w:tcW w:w="713" w:type="pct"/>
            <w:tcBorders>
              <w:top w:val="single" w:sz="4" w:space="0" w:color="auto"/>
              <w:bottom w:val="single" w:sz="4" w:space="0" w:color="auto"/>
            </w:tcBorders>
          </w:tcPr>
          <w:p w14:paraId="4FDC6398" w14:textId="0399A990" w:rsidR="00872D8E" w:rsidRPr="00C43350" w:rsidRDefault="00872D8E" w:rsidP="00C43350">
            <w:pPr>
              <w:pStyle w:val="TableText"/>
            </w:pPr>
            <w:r w:rsidRPr="00C43350">
              <w:t>0098</w:t>
            </w:r>
          </w:p>
        </w:tc>
        <w:tc>
          <w:tcPr>
            <w:tcW w:w="2591" w:type="pct"/>
            <w:tcBorders>
              <w:top w:val="single" w:sz="4" w:space="0" w:color="auto"/>
              <w:bottom w:val="single" w:sz="4" w:space="0" w:color="auto"/>
            </w:tcBorders>
          </w:tcPr>
          <w:p w14:paraId="54E5ABEA" w14:textId="511B0F6B" w:rsidR="00872D8E" w:rsidRPr="00C43350" w:rsidRDefault="00872D8E" w:rsidP="00C43350">
            <w:pPr>
              <w:pStyle w:val="TableText"/>
            </w:pPr>
            <w:r w:rsidRPr="00C43350">
              <w:t xml:space="preserve">Kidney of cattle, goats, </w:t>
            </w:r>
            <w:proofErr w:type="gramStart"/>
            <w:r w:rsidRPr="00C43350">
              <w:t>pigs</w:t>
            </w:r>
            <w:proofErr w:type="gramEnd"/>
            <w:r w:rsidRPr="00C43350">
              <w:t xml:space="preserve"> and sheep</w:t>
            </w:r>
          </w:p>
        </w:tc>
        <w:tc>
          <w:tcPr>
            <w:tcW w:w="632" w:type="pct"/>
            <w:tcBorders>
              <w:top w:val="single" w:sz="4" w:space="0" w:color="auto"/>
              <w:bottom w:val="single" w:sz="4" w:space="0" w:color="auto"/>
            </w:tcBorders>
          </w:tcPr>
          <w:p w14:paraId="0A0106DA" w14:textId="3A2E43FB" w:rsidR="00872D8E" w:rsidRPr="009C3C7F" w:rsidRDefault="00872D8E" w:rsidP="00C43350">
            <w:pPr>
              <w:pStyle w:val="TableTextRight"/>
            </w:pPr>
            <w:r w:rsidRPr="009C3C7F">
              <w:t>T10</w:t>
            </w:r>
          </w:p>
        </w:tc>
        <w:tc>
          <w:tcPr>
            <w:tcW w:w="600" w:type="pct"/>
            <w:tcBorders>
              <w:top w:val="single" w:sz="4" w:space="0" w:color="auto"/>
              <w:bottom w:val="single" w:sz="4" w:space="0" w:color="auto"/>
            </w:tcBorders>
          </w:tcPr>
          <w:p w14:paraId="6470A0AD" w14:textId="77777777" w:rsidR="00872D8E" w:rsidRPr="009C3C7F" w:rsidRDefault="00872D8E" w:rsidP="00C43350">
            <w:pPr>
              <w:pStyle w:val="TableTextRight"/>
            </w:pPr>
          </w:p>
        </w:tc>
      </w:tr>
      <w:tr w:rsidR="00872D8E" w:rsidRPr="00053BAB" w14:paraId="7DEE25FB" w14:textId="77777777" w:rsidTr="00C43350">
        <w:trPr>
          <w:cantSplit/>
          <w:trHeight w:val="374"/>
        </w:trPr>
        <w:tc>
          <w:tcPr>
            <w:tcW w:w="464" w:type="pct"/>
            <w:tcBorders>
              <w:top w:val="single" w:sz="4" w:space="0" w:color="auto"/>
              <w:bottom w:val="single" w:sz="4" w:space="0" w:color="auto"/>
            </w:tcBorders>
          </w:tcPr>
          <w:p w14:paraId="1DD26CBB" w14:textId="458198A8" w:rsidR="00872D8E" w:rsidRPr="00C43350" w:rsidRDefault="00872D8E" w:rsidP="00C43350">
            <w:pPr>
              <w:pStyle w:val="TableText"/>
            </w:pPr>
            <w:r w:rsidRPr="00C43350">
              <w:t xml:space="preserve">MO </w:t>
            </w:r>
          </w:p>
        </w:tc>
        <w:tc>
          <w:tcPr>
            <w:tcW w:w="713" w:type="pct"/>
            <w:tcBorders>
              <w:top w:val="single" w:sz="4" w:space="0" w:color="auto"/>
              <w:bottom w:val="single" w:sz="4" w:space="0" w:color="auto"/>
            </w:tcBorders>
          </w:tcPr>
          <w:p w14:paraId="2CA2011A" w14:textId="390AB9FA" w:rsidR="00872D8E" w:rsidRPr="00C43350" w:rsidRDefault="00872D8E" w:rsidP="00C43350">
            <w:pPr>
              <w:pStyle w:val="TableText"/>
            </w:pPr>
            <w:r w:rsidRPr="00C43350">
              <w:t>0099</w:t>
            </w:r>
          </w:p>
        </w:tc>
        <w:tc>
          <w:tcPr>
            <w:tcW w:w="2591" w:type="pct"/>
            <w:tcBorders>
              <w:top w:val="single" w:sz="4" w:space="0" w:color="auto"/>
              <w:bottom w:val="single" w:sz="4" w:space="0" w:color="auto"/>
            </w:tcBorders>
          </w:tcPr>
          <w:p w14:paraId="5E10FAA4" w14:textId="7D6A040F" w:rsidR="00872D8E" w:rsidRPr="00C43350" w:rsidRDefault="00872D8E" w:rsidP="00C43350">
            <w:pPr>
              <w:pStyle w:val="TableText"/>
            </w:pPr>
            <w:r w:rsidRPr="00C43350">
              <w:t xml:space="preserve">Liver of cattle, goats, </w:t>
            </w:r>
            <w:proofErr w:type="gramStart"/>
            <w:r w:rsidRPr="00C43350">
              <w:t>pigs</w:t>
            </w:r>
            <w:proofErr w:type="gramEnd"/>
            <w:r w:rsidRPr="00C43350">
              <w:t xml:space="preserve"> and sheep</w:t>
            </w:r>
          </w:p>
        </w:tc>
        <w:tc>
          <w:tcPr>
            <w:tcW w:w="632" w:type="pct"/>
            <w:tcBorders>
              <w:top w:val="single" w:sz="4" w:space="0" w:color="auto"/>
              <w:bottom w:val="single" w:sz="4" w:space="0" w:color="auto"/>
            </w:tcBorders>
          </w:tcPr>
          <w:p w14:paraId="4C6C4842" w14:textId="3BCF176A" w:rsidR="00872D8E" w:rsidRPr="009C3C7F" w:rsidRDefault="00872D8E" w:rsidP="00C43350">
            <w:pPr>
              <w:pStyle w:val="TableTextRight"/>
            </w:pPr>
            <w:r w:rsidRPr="009C3C7F">
              <w:t>T0.5</w:t>
            </w:r>
          </w:p>
        </w:tc>
        <w:tc>
          <w:tcPr>
            <w:tcW w:w="600" w:type="pct"/>
            <w:tcBorders>
              <w:top w:val="single" w:sz="4" w:space="0" w:color="auto"/>
              <w:bottom w:val="single" w:sz="4" w:space="0" w:color="auto"/>
            </w:tcBorders>
          </w:tcPr>
          <w:p w14:paraId="711CEE48" w14:textId="7BDB3B95" w:rsidR="00872D8E" w:rsidRPr="009C3C7F" w:rsidRDefault="00872D8E" w:rsidP="00C43350">
            <w:pPr>
              <w:pStyle w:val="TableTextRight"/>
            </w:pPr>
          </w:p>
        </w:tc>
      </w:tr>
      <w:tr w:rsidR="00872D8E" w:rsidRPr="00053BAB" w14:paraId="5EACF523" w14:textId="77777777" w:rsidTr="00C43350">
        <w:trPr>
          <w:cantSplit/>
          <w:trHeight w:val="541"/>
        </w:trPr>
        <w:tc>
          <w:tcPr>
            <w:tcW w:w="464" w:type="pct"/>
            <w:tcBorders>
              <w:top w:val="single" w:sz="4" w:space="0" w:color="auto"/>
              <w:bottom w:val="single" w:sz="4" w:space="0" w:color="auto"/>
            </w:tcBorders>
          </w:tcPr>
          <w:p w14:paraId="343408B1" w14:textId="7E87CA1D" w:rsidR="00872D8E" w:rsidRPr="00C43350" w:rsidRDefault="00872D8E" w:rsidP="00C43350">
            <w:pPr>
              <w:pStyle w:val="TableText"/>
            </w:pPr>
            <w:r w:rsidRPr="00C43350">
              <w:t xml:space="preserve">MF </w:t>
            </w:r>
          </w:p>
        </w:tc>
        <w:tc>
          <w:tcPr>
            <w:tcW w:w="713" w:type="pct"/>
            <w:tcBorders>
              <w:top w:val="single" w:sz="4" w:space="0" w:color="auto"/>
              <w:bottom w:val="single" w:sz="4" w:space="0" w:color="auto"/>
            </w:tcBorders>
          </w:tcPr>
          <w:p w14:paraId="4B3E478A" w14:textId="6B8D7C4A" w:rsidR="00872D8E" w:rsidRPr="00C43350" w:rsidRDefault="00872D8E" w:rsidP="00C43350">
            <w:pPr>
              <w:pStyle w:val="TableText"/>
            </w:pPr>
            <w:r w:rsidRPr="00C43350">
              <w:t>0100</w:t>
            </w:r>
          </w:p>
        </w:tc>
        <w:tc>
          <w:tcPr>
            <w:tcW w:w="2591" w:type="pct"/>
            <w:tcBorders>
              <w:top w:val="single" w:sz="4" w:space="0" w:color="auto"/>
              <w:bottom w:val="single" w:sz="4" w:space="0" w:color="auto"/>
            </w:tcBorders>
          </w:tcPr>
          <w:p w14:paraId="2F4B5FC9" w14:textId="3135E3B3" w:rsidR="00872D8E" w:rsidRPr="00C43350" w:rsidRDefault="00872D8E" w:rsidP="00C43350">
            <w:pPr>
              <w:pStyle w:val="TableText"/>
            </w:pPr>
            <w:r w:rsidRPr="00C43350">
              <w:t>Mammalian fats {except Milk fat}</w:t>
            </w:r>
          </w:p>
        </w:tc>
        <w:tc>
          <w:tcPr>
            <w:tcW w:w="632" w:type="pct"/>
            <w:tcBorders>
              <w:top w:val="single" w:sz="4" w:space="0" w:color="auto"/>
              <w:bottom w:val="single" w:sz="4" w:space="0" w:color="auto"/>
            </w:tcBorders>
          </w:tcPr>
          <w:p w14:paraId="79A67603" w14:textId="2302582A" w:rsidR="00872D8E" w:rsidRPr="009C3C7F" w:rsidRDefault="00872D8E" w:rsidP="00C43350">
            <w:pPr>
              <w:pStyle w:val="TableTextRight"/>
            </w:pPr>
            <w:r w:rsidRPr="009C3C7F">
              <w:t>T0.5</w:t>
            </w:r>
          </w:p>
        </w:tc>
        <w:tc>
          <w:tcPr>
            <w:tcW w:w="600" w:type="pct"/>
            <w:tcBorders>
              <w:top w:val="single" w:sz="4" w:space="0" w:color="auto"/>
              <w:bottom w:val="single" w:sz="4" w:space="0" w:color="auto"/>
            </w:tcBorders>
          </w:tcPr>
          <w:p w14:paraId="020A42AF" w14:textId="77777777" w:rsidR="00872D8E" w:rsidRPr="009C3C7F" w:rsidRDefault="00872D8E" w:rsidP="00C43350">
            <w:pPr>
              <w:pStyle w:val="TableTextRight"/>
            </w:pPr>
          </w:p>
        </w:tc>
      </w:tr>
      <w:tr w:rsidR="00872D8E" w:rsidRPr="00053BAB" w14:paraId="1096F5BB" w14:textId="77777777" w:rsidTr="00C43350">
        <w:trPr>
          <w:cantSplit/>
          <w:trHeight w:val="388"/>
        </w:trPr>
        <w:tc>
          <w:tcPr>
            <w:tcW w:w="464" w:type="pct"/>
            <w:tcBorders>
              <w:top w:val="single" w:sz="4" w:space="0" w:color="auto"/>
              <w:bottom w:val="single" w:sz="4" w:space="0" w:color="auto"/>
            </w:tcBorders>
          </w:tcPr>
          <w:p w14:paraId="2C451716" w14:textId="4E5542B7" w:rsidR="00872D8E" w:rsidRPr="00C43350" w:rsidRDefault="00872D8E" w:rsidP="00C43350">
            <w:pPr>
              <w:pStyle w:val="TableText"/>
            </w:pPr>
            <w:r w:rsidRPr="00C43350">
              <w:t xml:space="preserve">MM </w:t>
            </w:r>
          </w:p>
        </w:tc>
        <w:tc>
          <w:tcPr>
            <w:tcW w:w="713" w:type="pct"/>
            <w:tcBorders>
              <w:top w:val="single" w:sz="4" w:space="0" w:color="auto"/>
              <w:bottom w:val="single" w:sz="4" w:space="0" w:color="auto"/>
            </w:tcBorders>
          </w:tcPr>
          <w:p w14:paraId="71936987" w14:textId="2DE6263C" w:rsidR="00872D8E" w:rsidRPr="00C43350" w:rsidRDefault="00872D8E" w:rsidP="00C43350">
            <w:pPr>
              <w:pStyle w:val="TableText"/>
            </w:pPr>
            <w:r w:rsidRPr="00C43350">
              <w:t>0095</w:t>
            </w:r>
          </w:p>
        </w:tc>
        <w:tc>
          <w:tcPr>
            <w:tcW w:w="2591" w:type="pct"/>
            <w:tcBorders>
              <w:top w:val="single" w:sz="4" w:space="0" w:color="auto"/>
              <w:bottom w:val="single" w:sz="4" w:space="0" w:color="auto"/>
            </w:tcBorders>
          </w:tcPr>
          <w:p w14:paraId="3F444545" w14:textId="623172D9" w:rsidR="00872D8E" w:rsidRPr="00C43350" w:rsidRDefault="00872D8E" w:rsidP="00C43350">
            <w:pPr>
              <w:pStyle w:val="TableText"/>
            </w:pPr>
            <w:r w:rsidRPr="00C43350">
              <w:t>Meat (mammalian)</w:t>
            </w:r>
          </w:p>
        </w:tc>
        <w:tc>
          <w:tcPr>
            <w:tcW w:w="632" w:type="pct"/>
            <w:tcBorders>
              <w:top w:val="single" w:sz="4" w:space="0" w:color="auto"/>
              <w:bottom w:val="single" w:sz="4" w:space="0" w:color="auto"/>
            </w:tcBorders>
          </w:tcPr>
          <w:p w14:paraId="39225131" w14:textId="07BECF6E" w:rsidR="00872D8E" w:rsidRPr="009C3C7F" w:rsidRDefault="00872D8E" w:rsidP="00C43350">
            <w:pPr>
              <w:pStyle w:val="TableTextRight"/>
            </w:pPr>
            <w:r w:rsidRPr="009C3C7F">
              <w:t>T0.5</w:t>
            </w:r>
          </w:p>
        </w:tc>
        <w:tc>
          <w:tcPr>
            <w:tcW w:w="600" w:type="pct"/>
            <w:tcBorders>
              <w:top w:val="single" w:sz="4" w:space="0" w:color="auto"/>
              <w:bottom w:val="single" w:sz="4" w:space="0" w:color="auto"/>
            </w:tcBorders>
          </w:tcPr>
          <w:p w14:paraId="74919891" w14:textId="77777777" w:rsidR="00872D8E" w:rsidRPr="009C3C7F" w:rsidRDefault="00872D8E" w:rsidP="00C43350">
            <w:pPr>
              <w:pStyle w:val="TableTextRight"/>
            </w:pPr>
          </w:p>
        </w:tc>
      </w:tr>
      <w:tr w:rsidR="00872D8E" w:rsidRPr="00053BAB" w14:paraId="784758FE" w14:textId="77777777" w:rsidTr="00C43350">
        <w:trPr>
          <w:cantSplit/>
          <w:trHeight w:val="388"/>
        </w:trPr>
        <w:tc>
          <w:tcPr>
            <w:tcW w:w="464" w:type="pct"/>
            <w:tcBorders>
              <w:top w:val="single" w:sz="4" w:space="0" w:color="auto"/>
              <w:bottom w:val="single" w:sz="4" w:space="0" w:color="auto"/>
            </w:tcBorders>
          </w:tcPr>
          <w:p w14:paraId="0A5DAE93" w14:textId="7AEA5D58" w:rsidR="00872D8E" w:rsidRPr="00C43350" w:rsidRDefault="00872D8E" w:rsidP="00C43350">
            <w:pPr>
              <w:pStyle w:val="TableText"/>
            </w:pPr>
            <w:r w:rsidRPr="00C43350">
              <w:t>ML</w:t>
            </w:r>
          </w:p>
        </w:tc>
        <w:tc>
          <w:tcPr>
            <w:tcW w:w="713" w:type="pct"/>
            <w:tcBorders>
              <w:top w:val="single" w:sz="4" w:space="0" w:color="auto"/>
              <w:bottom w:val="single" w:sz="4" w:space="0" w:color="auto"/>
            </w:tcBorders>
          </w:tcPr>
          <w:p w14:paraId="46FEF440" w14:textId="32349FE4" w:rsidR="00872D8E" w:rsidRPr="00C43350" w:rsidRDefault="00872D8E" w:rsidP="00C43350">
            <w:pPr>
              <w:pStyle w:val="TableText"/>
            </w:pPr>
            <w:r w:rsidRPr="00C43350">
              <w:t>0106</w:t>
            </w:r>
          </w:p>
        </w:tc>
        <w:tc>
          <w:tcPr>
            <w:tcW w:w="2591" w:type="pct"/>
            <w:tcBorders>
              <w:top w:val="single" w:sz="4" w:space="0" w:color="auto"/>
              <w:bottom w:val="single" w:sz="4" w:space="0" w:color="auto"/>
            </w:tcBorders>
          </w:tcPr>
          <w:p w14:paraId="3DED1397" w14:textId="4C38287D" w:rsidR="00872D8E" w:rsidRPr="00C43350" w:rsidRDefault="00872D8E" w:rsidP="00C43350">
            <w:pPr>
              <w:pStyle w:val="TableText"/>
            </w:pPr>
            <w:r w:rsidRPr="00C43350">
              <w:t>Milks</w:t>
            </w:r>
          </w:p>
        </w:tc>
        <w:tc>
          <w:tcPr>
            <w:tcW w:w="632" w:type="pct"/>
            <w:tcBorders>
              <w:top w:val="single" w:sz="4" w:space="0" w:color="auto"/>
              <w:bottom w:val="single" w:sz="4" w:space="0" w:color="auto"/>
            </w:tcBorders>
          </w:tcPr>
          <w:p w14:paraId="4B15679D" w14:textId="003753D3" w:rsidR="00872D8E" w:rsidRPr="009C3C7F" w:rsidRDefault="00872D8E" w:rsidP="00C43350">
            <w:pPr>
              <w:pStyle w:val="TableTextRight"/>
            </w:pPr>
            <w:r w:rsidRPr="009C3C7F">
              <w:t>T1.5</w:t>
            </w:r>
          </w:p>
        </w:tc>
        <w:tc>
          <w:tcPr>
            <w:tcW w:w="600" w:type="pct"/>
            <w:tcBorders>
              <w:top w:val="single" w:sz="4" w:space="0" w:color="auto"/>
              <w:bottom w:val="single" w:sz="4" w:space="0" w:color="auto"/>
            </w:tcBorders>
          </w:tcPr>
          <w:p w14:paraId="0F34D11F" w14:textId="7732DC59" w:rsidR="00872D8E" w:rsidRPr="009C3C7F" w:rsidRDefault="00872D8E" w:rsidP="00C43350">
            <w:pPr>
              <w:pStyle w:val="TableTextRight"/>
            </w:pPr>
          </w:p>
        </w:tc>
      </w:tr>
      <w:tr w:rsidR="00872D8E" w:rsidRPr="00053BAB" w14:paraId="411926C4" w14:textId="77777777" w:rsidTr="00C43350">
        <w:trPr>
          <w:cantSplit/>
          <w:trHeight w:val="388"/>
        </w:trPr>
        <w:tc>
          <w:tcPr>
            <w:tcW w:w="464" w:type="pct"/>
            <w:tcBorders>
              <w:top w:val="single" w:sz="4" w:space="0" w:color="auto"/>
              <w:bottom w:val="single" w:sz="4" w:space="0" w:color="auto"/>
            </w:tcBorders>
          </w:tcPr>
          <w:p w14:paraId="642DF418" w14:textId="4B41660B" w:rsidR="00872D8E" w:rsidRPr="00C43350" w:rsidRDefault="00872D8E" w:rsidP="00C43350">
            <w:pPr>
              <w:pStyle w:val="TableText"/>
            </w:pPr>
          </w:p>
        </w:tc>
        <w:tc>
          <w:tcPr>
            <w:tcW w:w="713" w:type="pct"/>
            <w:tcBorders>
              <w:top w:val="single" w:sz="4" w:space="0" w:color="auto"/>
              <w:bottom w:val="single" w:sz="4" w:space="0" w:color="auto"/>
            </w:tcBorders>
          </w:tcPr>
          <w:p w14:paraId="51FA253E" w14:textId="3DE3124A" w:rsidR="00872D8E" w:rsidRPr="00C43350" w:rsidRDefault="00872D8E" w:rsidP="00C43350">
            <w:pPr>
              <w:pStyle w:val="TableText"/>
            </w:pPr>
          </w:p>
        </w:tc>
        <w:tc>
          <w:tcPr>
            <w:tcW w:w="2591" w:type="pct"/>
            <w:tcBorders>
              <w:top w:val="single" w:sz="4" w:space="0" w:color="auto"/>
              <w:bottom w:val="single" w:sz="4" w:space="0" w:color="auto"/>
            </w:tcBorders>
          </w:tcPr>
          <w:p w14:paraId="0473A447" w14:textId="58F4D48E" w:rsidR="00872D8E" w:rsidRPr="00C43350" w:rsidRDefault="00872D8E" w:rsidP="00C43350">
            <w:pPr>
              <w:pStyle w:val="TableText"/>
            </w:pPr>
            <w:r w:rsidRPr="00C43350">
              <w:t>Poultry, kidney</w:t>
            </w:r>
          </w:p>
        </w:tc>
        <w:tc>
          <w:tcPr>
            <w:tcW w:w="632" w:type="pct"/>
            <w:tcBorders>
              <w:top w:val="single" w:sz="4" w:space="0" w:color="auto"/>
              <w:bottom w:val="single" w:sz="4" w:space="0" w:color="auto"/>
            </w:tcBorders>
          </w:tcPr>
          <w:p w14:paraId="6371E8B8" w14:textId="64D13396" w:rsidR="00872D8E" w:rsidRPr="009C3C7F" w:rsidRDefault="00872D8E" w:rsidP="00C43350">
            <w:pPr>
              <w:pStyle w:val="TableTextRight"/>
            </w:pPr>
            <w:r w:rsidRPr="009C3C7F">
              <w:t>T10</w:t>
            </w:r>
          </w:p>
        </w:tc>
        <w:tc>
          <w:tcPr>
            <w:tcW w:w="600" w:type="pct"/>
            <w:tcBorders>
              <w:top w:val="single" w:sz="4" w:space="0" w:color="auto"/>
              <w:bottom w:val="single" w:sz="4" w:space="0" w:color="auto"/>
            </w:tcBorders>
          </w:tcPr>
          <w:p w14:paraId="23F9CC23" w14:textId="753C4BE6" w:rsidR="00872D8E" w:rsidRPr="009C3C7F" w:rsidRDefault="00872D8E" w:rsidP="00C43350">
            <w:pPr>
              <w:pStyle w:val="TableTextRight"/>
            </w:pPr>
          </w:p>
        </w:tc>
      </w:tr>
      <w:tr w:rsidR="00872D8E" w:rsidRPr="00053BAB" w14:paraId="0424BDE6" w14:textId="77777777" w:rsidTr="00C43350">
        <w:trPr>
          <w:cantSplit/>
          <w:trHeight w:val="388"/>
        </w:trPr>
        <w:tc>
          <w:tcPr>
            <w:tcW w:w="464" w:type="pct"/>
            <w:tcBorders>
              <w:top w:val="single" w:sz="4" w:space="0" w:color="auto"/>
              <w:bottom w:val="single" w:sz="4" w:space="0" w:color="auto"/>
            </w:tcBorders>
          </w:tcPr>
          <w:p w14:paraId="7CF1150D" w14:textId="3A89B140" w:rsidR="00872D8E" w:rsidRPr="00C43350" w:rsidRDefault="00872D8E" w:rsidP="00C43350">
            <w:pPr>
              <w:pStyle w:val="TableText"/>
            </w:pPr>
          </w:p>
        </w:tc>
        <w:tc>
          <w:tcPr>
            <w:tcW w:w="713" w:type="pct"/>
            <w:tcBorders>
              <w:top w:val="single" w:sz="4" w:space="0" w:color="auto"/>
              <w:bottom w:val="single" w:sz="4" w:space="0" w:color="auto"/>
            </w:tcBorders>
          </w:tcPr>
          <w:p w14:paraId="47C18A7C" w14:textId="0CF5534F" w:rsidR="00872D8E" w:rsidRPr="00C43350" w:rsidRDefault="00872D8E" w:rsidP="00C43350">
            <w:pPr>
              <w:pStyle w:val="TableText"/>
            </w:pPr>
          </w:p>
        </w:tc>
        <w:tc>
          <w:tcPr>
            <w:tcW w:w="2591" w:type="pct"/>
            <w:tcBorders>
              <w:top w:val="single" w:sz="4" w:space="0" w:color="auto"/>
              <w:bottom w:val="single" w:sz="4" w:space="0" w:color="auto"/>
            </w:tcBorders>
          </w:tcPr>
          <w:p w14:paraId="66EA8D23" w14:textId="58CE2A41" w:rsidR="00872D8E" w:rsidRPr="00C43350" w:rsidRDefault="00872D8E" w:rsidP="00C43350">
            <w:pPr>
              <w:pStyle w:val="TableText"/>
            </w:pPr>
            <w:r w:rsidRPr="00C43350">
              <w:t>Poultry, liver</w:t>
            </w:r>
          </w:p>
        </w:tc>
        <w:tc>
          <w:tcPr>
            <w:tcW w:w="632" w:type="pct"/>
            <w:tcBorders>
              <w:top w:val="single" w:sz="4" w:space="0" w:color="auto"/>
              <w:bottom w:val="single" w:sz="4" w:space="0" w:color="auto"/>
            </w:tcBorders>
          </w:tcPr>
          <w:p w14:paraId="4F356C9A" w14:textId="1A869452" w:rsidR="00872D8E" w:rsidRPr="009C3C7F" w:rsidRDefault="00872D8E" w:rsidP="00C43350">
            <w:pPr>
              <w:pStyle w:val="TableTextRight"/>
            </w:pPr>
            <w:r w:rsidRPr="009C3C7F">
              <w:t>T0.5</w:t>
            </w:r>
          </w:p>
        </w:tc>
        <w:tc>
          <w:tcPr>
            <w:tcW w:w="600" w:type="pct"/>
            <w:tcBorders>
              <w:top w:val="single" w:sz="4" w:space="0" w:color="auto"/>
              <w:bottom w:val="single" w:sz="4" w:space="0" w:color="auto"/>
            </w:tcBorders>
          </w:tcPr>
          <w:p w14:paraId="4F943792" w14:textId="2538A347" w:rsidR="00872D8E" w:rsidRPr="009C3C7F" w:rsidRDefault="00872D8E" w:rsidP="00C43350">
            <w:pPr>
              <w:pStyle w:val="TableTextRight"/>
            </w:pPr>
          </w:p>
        </w:tc>
      </w:tr>
      <w:tr w:rsidR="00872D8E" w:rsidRPr="00053BAB" w14:paraId="22C6AB7D" w14:textId="77777777" w:rsidTr="00C43350">
        <w:trPr>
          <w:cantSplit/>
          <w:trHeight w:val="388"/>
        </w:trPr>
        <w:tc>
          <w:tcPr>
            <w:tcW w:w="464" w:type="pct"/>
            <w:tcBorders>
              <w:top w:val="single" w:sz="4" w:space="0" w:color="auto"/>
              <w:bottom w:val="single" w:sz="4" w:space="0" w:color="auto"/>
            </w:tcBorders>
          </w:tcPr>
          <w:p w14:paraId="1095DC93" w14:textId="7F041C05" w:rsidR="00872D8E" w:rsidRPr="00C43350" w:rsidRDefault="00872D8E" w:rsidP="00C43350">
            <w:pPr>
              <w:pStyle w:val="TableText"/>
            </w:pPr>
            <w:r w:rsidRPr="00C43350">
              <w:t>PM</w:t>
            </w:r>
          </w:p>
        </w:tc>
        <w:tc>
          <w:tcPr>
            <w:tcW w:w="713" w:type="pct"/>
            <w:tcBorders>
              <w:top w:val="single" w:sz="4" w:space="0" w:color="auto"/>
              <w:bottom w:val="single" w:sz="4" w:space="0" w:color="auto"/>
            </w:tcBorders>
          </w:tcPr>
          <w:p w14:paraId="603BB9D5" w14:textId="669CB981" w:rsidR="00872D8E" w:rsidRPr="00C43350" w:rsidRDefault="00872D8E" w:rsidP="00C43350">
            <w:pPr>
              <w:pStyle w:val="TableText"/>
            </w:pPr>
            <w:r w:rsidRPr="00C43350">
              <w:t>0110</w:t>
            </w:r>
          </w:p>
        </w:tc>
        <w:tc>
          <w:tcPr>
            <w:tcW w:w="2591" w:type="pct"/>
            <w:tcBorders>
              <w:top w:val="single" w:sz="4" w:space="0" w:color="auto"/>
              <w:bottom w:val="single" w:sz="4" w:space="0" w:color="auto"/>
            </w:tcBorders>
          </w:tcPr>
          <w:p w14:paraId="6E5516B0" w14:textId="134EDA9C" w:rsidR="00872D8E" w:rsidRPr="00C43350" w:rsidRDefault="00872D8E" w:rsidP="00C43350">
            <w:pPr>
              <w:pStyle w:val="TableText"/>
            </w:pPr>
            <w:r w:rsidRPr="00C43350">
              <w:t>Poultry meat</w:t>
            </w:r>
          </w:p>
        </w:tc>
        <w:tc>
          <w:tcPr>
            <w:tcW w:w="632" w:type="pct"/>
            <w:tcBorders>
              <w:top w:val="single" w:sz="4" w:space="0" w:color="auto"/>
              <w:bottom w:val="single" w:sz="4" w:space="0" w:color="auto"/>
            </w:tcBorders>
          </w:tcPr>
          <w:p w14:paraId="515456DF" w14:textId="0D3A4907" w:rsidR="00872D8E" w:rsidRPr="009C3C7F" w:rsidRDefault="00872D8E" w:rsidP="00C43350">
            <w:pPr>
              <w:pStyle w:val="TableTextRight"/>
            </w:pPr>
            <w:r w:rsidRPr="009C3C7F">
              <w:t>T0.5</w:t>
            </w:r>
          </w:p>
        </w:tc>
        <w:tc>
          <w:tcPr>
            <w:tcW w:w="600" w:type="pct"/>
            <w:tcBorders>
              <w:top w:val="single" w:sz="4" w:space="0" w:color="auto"/>
              <w:bottom w:val="single" w:sz="4" w:space="0" w:color="auto"/>
            </w:tcBorders>
          </w:tcPr>
          <w:p w14:paraId="2B958972" w14:textId="52279BBC" w:rsidR="00872D8E" w:rsidRPr="009C3C7F" w:rsidRDefault="00872D8E" w:rsidP="00C43350">
            <w:pPr>
              <w:pStyle w:val="TableTextRight"/>
            </w:pPr>
          </w:p>
        </w:tc>
      </w:tr>
      <w:tr w:rsidR="00872D8E" w:rsidRPr="00053BAB" w14:paraId="34F8A086" w14:textId="77777777" w:rsidTr="00C43350">
        <w:trPr>
          <w:cantSplit/>
          <w:trHeight w:val="388"/>
        </w:trPr>
        <w:tc>
          <w:tcPr>
            <w:tcW w:w="464" w:type="pct"/>
            <w:tcBorders>
              <w:top w:val="single" w:sz="4" w:space="0" w:color="auto"/>
              <w:bottom w:val="single" w:sz="4" w:space="0" w:color="auto"/>
            </w:tcBorders>
          </w:tcPr>
          <w:p w14:paraId="3AADA26B" w14:textId="008622B7" w:rsidR="00872D8E" w:rsidRPr="00C43350" w:rsidRDefault="00872D8E" w:rsidP="00C43350">
            <w:pPr>
              <w:pStyle w:val="TableText"/>
            </w:pPr>
            <w:r w:rsidRPr="00C43350">
              <w:t>MF</w:t>
            </w:r>
          </w:p>
        </w:tc>
        <w:tc>
          <w:tcPr>
            <w:tcW w:w="713" w:type="pct"/>
            <w:tcBorders>
              <w:top w:val="single" w:sz="4" w:space="0" w:color="auto"/>
              <w:bottom w:val="single" w:sz="4" w:space="0" w:color="auto"/>
            </w:tcBorders>
          </w:tcPr>
          <w:p w14:paraId="323CABB4" w14:textId="14D950A6" w:rsidR="00872D8E" w:rsidRPr="00C43350" w:rsidRDefault="00872D8E" w:rsidP="00C43350">
            <w:pPr>
              <w:pStyle w:val="TableText"/>
            </w:pPr>
            <w:r w:rsidRPr="00C43350">
              <w:t>0812</w:t>
            </w:r>
          </w:p>
        </w:tc>
        <w:tc>
          <w:tcPr>
            <w:tcW w:w="2591" w:type="pct"/>
            <w:tcBorders>
              <w:top w:val="single" w:sz="4" w:space="0" w:color="auto"/>
              <w:bottom w:val="single" w:sz="4" w:space="0" w:color="auto"/>
            </w:tcBorders>
          </w:tcPr>
          <w:p w14:paraId="5C93E125" w14:textId="76A7CDF1" w:rsidR="00872D8E" w:rsidRPr="00C43350" w:rsidRDefault="00872D8E" w:rsidP="00C43350">
            <w:pPr>
              <w:pStyle w:val="TableText"/>
            </w:pPr>
            <w:r w:rsidRPr="00C43350">
              <w:t>Cattle fat</w:t>
            </w:r>
          </w:p>
        </w:tc>
        <w:tc>
          <w:tcPr>
            <w:tcW w:w="632" w:type="pct"/>
            <w:tcBorders>
              <w:top w:val="single" w:sz="4" w:space="0" w:color="auto"/>
              <w:bottom w:val="single" w:sz="4" w:space="0" w:color="auto"/>
            </w:tcBorders>
          </w:tcPr>
          <w:p w14:paraId="30313098" w14:textId="77777777" w:rsidR="00872D8E" w:rsidRPr="009C3C7F" w:rsidRDefault="00872D8E" w:rsidP="00C43350">
            <w:pPr>
              <w:pStyle w:val="TableTextRight"/>
            </w:pPr>
          </w:p>
        </w:tc>
        <w:tc>
          <w:tcPr>
            <w:tcW w:w="600" w:type="pct"/>
            <w:tcBorders>
              <w:top w:val="single" w:sz="4" w:space="0" w:color="auto"/>
              <w:bottom w:val="single" w:sz="4" w:space="0" w:color="auto"/>
            </w:tcBorders>
          </w:tcPr>
          <w:p w14:paraId="6A21FD20" w14:textId="3B95486C" w:rsidR="00872D8E" w:rsidRPr="009C3C7F" w:rsidRDefault="00872D8E" w:rsidP="00C43350">
            <w:pPr>
              <w:pStyle w:val="TableTextRight"/>
            </w:pPr>
            <w:r w:rsidRPr="009C3C7F">
              <w:t>*0.1</w:t>
            </w:r>
          </w:p>
        </w:tc>
      </w:tr>
      <w:tr w:rsidR="00872D8E" w:rsidRPr="00053BAB" w14:paraId="02358718" w14:textId="77777777" w:rsidTr="00C43350">
        <w:trPr>
          <w:cantSplit/>
          <w:trHeight w:val="374"/>
        </w:trPr>
        <w:tc>
          <w:tcPr>
            <w:tcW w:w="464" w:type="pct"/>
            <w:tcBorders>
              <w:top w:val="single" w:sz="4" w:space="0" w:color="auto"/>
              <w:bottom w:val="single" w:sz="4" w:space="0" w:color="auto"/>
            </w:tcBorders>
          </w:tcPr>
          <w:p w14:paraId="4132FDBC" w14:textId="241BC6D3" w:rsidR="00872D8E" w:rsidRPr="00C43350" w:rsidRDefault="00872D8E" w:rsidP="00C43350">
            <w:pPr>
              <w:pStyle w:val="TableText"/>
            </w:pPr>
          </w:p>
        </w:tc>
        <w:tc>
          <w:tcPr>
            <w:tcW w:w="713" w:type="pct"/>
            <w:tcBorders>
              <w:top w:val="single" w:sz="4" w:space="0" w:color="auto"/>
              <w:bottom w:val="single" w:sz="4" w:space="0" w:color="auto"/>
            </w:tcBorders>
          </w:tcPr>
          <w:p w14:paraId="5C3CF2F5" w14:textId="2EB30035" w:rsidR="00872D8E" w:rsidRPr="00C43350" w:rsidRDefault="00872D8E" w:rsidP="00C43350">
            <w:pPr>
              <w:pStyle w:val="TableText"/>
            </w:pPr>
          </w:p>
        </w:tc>
        <w:tc>
          <w:tcPr>
            <w:tcW w:w="2591" w:type="pct"/>
            <w:tcBorders>
              <w:top w:val="single" w:sz="4" w:space="0" w:color="auto"/>
              <w:bottom w:val="single" w:sz="4" w:space="0" w:color="auto"/>
            </w:tcBorders>
          </w:tcPr>
          <w:p w14:paraId="29417CCB" w14:textId="1C3C72A9" w:rsidR="00872D8E" w:rsidRPr="00C43350" w:rsidRDefault="00872D8E" w:rsidP="00C43350">
            <w:pPr>
              <w:pStyle w:val="TableText"/>
            </w:pPr>
            <w:r w:rsidRPr="00C43350">
              <w:t>Cattle muscle</w:t>
            </w:r>
          </w:p>
        </w:tc>
        <w:tc>
          <w:tcPr>
            <w:tcW w:w="632" w:type="pct"/>
            <w:tcBorders>
              <w:top w:val="single" w:sz="4" w:space="0" w:color="auto"/>
              <w:bottom w:val="single" w:sz="4" w:space="0" w:color="auto"/>
            </w:tcBorders>
          </w:tcPr>
          <w:p w14:paraId="505D3EC7" w14:textId="6CE12491" w:rsidR="00872D8E" w:rsidRPr="009C3C7F" w:rsidRDefault="00872D8E" w:rsidP="00C43350">
            <w:pPr>
              <w:pStyle w:val="TableTextRight"/>
            </w:pPr>
          </w:p>
        </w:tc>
        <w:tc>
          <w:tcPr>
            <w:tcW w:w="600" w:type="pct"/>
            <w:tcBorders>
              <w:top w:val="single" w:sz="4" w:space="0" w:color="auto"/>
              <w:bottom w:val="single" w:sz="4" w:space="0" w:color="auto"/>
            </w:tcBorders>
          </w:tcPr>
          <w:p w14:paraId="243E39A0" w14:textId="1A680913" w:rsidR="00872D8E" w:rsidRPr="009C3C7F" w:rsidRDefault="00872D8E" w:rsidP="00C43350">
            <w:pPr>
              <w:pStyle w:val="TableTextRight"/>
            </w:pPr>
            <w:r w:rsidRPr="009C3C7F">
              <w:t>*0.8</w:t>
            </w:r>
          </w:p>
        </w:tc>
      </w:tr>
      <w:tr w:rsidR="00872D8E" w:rsidRPr="00053BAB" w14:paraId="4E2682C1" w14:textId="77777777" w:rsidTr="00C43350">
        <w:trPr>
          <w:cantSplit/>
          <w:trHeight w:val="374"/>
        </w:trPr>
        <w:tc>
          <w:tcPr>
            <w:tcW w:w="464" w:type="pct"/>
            <w:tcBorders>
              <w:top w:val="single" w:sz="4" w:space="0" w:color="auto"/>
              <w:bottom w:val="single" w:sz="4" w:space="0" w:color="auto"/>
            </w:tcBorders>
          </w:tcPr>
          <w:p w14:paraId="5A8C60A2" w14:textId="4A932037" w:rsidR="00872D8E" w:rsidRPr="00C43350" w:rsidRDefault="00872D8E" w:rsidP="00C43350">
            <w:pPr>
              <w:pStyle w:val="TableText"/>
            </w:pPr>
            <w:r w:rsidRPr="00C43350">
              <w:t>MO</w:t>
            </w:r>
          </w:p>
        </w:tc>
        <w:tc>
          <w:tcPr>
            <w:tcW w:w="713" w:type="pct"/>
            <w:tcBorders>
              <w:top w:val="single" w:sz="4" w:space="0" w:color="auto"/>
              <w:bottom w:val="single" w:sz="4" w:space="0" w:color="auto"/>
            </w:tcBorders>
          </w:tcPr>
          <w:p w14:paraId="56641A8B" w14:textId="30272DBB" w:rsidR="00872D8E" w:rsidRPr="00C43350" w:rsidRDefault="00872D8E" w:rsidP="00C43350">
            <w:pPr>
              <w:pStyle w:val="TableText"/>
            </w:pPr>
            <w:r w:rsidRPr="00C43350">
              <w:t>1280</w:t>
            </w:r>
          </w:p>
        </w:tc>
        <w:tc>
          <w:tcPr>
            <w:tcW w:w="2591" w:type="pct"/>
            <w:tcBorders>
              <w:top w:val="single" w:sz="4" w:space="0" w:color="auto"/>
              <w:bottom w:val="single" w:sz="4" w:space="0" w:color="auto"/>
            </w:tcBorders>
          </w:tcPr>
          <w:p w14:paraId="595B225B" w14:textId="6E4DE8D3" w:rsidR="00872D8E" w:rsidRPr="00C43350" w:rsidRDefault="00872D8E" w:rsidP="00C43350">
            <w:pPr>
              <w:pStyle w:val="TableText"/>
            </w:pPr>
            <w:r w:rsidRPr="00C43350">
              <w:t>Cattle, kidney</w:t>
            </w:r>
          </w:p>
        </w:tc>
        <w:tc>
          <w:tcPr>
            <w:tcW w:w="632" w:type="pct"/>
            <w:tcBorders>
              <w:top w:val="single" w:sz="4" w:space="0" w:color="auto"/>
              <w:bottom w:val="single" w:sz="4" w:space="0" w:color="auto"/>
            </w:tcBorders>
          </w:tcPr>
          <w:p w14:paraId="1841F16D" w14:textId="58A750C3" w:rsidR="00872D8E" w:rsidRPr="009C3C7F" w:rsidRDefault="00872D8E" w:rsidP="00C43350">
            <w:pPr>
              <w:pStyle w:val="TableTextRight"/>
            </w:pPr>
          </w:p>
        </w:tc>
        <w:tc>
          <w:tcPr>
            <w:tcW w:w="600" w:type="pct"/>
            <w:tcBorders>
              <w:top w:val="single" w:sz="4" w:space="0" w:color="auto"/>
              <w:bottom w:val="single" w:sz="4" w:space="0" w:color="auto"/>
            </w:tcBorders>
          </w:tcPr>
          <w:p w14:paraId="34D79972" w14:textId="1CC23376" w:rsidR="00872D8E" w:rsidRPr="009C3C7F" w:rsidRDefault="00872D8E" w:rsidP="00C43350">
            <w:pPr>
              <w:pStyle w:val="TableTextRight"/>
            </w:pPr>
            <w:r w:rsidRPr="009C3C7F">
              <w:t>10</w:t>
            </w:r>
          </w:p>
        </w:tc>
      </w:tr>
      <w:tr w:rsidR="00872D8E" w:rsidRPr="00053BAB" w14:paraId="7D30BF80" w14:textId="77777777" w:rsidTr="00C43350">
        <w:trPr>
          <w:cantSplit/>
          <w:trHeight w:val="388"/>
        </w:trPr>
        <w:tc>
          <w:tcPr>
            <w:tcW w:w="464" w:type="pct"/>
            <w:tcBorders>
              <w:top w:val="single" w:sz="4" w:space="0" w:color="auto"/>
              <w:bottom w:val="single" w:sz="4" w:space="0" w:color="auto"/>
            </w:tcBorders>
          </w:tcPr>
          <w:p w14:paraId="367305DF" w14:textId="76ACD3DA" w:rsidR="00872D8E" w:rsidRPr="00C43350" w:rsidRDefault="00872D8E" w:rsidP="00C43350">
            <w:pPr>
              <w:pStyle w:val="TableText"/>
            </w:pPr>
            <w:r w:rsidRPr="00C43350">
              <w:t>MO</w:t>
            </w:r>
          </w:p>
        </w:tc>
        <w:tc>
          <w:tcPr>
            <w:tcW w:w="713" w:type="pct"/>
            <w:tcBorders>
              <w:top w:val="single" w:sz="4" w:space="0" w:color="auto"/>
              <w:bottom w:val="single" w:sz="4" w:space="0" w:color="auto"/>
            </w:tcBorders>
          </w:tcPr>
          <w:p w14:paraId="75B51B18" w14:textId="7C6062D1" w:rsidR="00872D8E" w:rsidRPr="00C43350" w:rsidRDefault="00872D8E" w:rsidP="00C43350">
            <w:pPr>
              <w:pStyle w:val="TableText"/>
            </w:pPr>
            <w:r w:rsidRPr="00C43350">
              <w:t xml:space="preserve">1281 </w:t>
            </w:r>
          </w:p>
        </w:tc>
        <w:tc>
          <w:tcPr>
            <w:tcW w:w="2591" w:type="pct"/>
            <w:tcBorders>
              <w:top w:val="single" w:sz="4" w:space="0" w:color="auto"/>
              <w:bottom w:val="single" w:sz="4" w:space="0" w:color="auto"/>
            </w:tcBorders>
          </w:tcPr>
          <w:p w14:paraId="3FDD54D1" w14:textId="39D03D2F" w:rsidR="00872D8E" w:rsidRPr="00C43350" w:rsidRDefault="00872D8E" w:rsidP="00C43350">
            <w:pPr>
              <w:pStyle w:val="TableText"/>
            </w:pPr>
            <w:r w:rsidRPr="00C43350">
              <w:t>Cattle, liver</w:t>
            </w:r>
          </w:p>
        </w:tc>
        <w:tc>
          <w:tcPr>
            <w:tcW w:w="632" w:type="pct"/>
            <w:tcBorders>
              <w:top w:val="single" w:sz="4" w:space="0" w:color="auto"/>
              <w:bottom w:val="single" w:sz="4" w:space="0" w:color="auto"/>
            </w:tcBorders>
          </w:tcPr>
          <w:p w14:paraId="290B9B63" w14:textId="37C7B48F" w:rsidR="00872D8E" w:rsidRPr="009C3C7F" w:rsidRDefault="00872D8E" w:rsidP="00C43350">
            <w:pPr>
              <w:pStyle w:val="TableTextRight"/>
            </w:pPr>
          </w:p>
        </w:tc>
        <w:tc>
          <w:tcPr>
            <w:tcW w:w="600" w:type="pct"/>
            <w:tcBorders>
              <w:top w:val="single" w:sz="4" w:space="0" w:color="auto"/>
              <w:bottom w:val="single" w:sz="4" w:space="0" w:color="auto"/>
            </w:tcBorders>
          </w:tcPr>
          <w:p w14:paraId="3D54E70D" w14:textId="0D3D45D1" w:rsidR="00872D8E" w:rsidRPr="009C3C7F" w:rsidRDefault="00872D8E" w:rsidP="00C43350">
            <w:pPr>
              <w:pStyle w:val="TableTextRight"/>
            </w:pPr>
            <w:r w:rsidRPr="009C3C7F">
              <w:t>1.3</w:t>
            </w:r>
          </w:p>
        </w:tc>
      </w:tr>
      <w:tr w:rsidR="00872D8E" w:rsidRPr="00053BAB" w14:paraId="0F2185AF" w14:textId="77777777" w:rsidTr="00C43350">
        <w:trPr>
          <w:cantSplit/>
          <w:trHeight w:val="374"/>
        </w:trPr>
        <w:tc>
          <w:tcPr>
            <w:tcW w:w="464" w:type="pct"/>
            <w:tcBorders>
              <w:top w:val="single" w:sz="4" w:space="0" w:color="auto"/>
              <w:bottom w:val="single" w:sz="4" w:space="0" w:color="auto"/>
            </w:tcBorders>
          </w:tcPr>
          <w:p w14:paraId="522F9346" w14:textId="05923FB6" w:rsidR="00872D8E" w:rsidRPr="00C43350" w:rsidRDefault="00872D8E" w:rsidP="00C43350">
            <w:pPr>
              <w:pStyle w:val="TableText"/>
            </w:pPr>
          </w:p>
        </w:tc>
        <w:tc>
          <w:tcPr>
            <w:tcW w:w="713" w:type="pct"/>
            <w:tcBorders>
              <w:top w:val="single" w:sz="4" w:space="0" w:color="auto"/>
              <w:bottom w:val="single" w:sz="4" w:space="0" w:color="auto"/>
            </w:tcBorders>
          </w:tcPr>
          <w:p w14:paraId="0631D55A" w14:textId="6CA15DA4" w:rsidR="00872D8E" w:rsidRPr="00C43350" w:rsidRDefault="00872D8E" w:rsidP="00C43350">
            <w:pPr>
              <w:pStyle w:val="TableText"/>
            </w:pPr>
          </w:p>
        </w:tc>
        <w:tc>
          <w:tcPr>
            <w:tcW w:w="2591" w:type="pct"/>
            <w:tcBorders>
              <w:top w:val="single" w:sz="4" w:space="0" w:color="auto"/>
              <w:bottom w:val="single" w:sz="4" w:space="0" w:color="auto"/>
            </w:tcBorders>
          </w:tcPr>
          <w:p w14:paraId="40D286E8" w14:textId="560C0BEF" w:rsidR="00872D8E" w:rsidRPr="00C43350" w:rsidRDefault="00872D8E" w:rsidP="00C43350">
            <w:pPr>
              <w:pStyle w:val="TableText"/>
            </w:pPr>
            <w:r w:rsidRPr="00C43350">
              <w:t>Pig fat/skin</w:t>
            </w:r>
          </w:p>
        </w:tc>
        <w:tc>
          <w:tcPr>
            <w:tcW w:w="632" w:type="pct"/>
            <w:tcBorders>
              <w:top w:val="single" w:sz="4" w:space="0" w:color="auto"/>
              <w:bottom w:val="single" w:sz="4" w:space="0" w:color="auto"/>
            </w:tcBorders>
          </w:tcPr>
          <w:p w14:paraId="678E485F" w14:textId="3BAA8880" w:rsidR="00872D8E" w:rsidRPr="009C3C7F" w:rsidRDefault="00872D8E" w:rsidP="00C43350">
            <w:pPr>
              <w:pStyle w:val="TableTextRight"/>
            </w:pPr>
          </w:p>
        </w:tc>
        <w:tc>
          <w:tcPr>
            <w:tcW w:w="600" w:type="pct"/>
            <w:tcBorders>
              <w:top w:val="single" w:sz="4" w:space="0" w:color="auto"/>
              <w:bottom w:val="single" w:sz="4" w:space="0" w:color="auto"/>
            </w:tcBorders>
          </w:tcPr>
          <w:p w14:paraId="587B5966" w14:textId="339576D1" w:rsidR="00872D8E" w:rsidRPr="009C3C7F" w:rsidRDefault="00872D8E" w:rsidP="00C43350">
            <w:pPr>
              <w:pStyle w:val="TableTextRight"/>
            </w:pPr>
            <w:r w:rsidRPr="009C3C7F">
              <w:t>*0.1</w:t>
            </w:r>
          </w:p>
        </w:tc>
      </w:tr>
      <w:tr w:rsidR="00872D8E" w:rsidRPr="00053BAB" w14:paraId="1464EA08" w14:textId="77777777" w:rsidTr="00C43350">
        <w:trPr>
          <w:cantSplit/>
          <w:trHeight w:val="374"/>
        </w:trPr>
        <w:tc>
          <w:tcPr>
            <w:tcW w:w="464" w:type="pct"/>
            <w:tcBorders>
              <w:top w:val="single" w:sz="4" w:space="0" w:color="auto"/>
              <w:bottom w:val="single" w:sz="4" w:space="0" w:color="auto"/>
            </w:tcBorders>
          </w:tcPr>
          <w:p w14:paraId="14124612" w14:textId="44AC6B03" w:rsidR="00872D8E" w:rsidRPr="00C43350" w:rsidRDefault="00872D8E" w:rsidP="00C43350">
            <w:pPr>
              <w:pStyle w:val="TableText"/>
            </w:pPr>
          </w:p>
        </w:tc>
        <w:tc>
          <w:tcPr>
            <w:tcW w:w="713" w:type="pct"/>
            <w:tcBorders>
              <w:top w:val="single" w:sz="4" w:space="0" w:color="auto"/>
              <w:bottom w:val="single" w:sz="4" w:space="0" w:color="auto"/>
            </w:tcBorders>
          </w:tcPr>
          <w:p w14:paraId="1C16DC8F" w14:textId="11FA26BA" w:rsidR="00872D8E" w:rsidRPr="00C43350" w:rsidRDefault="00872D8E" w:rsidP="00C43350">
            <w:pPr>
              <w:pStyle w:val="TableText"/>
            </w:pPr>
          </w:p>
        </w:tc>
        <w:tc>
          <w:tcPr>
            <w:tcW w:w="2591" w:type="pct"/>
            <w:tcBorders>
              <w:top w:val="single" w:sz="4" w:space="0" w:color="auto"/>
              <w:bottom w:val="single" w:sz="4" w:space="0" w:color="auto"/>
            </w:tcBorders>
          </w:tcPr>
          <w:p w14:paraId="34182062" w14:textId="31DFB677" w:rsidR="00872D8E" w:rsidRPr="00C43350" w:rsidRDefault="00872D8E" w:rsidP="00C43350">
            <w:pPr>
              <w:pStyle w:val="TableText"/>
            </w:pPr>
            <w:r w:rsidRPr="00C43350">
              <w:t>Pig muscle</w:t>
            </w:r>
          </w:p>
        </w:tc>
        <w:tc>
          <w:tcPr>
            <w:tcW w:w="632" w:type="pct"/>
            <w:tcBorders>
              <w:top w:val="single" w:sz="4" w:space="0" w:color="auto"/>
              <w:bottom w:val="single" w:sz="4" w:space="0" w:color="auto"/>
            </w:tcBorders>
          </w:tcPr>
          <w:p w14:paraId="1C9F1F8D" w14:textId="56A2E895" w:rsidR="00872D8E" w:rsidRPr="009C3C7F" w:rsidRDefault="00872D8E" w:rsidP="00C43350">
            <w:pPr>
              <w:pStyle w:val="TableTextRight"/>
            </w:pPr>
          </w:p>
        </w:tc>
        <w:tc>
          <w:tcPr>
            <w:tcW w:w="600" w:type="pct"/>
            <w:tcBorders>
              <w:top w:val="single" w:sz="4" w:space="0" w:color="auto"/>
              <w:bottom w:val="single" w:sz="4" w:space="0" w:color="auto"/>
            </w:tcBorders>
          </w:tcPr>
          <w:p w14:paraId="1F8A36CC" w14:textId="129787EA" w:rsidR="00872D8E" w:rsidRPr="009C3C7F" w:rsidRDefault="00872D8E" w:rsidP="00C43350">
            <w:pPr>
              <w:pStyle w:val="TableTextRight"/>
            </w:pPr>
            <w:r w:rsidRPr="009C3C7F">
              <w:t>*0.08</w:t>
            </w:r>
          </w:p>
        </w:tc>
      </w:tr>
      <w:tr w:rsidR="00872D8E" w:rsidRPr="00053BAB" w14:paraId="37571178" w14:textId="77777777" w:rsidTr="00C43350">
        <w:trPr>
          <w:cantSplit/>
          <w:trHeight w:val="374"/>
        </w:trPr>
        <w:tc>
          <w:tcPr>
            <w:tcW w:w="464" w:type="pct"/>
            <w:tcBorders>
              <w:top w:val="single" w:sz="4" w:space="0" w:color="auto"/>
              <w:bottom w:val="single" w:sz="4" w:space="0" w:color="auto"/>
            </w:tcBorders>
          </w:tcPr>
          <w:p w14:paraId="1BA28E3F" w14:textId="33CE62F5" w:rsidR="00872D8E" w:rsidRPr="00C43350" w:rsidRDefault="00872D8E" w:rsidP="00C43350">
            <w:pPr>
              <w:pStyle w:val="TableText"/>
            </w:pPr>
            <w:r w:rsidRPr="00C43350">
              <w:t>MO</w:t>
            </w:r>
          </w:p>
        </w:tc>
        <w:tc>
          <w:tcPr>
            <w:tcW w:w="713" w:type="pct"/>
            <w:tcBorders>
              <w:top w:val="single" w:sz="4" w:space="0" w:color="auto"/>
              <w:bottom w:val="single" w:sz="4" w:space="0" w:color="auto"/>
            </w:tcBorders>
          </w:tcPr>
          <w:p w14:paraId="4637CF0B" w14:textId="776F2FF9" w:rsidR="00872D8E" w:rsidRPr="00C43350" w:rsidRDefault="00872D8E" w:rsidP="00C43350">
            <w:pPr>
              <w:pStyle w:val="TableText"/>
            </w:pPr>
            <w:r w:rsidRPr="00C43350">
              <w:t>1284</w:t>
            </w:r>
          </w:p>
        </w:tc>
        <w:tc>
          <w:tcPr>
            <w:tcW w:w="2591" w:type="pct"/>
            <w:tcBorders>
              <w:top w:val="single" w:sz="4" w:space="0" w:color="auto"/>
              <w:bottom w:val="single" w:sz="4" w:space="0" w:color="auto"/>
            </w:tcBorders>
          </w:tcPr>
          <w:p w14:paraId="660EAFC3" w14:textId="33581F42" w:rsidR="00872D8E" w:rsidRPr="00C43350" w:rsidRDefault="00872D8E" w:rsidP="00C43350">
            <w:pPr>
              <w:pStyle w:val="TableText"/>
            </w:pPr>
            <w:r w:rsidRPr="00C43350">
              <w:t>Pig, kidney</w:t>
            </w:r>
          </w:p>
        </w:tc>
        <w:tc>
          <w:tcPr>
            <w:tcW w:w="632" w:type="pct"/>
            <w:tcBorders>
              <w:top w:val="single" w:sz="4" w:space="0" w:color="auto"/>
              <w:bottom w:val="single" w:sz="4" w:space="0" w:color="auto"/>
            </w:tcBorders>
          </w:tcPr>
          <w:p w14:paraId="5C79B2B7" w14:textId="259229D5" w:rsidR="00872D8E" w:rsidRPr="009C3C7F" w:rsidRDefault="00872D8E" w:rsidP="00C43350">
            <w:pPr>
              <w:pStyle w:val="TableTextRight"/>
            </w:pPr>
          </w:p>
        </w:tc>
        <w:tc>
          <w:tcPr>
            <w:tcW w:w="600" w:type="pct"/>
            <w:tcBorders>
              <w:top w:val="single" w:sz="4" w:space="0" w:color="auto"/>
              <w:bottom w:val="single" w:sz="4" w:space="0" w:color="auto"/>
            </w:tcBorders>
          </w:tcPr>
          <w:p w14:paraId="43C9FF61" w14:textId="2404840B" w:rsidR="00872D8E" w:rsidRPr="009C3C7F" w:rsidRDefault="00872D8E" w:rsidP="00C43350">
            <w:pPr>
              <w:pStyle w:val="TableTextRight"/>
            </w:pPr>
            <w:r w:rsidRPr="009C3C7F">
              <w:t>*0.2</w:t>
            </w:r>
          </w:p>
        </w:tc>
      </w:tr>
      <w:tr w:rsidR="00872D8E" w:rsidRPr="00053BAB" w14:paraId="74F8F7D3" w14:textId="77777777" w:rsidTr="00C43350">
        <w:trPr>
          <w:cantSplit/>
          <w:trHeight w:val="374"/>
        </w:trPr>
        <w:tc>
          <w:tcPr>
            <w:tcW w:w="464" w:type="pct"/>
            <w:tcBorders>
              <w:top w:val="single" w:sz="4" w:space="0" w:color="auto"/>
              <w:bottom w:val="single" w:sz="4" w:space="0" w:color="auto"/>
            </w:tcBorders>
          </w:tcPr>
          <w:p w14:paraId="2245EB48" w14:textId="4B8FD6D8" w:rsidR="00872D8E" w:rsidRPr="00C43350" w:rsidRDefault="00872D8E" w:rsidP="00C43350">
            <w:pPr>
              <w:pStyle w:val="TableText"/>
            </w:pPr>
            <w:r w:rsidRPr="00C43350">
              <w:t>MO</w:t>
            </w:r>
          </w:p>
        </w:tc>
        <w:tc>
          <w:tcPr>
            <w:tcW w:w="713" w:type="pct"/>
            <w:tcBorders>
              <w:top w:val="single" w:sz="4" w:space="0" w:color="auto"/>
              <w:bottom w:val="single" w:sz="4" w:space="0" w:color="auto"/>
            </w:tcBorders>
          </w:tcPr>
          <w:p w14:paraId="6F5FF5F5" w14:textId="43C8C5D5" w:rsidR="00872D8E" w:rsidRPr="00C43350" w:rsidRDefault="00872D8E" w:rsidP="00C43350">
            <w:pPr>
              <w:pStyle w:val="TableText"/>
            </w:pPr>
            <w:r w:rsidRPr="00C43350">
              <w:t>1285</w:t>
            </w:r>
          </w:p>
        </w:tc>
        <w:tc>
          <w:tcPr>
            <w:tcW w:w="2591" w:type="pct"/>
            <w:tcBorders>
              <w:top w:val="single" w:sz="4" w:space="0" w:color="auto"/>
              <w:bottom w:val="single" w:sz="4" w:space="0" w:color="auto"/>
            </w:tcBorders>
          </w:tcPr>
          <w:p w14:paraId="4F6B98D0" w14:textId="70127A79" w:rsidR="00872D8E" w:rsidRPr="00C43350" w:rsidRDefault="00872D8E" w:rsidP="00C43350">
            <w:pPr>
              <w:pStyle w:val="TableText"/>
            </w:pPr>
            <w:r w:rsidRPr="00C43350">
              <w:t>Pig, liver</w:t>
            </w:r>
          </w:p>
        </w:tc>
        <w:tc>
          <w:tcPr>
            <w:tcW w:w="632" w:type="pct"/>
            <w:tcBorders>
              <w:top w:val="single" w:sz="4" w:space="0" w:color="auto"/>
              <w:bottom w:val="single" w:sz="4" w:space="0" w:color="auto"/>
            </w:tcBorders>
          </w:tcPr>
          <w:p w14:paraId="6DD2311C" w14:textId="27823F8B" w:rsidR="00872D8E" w:rsidRPr="009C3C7F" w:rsidRDefault="00872D8E" w:rsidP="00C43350">
            <w:pPr>
              <w:pStyle w:val="TableTextRight"/>
            </w:pPr>
          </w:p>
        </w:tc>
        <w:tc>
          <w:tcPr>
            <w:tcW w:w="600" w:type="pct"/>
            <w:tcBorders>
              <w:top w:val="single" w:sz="4" w:space="0" w:color="auto"/>
              <w:bottom w:val="single" w:sz="4" w:space="0" w:color="auto"/>
            </w:tcBorders>
          </w:tcPr>
          <w:p w14:paraId="33B2FF4D" w14:textId="0BC6EDE9" w:rsidR="00872D8E" w:rsidRPr="009C3C7F" w:rsidRDefault="00872D8E" w:rsidP="00C43350">
            <w:pPr>
              <w:pStyle w:val="TableTextRight"/>
            </w:pPr>
            <w:r w:rsidRPr="009C3C7F">
              <w:t>*0.2</w:t>
            </w:r>
          </w:p>
        </w:tc>
      </w:tr>
      <w:tr w:rsidR="00872D8E" w:rsidRPr="00053BAB" w14:paraId="1CCC2247" w14:textId="77777777" w:rsidTr="00C43350">
        <w:trPr>
          <w:cantSplit/>
          <w:trHeight w:val="388"/>
        </w:trPr>
        <w:tc>
          <w:tcPr>
            <w:tcW w:w="464" w:type="pct"/>
            <w:tcBorders>
              <w:top w:val="single" w:sz="4" w:space="0" w:color="auto"/>
              <w:bottom w:val="single" w:sz="4" w:space="0" w:color="auto"/>
            </w:tcBorders>
          </w:tcPr>
          <w:p w14:paraId="0E48451A" w14:textId="656464DC" w:rsidR="00872D8E" w:rsidRPr="00C43350" w:rsidRDefault="00872D8E" w:rsidP="00C43350">
            <w:pPr>
              <w:pStyle w:val="TableText"/>
            </w:pPr>
            <w:r w:rsidRPr="00C43350">
              <w:t>MF</w:t>
            </w:r>
          </w:p>
        </w:tc>
        <w:tc>
          <w:tcPr>
            <w:tcW w:w="713" w:type="pct"/>
            <w:tcBorders>
              <w:top w:val="single" w:sz="4" w:space="0" w:color="auto"/>
              <w:bottom w:val="single" w:sz="4" w:space="0" w:color="auto"/>
            </w:tcBorders>
          </w:tcPr>
          <w:p w14:paraId="058FBC35" w14:textId="0BAC2720" w:rsidR="00872D8E" w:rsidRPr="00C43350" w:rsidRDefault="00872D8E" w:rsidP="00C43350">
            <w:pPr>
              <w:pStyle w:val="TableText"/>
            </w:pPr>
            <w:r w:rsidRPr="00C43350">
              <w:t>0822</w:t>
            </w:r>
          </w:p>
        </w:tc>
        <w:tc>
          <w:tcPr>
            <w:tcW w:w="2591" w:type="pct"/>
            <w:tcBorders>
              <w:top w:val="single" w:sz="4" w:space="0" w:color="auto"/>
              <w:bottom w:val="single" w:sz="4" w:space="0" w:color="auto"/>
            </w:tcBorders>
          </w:tcPr>
          <w:p w14:paraId="7633F4D9" w14:textId="42654BA8" w:rsidR="00872D8E" w:rsidRPr="00C43350" w:rsidRDefault="00872D8E" w:rsidP="00C43350">
            <w:pPr>
              <w:pStyle w:val="TableText"/>
            </w:pPr>
            <w:r w:rsidRPr="00C43350">
              <w:t>Sheep fat</w:t>
            </w:r>
          </w:p>
        </w:tc>
        <w:tc>
          <w:tcPr>
            <w:tcW w:w="632" w:type="pct"/>
            <w:tcBorders>
              <w:top w:val="single" w:sz="4" w:space="0" w:color="auto"/>
              <w:bottom w:val="single" w:sz="4" w:space="0" w:color="auto"/>
            </w:tcBorders>
          </w:tcPr>
          <w:p w14:paraId="4245207E" w14:textId="1A0455AD" w:rsidR="00872D8E" w:rsidRPr="009C3C7F" w:rsidRDefault="00872D8E" w:rsidP="00C43350">
            <w:pPr>
              <w:pStyle w:val="TableTextRight"/>
            </w:pPr>
          </w:p>
        </w:tc>
        <w:tc>
          <w:tcPr>
            <w:tcW w:w="600" w:type="pct"/>
            <w:tcBorders>
              <w:top w:val="single" w:sz="4" w:space="0" w:color="auto"/>
              <w:bottom w:val="single" w:sz="4" w:space="0" w:color="auto"/>
            </w:tcBorders>
          </w:tcPr>
          <w:p w14:paraId="70FC5EC2" w14:textId="481C45DB" w:rsidR="00872D8E" w:rsidRPr="009C3C7F" w:rsidRDefault="00872D8E" w:rsidP="00C43350">
            <w:pPr>
              <w:pStyle w:val="TableTextRight"/>
            </w:pPr>
            <w:r w:rsidRPr="009C3C7F">
              <w:t>*0.1</w:t>
            </w:r>
          </w:p>
        </w:tc>
      </w:tr>
      <w:tr w:rsidR="00872D8E" w:rsidRPr="00053BAB" w14:paraId="42FB830E" w14:textId="77777777" w:rsidTr="00C43350">
        <w:trPr>
          <w:cantSplit/>
          <w:trHeight w:val="374"/>
        </w:trPr>
        <w:tc>
          <w:tcPr>
            <w:tcW w:w="464" w:type="pct"/>
            <w:tcBorders>
              <w:top w:val="single" w:sz="4" w:space="0" w:color="auto"/>
              <w:bottom w:val="single" w:sz="4" w:space="0" w:color="auto"/>
            </w:tcBorders>
          </w:tcPr>
          <w:p w14:paraId="5E4BC38D" w14:textId="7AF502F1" w:rsidR="00872D8E" w:rsidRPr="00C43350" w:rsidRDefault="00872D8E" w:rsidP="00C43350">
            <w:pPr>
              <w:pStyle w:val="TableText"/>
            </w:pPr>
            <w:r w:rsidRPr="00C43350">
              <w:t>MO</w:t>
            </w:r>
          </w:p>
        </w:tc>
        <w:tc>
          <w:tcPr>
            <w:tcW w:w="713" w:type="pct"/>
            <w:tcBorders>
              <w:top w:val="single" w:sz="4" w:space="0" w:color="auto"/>
              <w:bottom w:val="single" w:sz="4" w:space="0" w:color="auto"/>
            </w:tcBorders>
          </w:tcPr>
          <w:p w14:paraId="1B99D62F" w14:textId="6A698550" w:rsidR="00872D8E" w:rsidRPr="00C43350" w:rsidRDefault="00872D8E" w:rsidP="00C43350">
            <w:pPr>
              <w:pStyle w:val="TableText"/>
            </w:pPr>
            <w:r w:rsidRPr="00C43350">
              <w:t>1288</w:t>
            </w:r>
          </w:p>
        </w:tc>
        <w:tc>
          <w:tcPr>
            <w:tcW w:w="2591" w:type="pct"/>
            <w:tcBorders>
              <w:top w:val="single" w:sz="4" w:space="0" w:color="auto"/>
              <w:bottom w:val="single" w:sz="4" w:space="0" w:color="auto"/>
            </w:tcBorders>
          </w:tcPr>
          <w:p w14:paraId="77BA9A5E" w14:textId="138986ED" w:rsidR="00872D8E" w:rsidRPr="00C43350" w:rsidRDefault="00872D8E" w:rsidP="00C43350">
            <w:pPr>
              <w:pStyle w:val="TableText"/>
            </w:pPr>
            <w:r w:rsidRPr="00C43350">
              <w:t>Sheep, kidney</w:t>
            </w:r>
          </w:p>
        </w:tc>
        <w:tc>
          <w:tcPr>
            <w:tcW w:w="632" w:type="pct"/>
            <w:tcBorders>
              <w:top w:val="single" w:sz="4" w:space="0" w:color="auto"/>
              <w:bottom w:val="single" w:sz="4" w:space="0" w:color="auto"/>
            </w:tcBorders>
          </w:tcPr>
          <w:p w14:paraId="4CC10B6C" w14:textId="0D190862" w:rsidR="00872D8E" w:rsidRPr="009C3C7F" w:rsidRDefault="00872D8E" w:rsidP="00C43350">
            <w:pPr>
              <w:pStyle w:val="TableTextRight"/>
            </w:pPr>
          </w:p>
        </w:tc>
        <w:tc>
          <w:tcPr>
            <w:tcW w:w="600" w:type="pct"/>
            <w:tcBorders>
              <w:top w:val="single" w:sz="4" w:space="0" w:color="auto"/>
              <w:bottom w:val="single" w:sz="4" w:space="0" w:color="auto"/>
            </w:tcBorders>
          </w:tcPr>
          <w:p w14:paraId="24E01111" w14:textId="0AAFBF65" w:rsidR="00872D8E" w:rsidRPr="009C3C7F" w:rsidRDefault="00872D8E" w:rsidP="00C43350">
            <w:pPr>
              <w:pStyle w:val="TableTextRight"/>
            </w:pPr>
            <w:r w:rsidRPr="009C3C7F">
              <w:t>2.4</w:t>
            </w:r>
          </w:p>
        </w:tc>
      </w:tr>
      <w:tr w:rsidR="00872D8E" w:rsidRPr="00053BAB" w:rsidDel="00443397" w14:paraId="46A7C2BD" w14:textId="77777777" w:rsidTr="00C43350">
        <w:trPr>
          <w:cantSplit/>
          <w:trHeight w:val="388"/>
        </w:trPr>
        <w:tc>
          <w:tcPr>
            <w:tcW w:w="464" w:type="pct"/>
            <w:tcBorders>
              <w:top w:val="single" w:sz="4" w:space="0" w:color="auto"/>
              <w:bottom w:val="single" w:sz="4" w:space="0" w:color="auto"/>
            </w:tcBorders>
          </w:tcPr>
          <w:p w14:paraId="45DF8DAC" w14:textId="02179D2A" w:rsidR="00872D8E" w:rsidRPr="00C43350" w:rsidRDefault="00872D8E" w:rsidP="00C43350">
            <w:pPr>
              <w:pStyle w:val="TableText"/>
            </w:pPr>
            <w:r w:rsidRPr="00C43350">
              <w:t xml:space="preserve">MO </w:t>
            </w:r>
          </w:p>
        </w:tc>
        <w:tc>
          <w:tcPr>
            <w:tcW w:w="713" w:type="pct"/>
            <w:tcBorders>
              <w:top w:val="single" w:sz="4" w:space="0" w:color="auto"/>
              <w:bottom w:val="single" w:sz="4" w:space="0" w:color="auto"/>
            </w:tcBorders>
          </w:tcPr>
          <w:p w14:paraId="2C4AD44E" w14:textId="24E3C64D" w:rsidR="00872D8E" w:rsidRPr="00C43350" w:rsidRDefault="00872D8E" w:rsidP="00C43350">
            <w:pPr>
              <w:pStyle w:val="TableText"/>
            </w:pPr>
            <w:r w:rsidRPr="00C43350">
              <w:t>1289</w:t>
            </w:r>
          </w:p>
        </w:tc>
        <w:tc>
          <w:tcPr>
            <w:tcW w:w="2591" w:type="pct"/>
            <w:tcBorders>
              <w:top w:val="single" w:sz="4" w:space="0" w:color="auto"/>
              <w:bottom w:val="single" w:sz="4" w:space="0" w:color="auto"/>
            </w:tcBorders>
          </w:tcPr>
          <w:p w14:paraId="4DBF7F7D" w14:textId="1DA31BF2" w:rsidR="00872D8E" w:rsidRPr="00C43350" w:rsidRDefault="00872D8E" w:rsidP="00C43350">
            <w:pPr>
              <w:pStyle w:val="TableText"/>
            </w:pPr>
            <w:r w:rsidRPr="00C43350">
              <w:t>Sheep, liver</w:t>
            </w:r>
          </w:p>
        </w:tc>
        <w:tc>
          <w:tcPr>
            <w:tcW w:w="632" w:type="pct"/>
            <w:tcBorders>
              <w:top w:val="single" w:sz="4" w:space="0" w:color="auto"/>
              <w:bottom w:val="single" w:sz="4" w:space="0" w:color="auto"/>
            </w:tcBorders>
          </w:tcPr>
          <w:p w14:paraId="468ABF5E" w14:textId="3822F4FB" w:rsidR="00872D8E" w:rsidRPr="009C3C7F" w:rsidRDefault="00872D8E" w:rsidP="00C43350">
            <w:pPr>
              <w:pStyle w:val="TableTextRight"/>
            </w:pPr>
          </w:p>
        </w:tc>
        <w:tc>
          <w:tcPr>
            <w:tcW w:w="600" w:type="pct"/>
            <w:tcBorders>
              <w:top w:val="single" w:sz="4" w:space="0" w:color="auto"/>
              <w:bottom w:val="single" w:sz="4" w:space="0" w:color="auto"/>
            </w:tcBorders>
          </w:tcPr>
          <w:p w14:paraId="53DC54A3" w14:textId="412101ED" w:rsidR="00872D8E" w:rsidRPr="009C3C7F" w:rsidDel="00443397" w:rsidRDefault="00872D8E" w:rsidP="00C43350">
            <w:pPr>
              <w:pStyle w:val="TableTextRight"/>
            </w:pPr>
            <w:r w:rsidRPr="009C3C7F">
              <w:t>1.4</w:t>
            </w:r>
          </w:p>
        </w:tc>
      </w:tr>
      <w:tr w:rsidR="00872D8E" w:rsidRPr="00053BAB" w14:paraId="2F77EB78" w14:textId="77777777" w:rsidTr="00C43350">
        <w:trPr>
          <w:cantSplit/>
          <w:trHeight w:val="374"/>
        </w:trPr>
        <w:tc>
          <w:tcPr>
            <w:tcW w:w="464" w:type="pct"/>
            <w:tcBorders>
              <w:top w:val="single" w:sz="4" w:space="0" w:color="auto"/>
              <w:bottom w:val="single" w:sz="4" w:space="0" w:color="auto"/>
            </w:tcBorders>
          </w:tcPr>
          <w:p w14:paraId="2CE6981D" w14:textId="2FD1B436" w:rsidR="00872D8E" w:rsidRPr="00C43350" w:rsidRDefault="00872D8E" w:rsidP="00C43350">
            <w:pPr>
              <w:pStyle w:val="TableText"/>
            </w:pPr>
          </w:p>
        </w:tc>
        <w:tc>
          <w:tcPr>
            <w:tcW w:w="713" w:type="pct"/>
            <w:tcBorders>
              <w:top w:val="single" w:sz="4" w:space="0" w:color="auto"/>
              <w:bottom w:val="single" w:sz="4" w:space="0" w:color="auto"/>
            </w:tcBorders>
          </w:tcPr>
          <w:p w14:paraId="25666701" w14:textId="58F7A715" w:rsidR="00872D8E" w:rsidRPr="00C43350" w:rsidRDefault="00872D8E" w:rsidP="00C43350">
            <w:pPr>
              <w:pStyle w:val="TableText"/>
            </w:pPr>
          </w:p>
        </w:tc>
        <w:tc>
          <w:tcPr>
            <w:tcW w:w="2591" w:type="pct"/>
            <w:tcBorders>
              <w:top w:val="single" w:sz="4" w:space="0" w:color="auto"/>
              <w:bottom w:val="single" w:sz="4" w:space="0" w:color="auto"/>
            </w:tcBorders>
          </w:tcPr>
          <w:p w14:paraId="648A5C5D" w14:textId="5BC60A9E" w:rsidR="00872D8E" w:rsidRPr="00C43350" w:rsidRDefault="00872D8E" w:rsidP="00C43350">
            <w:pPr>
              <w:pStyle w:val="TableText"/>
            </w:pPr>
            <w:r w:rsidRPr="00C43350">
              <w:t>Sheep muscle</w:t>
            </w:r>
          </w:p>
        </w:tc>
        <w:tc>
          <w:tcPr>
            <w:tcW w:w="632" w:type="pct"/>
            <w:tcBorders>
              <w:top w:val="single" w:sz="4" w:space="0" w:color="auto"/>
              <w:bottom w:val="single" w:sz="4" w:space="0" w:color="auto"/>
            </w:tcBorders>
          </w:tcPr>
          <w:p w14:paraId="2B06552C" w14:textId="0330896E" w:rsidR="00872D8E" w:rsidRPr="009C3C7F" w:rsidRDefault="00872D8E" w:rsidP="00C43350">
            <w:pPr>
              <w:pStyle w:val="TableTextRight"/>
            </w:pPr>
          </w:p>
        </w:tc>
        <w:tc>
          <w:tcPr>
            <w:tcW w:w="600" w:type="pct"/>
            <w:tcBorders>
              <w:top w:val="single" w:sz="4" w:space="0" w:color="auto"/>
              <w:bottom w:val="single" w:sz="4" w:space="0" w:color="auto"/>
            </w:tcBorders>
          </w:tcPr>
          <w:p w14:paraId="2CFE365A" w14:textId="730DA7FD" w:rsidR="00872D8E" w:rsidRPr="009C3C7F" w:rsidRDefault="00872D8E" w:rsidP="00C43350">
            <w:pPr>
              <w:pStyle w:val="TableTextRight"/>
            </w:pPr>
            <w:r w:rsidRPr="009C3C7F">
              <w:t>*0.08</w:t>
            </w:r>
          </w:p>
        </w:tc>
      </w:tr>
    </w:tbl>
    <w:p w14:paraId="17207ED0" w14:textId="0739880A" w:rsidR="00872D8E" w:rsidRPr="00C43350" w:rsidRDefault="00872D8E" w:rsidP="00C43350">
      <w:pPr>
        <w:pStyle w:val="Caption"/>
      </w:pPr>
      <w:bookmarkStart w:id="152" w:name="_Toc158818307"/>
      <w:r w:rsidRPr="00C43350">
        <w:t xml:space="preserve">Table </w:t>
      </w:r>
      <w:fldSimple w:instr=" SEQ Table \* ARABIC ">
        <w:r w:rsidR="00A75CD4">
          <w:rPr>
            <w:noProof/>
          </w:rPr>
          <w:t>18</w:t>
        </w:r>
      </w:fldSimple>
      <w:r w:rsidRPr="00C43350">
        <w:t>:</w:t>
      </w:r>
      <w:r w:rsidR="009C3C7F" w:rsidRPr="00C43350">
        <w:tab/>
      </w:r>
      <w:r w:rsidRPr="00C43350">
        <w:t>Amendments to Table 3 of the Agricultural and Veterinary Chemicals (MRL Standard for Residues of Chemical Products) Instrument 2023</w:t>
      </w:r>
      <w:bookmarkEnd w:id="152"/>
    </w:p>
    <w:tbl>
      <w:tblPr>
        <w:tblpPr w:leftFromText="180" w:rightFromText="180" w:vertAnchor="text" w:horzAnchor="margin" w:tblpY="162"/>
        <w:tblW w:w="5000" w:type="pct"/>
        <w:tblBorders>
          <w:bottom w:val="dotted" w:sz="2" w:space="0" w:color="auto"/>
          <w:insideH w:val="dotted" w:sz="2" w:space="0" w:color="auto"/>
        </w:tblBorders>
        <w:tblLook w:val="01E0" w:firstRow="1" w:lastRow="1" w:firstColumn="1" w:lastColumn="1" w:noHBand="0" w:noVBand="0"/>
      </w:tblPr>
      <w:tblGrid>
        <w:gridCol w:w="2857"/>
        <w:gridCol w:w="4441"/>
        <w:gridCol w:w="2340"/>
      </w:tblGrid>
      <w:tr w:rsidR="00801280" w:rsidRPr="00710316" w14:paraId="21A78406" w14:textId="77777777" w:rsidTr="00801280">
        <w:trPr>
          <w:cantSplit/>
          <w:trHeight w:val="300"/>
          <w:tblHeader/>
        </w:trPr>
        <w:tc>
          <w:tcPr>
            <w:tcW w:w="1482" w:type="pct"/>
            <w:vMerge w:val="restart"/>
            <w:tcBorders>
              <w:top w:val="single" w:sz="4" w:space="0" w:color="auto"/>
            </w:tcBorders>
            <w:shd w:val="clear" w:color="auto" w:fill="5C2946"/>
          </w:tcPr>
          <w:p w14:paraId="54ADB094" w14:textId="671F5745" w:rsidR="00801280" w:rsidRPr="00C43350" w:rsidRDefault="00801280" w:rsidP="00C43350">
            <w:pPr>
              <w:pStyle w:val="TableHead"/>
            </w:pPr>
            <w:bookmarkStart w:id="153" w:name="_Hlk149158433"/>
            <w:r w:rsidRPr="00C43350">
              <w:t>Compound</w:t>
            </w:r>
          </w:p>
        </w:tc>
        <w:tc>
          <w:tcPr>
            <w:tcW w:w="3518" w:type="pct"/>
            <w:gridSpan w:val="2"/>
            <w:tcBorders>
              <w:top w:val="single" w:sz="4" w:space="0" w:color="auto"/>
              <w:bottom w:val="single" w:sz="4" w:space="0" w:color="auto"/>
            </w:tcBorders>
            <w:shd w:val="clear" w:color="auto" w:fill="5C2946"/>
          </w:tcPr>
          <w:p w14:paraId="2FD536E4" w14:textId="480C05C6" w:rsidR="00801280" w:rsidRPr="00C43350" w:rsidRDefault="00801280" w:rsidP="00C43350">
            <w:pPr>
              <w:pStyle w:val="TableHead"/>
            </w:pPr>
            <w:r w:rsidRPr="00C43350">
              <w:t xml:space="preserve">Residue </w:t>
            </w:r>
          </w:p>
        </w:tc>
      </w:tr>
      <w:tr w:rsidR="00801280" w:rsidRPr="00710316" w14:paraId="70DC3C94" w14:textId="77777777" w:rsidTr="00801280">
        <w:trPr>
          <w:cantSplit/>
          <w:trHeight w:val="360"/>
          <w:tblHeader/>
        </w:trPr>
        <w:tc>
          <w:tcPr>
            <w:tcW w:w="1482" w:type="pct"/>
            <w:vMerge/>
            <w:tcBorders>
              <w:bottom w:val="single" w:sz="4" w:space="0" w:color="auto"/>
            </w:tcBorders>
            <w:shd w:val="clear" w:color="auto" w:fill="5C2946"/>
          </w:tcPr>
          <w:p w14:paraId="3280A0B0" w14:textId="77777777" w:rsidR="00801280" w:rsidRPr="00C43350" w:rsidRDefault="00801280" w:rsidP="00C43350">
            <w:pPr>
              <w:pStyle w:val="TableHead"/>
            </w:pPr>
          </w:p>
        </w:tc>
        <w:tc>
          <w:tcPr>
            <w:tcW w:w="2304" w:type="pct"/>
            <w:tcBorders>
              <w:top w:val="nil"/>
              <w:bottom w:val="single" w:sz="4" w:space="0" w:color="auto"/>
            </w:tcBorders>
            <w:shd w:val="clear" w:color="auto" w:fill="5C2946"/>
          </w:tcPr>
          <w:p w14:paraId="478DDE02" w14:textId="7A4AE1D2" w:rsidR="00801280" w:rsidRPr="00C43350" w:rsidRDefault="00801280" w:rsidP="00C43350">
            <w:pPr>
              <w:pStyle w:val="TableHead"/>
            </w:pPr>
            <w:bookmarkStart w:id="154" w:name="_Hlk158303538"/>
            <w:r w:rsidRPr="00C43350">
              <w:t>Delete</w:t>
            </w:r>
            <w:bookmarkEnd w:id="154"/>
          </w:p>
        </w:tc>
        <w:tc>
          <w:tcPr>
            <w:tcW w:w="1214" w:type="pct"/>
            <w:tcBorders>
              <w:top w:val="nil"/>
              <w:bottom w:val="single" w:sz="4" w:space="0" w:color="auto"/>
            </w:tcBorders>
            <w:shd w:val="clear" w:color="auto" w:fill="5C2946"/>
          </w:tcPr>
          <w:p w14:paraId="288AD363" w14:textId="6DA66055" w:rsidR="00801280" w:rsidRPr="00C43350" w:rsidRDefault="00801280" w:rsidP="00C43350">
            <w:pPr>
              <w:pStyle w:val="TableHead"/>
            </w:pPr>
            <w:r>
              <w:t>A</w:t>
            </w:r>
            <w:r w:rsidRPr="00C43350">
              <w:t>dd</w:t>
            </w:r>
          </w:p>
        </w:tc>
      </w:tr>
      <w:bookmarkEnd w:id="153"/>
      <w:tr w:rsidR="00801280" w:rsidRPr="00710316" w14:paraId="32862C4E" w14:textId="77777777" w:rsidTr="00801280">
        <w:trPr>
          <w:cantSplit/>
        </w:trPr>
        <w:tc>
          <w:tcPr>
            <w:tcW w:w="1482" w:type="pct"/>
            <w:tcBorders>
              <w:top w:val="single" w:sz="4" w:space="0" w:color="auto"/>
              <w:bottom w:val="single" w:sz="4" w:space="0" w:color="auto"/>
            </w:tcBorders>
            <w:vAlign w:val="center"/>
          </w:tcPr>
          <w:p w14:paraId="245804E3" w14:textId="143313C9" w:rsidR="00801280" w:rsidRPr="00C43350" w:rsidRDefault="00801280" w:rsidP="00C43350">
            <w:pPr>
              <w:pStyle w:val="TableText"/>
            </w:pPr>
            <w:r w:rsidRPr="00C43350">
              <w:t>Neomycin</w:t>
            </w:r>
          </w:p>
        </w:tc>
        <w:tc>
          <w:tcPr>
            <w:tcW w:w="2304" w:type="pct"/>
            <w:tcBorders>
              <w:top w:val="single" w:sz="4" w:space="0" w:color="auto"/>
              <w:bottom w:val="single" w:sz="4" w:space="0" w:color="auto"/>
            </w:tcBorders>
          </w:tcPr>
          <w:p w14:paraId="6BFD9BBA" w14:textId="5BC632ED" w:rsidR="00801280" w:rsidRPr="00C43350" w:rsidRDefault="00801280" w:rsidP="00C43350">
            <w:pPr>
              <w:pStyle w:val="TableText"/>
            </w:pPr>
            <w:r w:rsidRPr="00C43350">
              <w:t>Inhibitory substance, identified as neomycin</w:t>
            </w:r>
          </w:p>
        </w:tc>
        <w:tc>
          <w:tcPr>
            <w:tcW w:w="1214" w:type="pct"/>
            <w:tcBorders>
              <w:top w:val="single" w:sz="4" w:space="0" w:color="auto"/>
              <w:bottom w:val="single" w:sz="4" w:space="0" w:color="auto"/>
            </w:tcBorders>
          </w:tcPr>
          <w:p w14:paraId="7B4C2075" w14:textId="41C37237" w:rsidR="00801280" w:rsidRPr="00C43350" w:rsidRDefault="00801280" w:rsidP="00C43350">
            <w:pPr>
              <w:pStyle w:val="TableText"/>
            </w:pPr>
            <w:r w:rsidRPr="00C43350">
              <w:t>Neomycin</w:t>
            </w:r>
          </w:p>
        </w:tc>
      </w:tr>
    </w:tbl>
    <w:p w14:paraId="59E8B985" w14:textId="77777777" w:rsidR="00B102FF" w:rsidRDefault="00B102FF" w:rsidP="00B102FF">
      <w:pPr>
        <w:sectPr w:rsidR="00B102FF" w:rsidSect="00DF3A52">
          <w:headerReference w:type="even" r:id="rId40"/>
          <w:pgSz w:w="11906" w:h="16838" w:code="9"/>
          <w:pgMar w:top="2835" w:right="1134" w:bottom="1134" w:left="1134" w:header="1701" w:footer="680" w:gutter="0"/>
          <w:cols w:space="708"/>
          <w:docGrid w:linePitch="360"/>
        </w:sectPr>
      </w:pPr>
    </w:p>
    <w:p w14:paraId="1B3E64CD" w14:textId="05C5A53F" w:rsidR="00AA5DC7" w:rsidRDefault="00AA5DC7" w:rsidP="00AA5DC7">
      <w:pPr>
        <w:pStyle w:val="Heading1"/>
      </w:pPr>
      <w:bookmarkStart w:id="155" w:name="_Toc144468325"/>
      <w:bookmarkStart w:id="156" w:name="_Toc158818275"/>
      <w:bookmarkEnd w:id="148"/>
      <w:r>
        <w:lastRenderedPageBreak/>
        <w:t>E</w:t>
      </w:r>
      <w:r w:rsidRPr="00AA5DC7">
        <w:t xml:space="preserve">nvironmental </w:t>
      </w:r>
      <w:r w:rsidR="00B102FF">
        <w:t>s</w:t>
      </w:r>
      <w:r w:rsidRPr="00AA5DC7">
        <w:t>afety</w:t>
      </w:r>
      <w:bookmarkEnd w:id="155"/>
      <w:bookmarkEnd w:id="156"/>
    </w:p>
    <w:p w14:paraId="7C0362DF" w14:textId="77777777" w:rsidR="005D5931" w:rsidRPr="00C43350" w:rsidRDefault="005D5931" w:rsidP="00C43350">
      <w:pPr>
        <w:pStyle w:val="APVMAText"/>
      </w:pPr>
      <w:r w:rsidRPr="00C43350">
        <w:t>While no specific environmental concerns have been identified resulting from the use of neomycin, consideration of the existing environmental protection and disposal statements on the relevant labels is appropriate.</w:t>
      </w:r>
      <w:bookmarkStart w:id="157" w:name="_Toc144468329"/>
    </w:p>
    <w:p w14:paraId="695AD9E8" w14:textId="1291BCC4" w:rsidR="00AA5DC7" w:rsidRPr="00C43350" w:rsidRDefault="00AA5DC7" w:rsidP="00C43350">
      <w:pPr>
        <w:pStyle w:val="Heading2"/>
      </w:pPr>
      <w:bookmarkStart w:id="158" w:name="_Toc158818276"/>
      <w:r w:rsidRPr="00C43350">
        <w:t>Recommendations</w:t>
      </w:r>
      <w:bookmarkEnd w:id="157"/>
      <w:bookmarkEnd w:id="158"/>
    </w:p>
    <w:p w14:paraId="78864416" w14:textId="77777777" w:rsidR="005D5931" w:rsidRPr="00C43350" w:rsidRDefault="005D5931" w:rsidP="00C43350">
      <w:pPr>
        <w:pStyle w:val="Heading3"/>
      </w:pPr>
      <w:bookmarkStart w:id="159" w:name="_Toc158818277"/>
      <w:r w:rsidRPr="00C43350">
        <w:t>Environmental protection statement</w:t>
      </w:r>
      <w:bookmarkEnd w:id="159"/>
    </w:p>
    <w:p w14:paraId="51EEE5AB" w14:textId="23F1996F" w:rsidR="005D5931" w:rsidRPr="00053BAB" w:rsidRDefault="005D5931" w:rsidP="00C43350">
      <w:pPr>
        <w:pStyle w:val="APVMAText"/>
      </w:pPr>
      <w:r w:rsidRPr="005D5931">
        <w:t>For large containers (i.e., &gt;1</w:t>
      </w:r>
      <w:r w:rsidR="00B102FF">
        <w:t> </w:t>
      </w:r>
      <w:r w:rsidRPr="005D5931">
        <w:t>kg or &gt;1</w:t>
      </w:r>
      <w:r w:rsidR="00B102FF">
        <w:t> </w:t>
      </w:r>
      <w:r w:rsidRPr="005D5931">
        <w:t>L), the following statement is required</w:t>
      </w:r>
      <w:r>
        <w:t>:</w:t>
      </w:r>
    </w:p>
    <w:p w14:paraId="54EDBDB1" w14:textId="77777777" w:rsidR="005D5931" w:rsidRPr="00C43350" w:rsidRDefault="005D5931" w:rsidP="007D6865">
      <w:pPr>
        <w:pStyle w:val="APVMAQuote"/>
      </w:pPr>
      <w:r w:rsidRPr="00C43350">
        <w:t>Do not contaminate wetlands or water courses with this product or used containers.</w:t>
      </w:r>
    </w:p>
    <w:p w14:paraId="29336518" w14:textId="77777777" w:rsidR="005D5931" w:rsidRPr="00C43350" w:rsidRDefault="005D5931" w:rsidP="00C43350">
      <w:pPr>
        <w:pStyle w:val="Heading3"/>
      </w:pPr>
      <w:bookmarkStart w:id="160" w:name="_Toc158818278"/>
      <w:r w:rsidRPr="00C43350">
        <w:t>Disposal statements</w:t>
      </w:r>
      <w:bookmarkEnd w:id="160"/>
      <w:r w:rsidRPr="00C43350">
        <w:t xml:space="preserve"> </w:t>
      </w:r>
    </w:p>
    <w:p w14:paraId="07F4CEB1" w14:textId="7AB1515F" w:rsidR="005D5931" w:rsidRPr="00D32FE1" w:rsidRDefault="005D5931" w:rsidP="00C43350">
      <w:pPr>
        <w:pStyle w:val="APVMAText"/>
      </w:pPr>
      <w:r w:rsidRPr="005D5931">
        <w:t>Disposal statements for small containers and packaging</w:t>
      </w:r>
      <w:r w:rsidRPr="00053BAB">
        <w:t xml:space="preserve"> (i.e. up to 1</w:t>
      </w:r>
      <w:r w:rsidR="00B102FF">
        <w:t> </w:t>
      </w:r>
      <w:r w:rsidRPr="00053BAB">
        <w:t>kg or 1</w:t>
      </w:r>
      <w:r w:rsidR="00B102FF">
        <w:t> </w:t>
      </w:r>
      <w:r w:rsidRPr="00053BAB">
        <w:t>L), the following statement is required</w:t>
      </w:r>
      <w:r w:rsidR="00CB6306">
        <w:t>:</w:t>
      </w:r>
    </w:p>
    <w:p w14:paraId="55AA1518" w14:textId="77777777" w:rsidR="005D5931" w:rsidRPr="00CC1827" w:rsidRDefault="005D5931" w:rsidP="007D6865">
      <w:pPr>
        <w:pStyle w:val="APVMAQuote"/>
      </w:pPr>
      <w:r w:rsidRPr="00CC1827">
        <w:t>Dispose of container by wrapping with paper and putting in garbage.</w:t>
      </w:r>
    </w:p>
    <w:p w14:paraId="78F82DC8" w14:textId="70CF3E5B" w:rsidR="005D5931" w:rsidRPr="00C43350" w:rsidRDefault="005D5931" w:rsidP="00C43350">
      <w:pPr>
        <w:pStyle w:val="Heading4"/>
      </w:pPr>
      <w:r w:rsidRPr="00C43350">
        <w:t>Disposal statements for injectable products</w:t>
      </w:r>
    </w:p>
    <w:p w14:paraId="6401395B" w14:textId="35DB79A0" w:rsidR="005D5931" w:rsidRPr="00053BAB" w:rsidRDefault="005D5931" w:rsidP="00C43350">
      <w:pPr>
        <w:pStyle w:val="APVMAText"/>
      </w:pPr>
      <w:r w:rsidRPr="00053BAB">
        <w:t>In addition to the disposal statements for small containers, the following statement is required where a disposal sharp is distributed with a product or is expected to be used with a product, and sales of the product are not restricted to veterinarians.</w:t>
      </w:r>
    </w:p>
    <w:p w14:paraId="1E0240E3" w14:textId="77777777" w:rsidR="005D5931" w:rsidRPr="00CC1827" w:rsidRDefault="005D5931" w:rsidP="007D6865">
      <w:pPr>
        <w:pStyle w:val="APVMAQuote"/>
      </w:pPr>
      <w:r w:rsidRPr="00CC1827">
        <w:t>Discarded needles/sharps should immediately be placed in a designated and appropriately labelled ‘sharps’ container.</w:t>
      </w:r>
    </w:p>
    <w:p w14:paraId="577FFC5C" w14:textId="77777777" w:rsidR="005D5931" w:rsidRPr="00C43350" w:rsidRDefault="005D5931" w:rsidP="00C43350">
      <w:pPr>
        <w:pStyle w:val="Heading4"/>
      </w:pPr>
      <w:r w:rsidRPr="00C43350">
        <w:t>Disposal statements for feed additives in large containers</w:t>
      </w:r>
    </w:p>
    <w:p w14:paraId="64014297" w14:textId="6F3A17CA" w:rsidR="005D5931" w:rsidRPr="00053BAB" w:rsidRDefault="005D5931" w:rsidP="00C43350">
      <w:pPr>
        <w:pStyle w:val="APVMAText"/>
      </w:pPr>
      <w:r w:rsidRPr="00053BAB">
        <w:t>The following statements are required for</w:t>
      </w:r>
      <w:r>
        <w:t xml:space="preserve"> feed additive products</w:t>
      </w:r>
      <w:r w:rsidRPr="00D32FE1">
        <w:t>, depending on the packaging material</w:t>
      </w:r>
      <w:r w:rsidR="00E9120B">
        <w:t xml:space="preserve"> </w:t>
      </w:r>
      <w:r w:rsidR="00E9120B" w:rsidRPr="005D5931">
        <w:t>(i.e</w:t>
      </w:r>
      <w:r w:rsidR="00031F04" w:rsidRPr="005D5931">
        <w:t>.,</w:t>
      </w:r>
      <w:r w:rsidR="00031F04">
        <w:t> </w:t>
      </w:r>
      <w:r w:rsidR="00E9120B" w:rsidRPr="005D5931">
        <w:t>&gt;1</w:t>
      </w:r>
      <w:r w:rsidR="00B102FF">
        <w:t> </w:t>
      </w:r>
      <w:r w:rsidR="00E9120B" w:rsidRPr="005D5931">
        <w:t>kg)</w:t>
      </w:r>
      <w:r w:rsidRPr="00053BAB">
        <w:t>.</w:t>
      </w:r>
    </w:p>
    <w:p w14:paraId="1F648DA6" w14:textId="0D25B6AA" w:rsidR="005D5931" w:rsidRPr="00CC1827" w:rsidRDefault="005D5931" w:rsidP="007D6865">
      <w:pPr>
        <w:pStyle w:val="APVMAQuote"/>
      </w:pPr>
      <w:r w:rsidRPr="00CC1827">
        <w:rPr>
          <w:b/>
          <w:bCs/>
        </w:rPr>
        <w:t>Paper or cardboard containers and paper material bags</w:t>
      </w:r>
      <w:r w:rsidRPr="00CC1827">
        <w:t>: Shake container into medicated feed. Do not dispose of undiluted chemicals on-site. Break, crush, or puncture container and deliver to an approved waste management facility. If an approved waste management facility is not available</w:t>
      </w:r>
      <w:r w:rsidR="00A447BC" w:rsidRPr="00CC1827">
        <w:t xml:space="preserve"> dispose of</w:t>
      </w:r>
      <w:r w:rsidRPr="00CC1827">
        <w:t xml:space="preserve"> in compliance with relevant local, state or territory government regulations. Do not burn empty containers or product.</w:t>
      </w:r>
    </w:p>
    <w:p w14:paraId="6F9AD745" w14:textId="58BFB561" w:rsidR="005D5931" w:rsidRPr="00CC1827" w:rsidRDefault="005D5931" w:rsidP="007D6865">
      <w:pPr>
        <w:pStyle w:val="APVMAQuote"/>
      </w:pPr>
      <w:r w:rsidRPr="00CC1827">
        <w:rPr>
          <w:b/>
          <w:bCs/>
        </w:rPr>
        <w:t>Plastic bags:</w:t>
      </w:r>
      <w:r w:rsidRPr="00CC1827">
        <w:t xml:space="preserve"> Single-rinse or shake container into the medicated feed. Do not dispose of undiluted chemicals on-site. Puncture bag and deliver to an approved waste management facility. If an approved waste management facility is not available, </w:t>
      </w:r>
      <w:r w:rsidR="00A447BC" w:rsidRPr="00CC1827">
        <w:t xml:space="preserve">dispose of </w:t>
      </w:r>
      <w:r w:rsidRPr="00CC1827">
        <w:t>in compliance with relevant local, state or territory government regulations. Do not burn empty containers or product.</w:t>
      </w:r>
    </w:p>
    <w:p w14:paraId="2241543A" w14:textId="155FDCB3" w:rsidR="005D5931" w:rsidRPr="00CC1827" w:rsidRDefault="005D5931" w:rsidP="007D6865">
      <w:pPr>
        <w:pStyle w:val="APVMAQuote"/>
      </w:pPr>
      <w:r w:rsidRPr="00CC1827">
        <w:rPr>
          <w:b/>
          <w:bCs/>
        </w:rPr>
        <w:lastRenderedPageBreak/>
        <w:t>Metal drums and plastic containers</w:t>
      </w:r>
      <w:r w:rsidRPr="00CC1827">
        <w:t>: Triple-rinse container into the medicated feed.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w:t>
      </w:r>
      <w:r w:rsidR="00A447BC" w:rsidRPr="00CC1827">
        <w:t xml:space="preserve"> dispose of</w:t>
      </w:r>
      <w:r w:rsidRPr="00CC1827">
        <w:t xml:space="preserve"> in compliance with relevant local, state or territory government regulations. Do not burn empty containers or product.</w:t>
      </w:r>
    </w:p>
    <w:p w14:paraId="3F48E6C0" w14:textId="77777777" w:rsidR="005D5931" w:rsidRPr="00C43350" w:rsidRDefault="005D5931" w:rsidP="00C43350">
      <w:pPr>
        <w:pStyle w:val="Heading4"/>
      </w:pPr>
      <w:r w:rsidRPr="00C43350">
        <w:t>Disposal statements for oral solutions in large containers</w:t>
      </w:r>
    </w:p>
    <w:p w14:paraId="6AC917A2" w14:textId="56509969" w:rsidR="005D5931" w:rsidRPr="00053BAB" w:rsidRDefault="005D5931" w:rsidP="00C43350">
      <w:pPr>
        <w:pStyle w:val="APVMAText"/>
      </w:pPr>
      <w:r w:rsidRPr="00053BAB">
        <w:t>The following statements are required for</w:t>
      </w:r>
      <w:r>
        <w:t xml:space="preserve"> oral solution products which are </w:t>
      </w:r>
      <w:r w:rsidRPr="00D32FE1">
        <w:t xml:space="preserve">supplied in large </w:t>
      </w:r>
      <w:r w:rsidR="00801280" w:rsidRPr="00D32FE1">
        <w:t>containers</w:t>
      </w:r>
      <w:r w:rsidR="00801280">
        <w:t> </w:t>
      </w:r>
      <w:r w:rsidR="00E9120B" w:rsidRPr="005D5931">
        <w:t>(i.e</w:t>
      </w:r>
      <w:r w:rsidR="00801280" w:rsidRPr="005D5931">
        <w:t>.</w:t>
      </w:r>
      <w:r w:rsidR="00801280">
        <w:t> </w:t>
      </w:r>
      <w:r w:rsidR="00E9120B" w:rsidRPr="005D5931">
        <w:t>&gt;1</w:t>
      </w:r>
      <w:r w:rsidR="00B102FF">
        <w:t> </w:t>
      </w:r>
      <w:r w:rsidR="00E9120B" w:rsidRPr="005D5931">
        <w:t>L)</w:t>
      </w:r>
      <w:r w:rsidRPr="00053BAB">
        <w:t>.</w:t>
      </w:r>
    </w:p>
    <w:p w14:paraId="5E4B56B1" w14:textId="486D95C4" w:rsidR="00655AED" w:rsidRPr="00053BAB" w:rsidRDefault="005D5931" w:rsidP="007D6865">
      <w:pPr>
        <w:pStyle w:val="APVMAQuote"/>
        <w:rPr>
          <w:sz w:val="19"/>
        </w:rPr>
      </w:pPr>
      <w:r w:rsidRPr="00CC1827">
        <w:t xml:space="preserve">Triple-rinse container and dispose of </w:t>
      </w:r>
      <w:proofErr w:type="spellStart"/>
      <w:r w:rsidRPr="00CC1827">
        <w:t>rinsate</w:t>
      </w:r>
      <w:proofErr w:type="spellEnd"/>
      <w:r w:rsidRPr="00CC1827">
        <w:t xml:space="preserve"> in compliance with relevant local, state or territory government regulations.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w:t>
      </w:r>
      <w:r w:rsidR="00A447BC" w:rsidRPr="00CC1827">
        <w:t>dispose of</w:t>
      </w:r>
      <w:r w:rsidRPr="00CC1827">
        <w:t xml:space="preserve"> in compliance with relevant local, state or territory government regulations. Do not burn empty containers or product.</w:t>
      </w:r>
    </w:p>
    <w:p w14:paraId="7FCB4992" w14:textId="332383FB" w:rsidR="00655AED" w:rsidRPr="00C43350" w:rsidRDefault="00655AED" w:rsidP="00C43350">
      <w:pPr>
        <w:pStyle w:val="Heading1"/>
      </w:pPr>
      <w:bookmarkStart w:id="161" w:name="_Toc158818279"/>
      <w:r w:rsidRPr="00C43350">
        <w:lastRenderedPageBreak/>
        <w:t xml:space="preserve">Target </w:t>
      </w:r>
      <w:r w:rsidR="00B102FF">
        <w:t>a</w:t>
      </w:r>
      <w:r w:rsidRPr="00C43350">
        <w:t xml:space="preserve">nimal </w:t>
      </w:r>
      <w:r w:rsidR="00B102FF">
        <w:t>s</w:t>
      </w:r>
      <w:r w:rsidRPr="00C43350">
        <w:t>afety</w:t>
      </w:r>
      <w:bookmarkEnd w:id="161"/>
    </w:p>
    <w:p w14:paraId="2FAD0C15" w14:textId="19D6CB50" w:rsidR="005D5931" w:rsidRPr="00CB6306" w:rsidRDefault="005D5931" w:rsidP="00C43350">
      <w:pPr>
        <w:pStyle w:val="APVMAText"/>
      </w:pPr>
      <w:r w:rsidRPr="00CB6306">
        <w:t xml:space="preserve">The APVMA published its consideration of target animal safety for product containing neomycin in January 2017 </w:t>
      </w:r>
      <w:bookmarkStart w:id="162" w:name="_Hlk154136377"/>
      <w:r w:rsidR="00B102FF">
        <w:t>–</w:t>
      </w:r>
      <w:r w:rsidR="00B102FF" w:rsidRPr="00CB6306">
        <w:t xml:space="preserve"> </w:t>
      </w:r>
      <w:hyperlink r:id="rId41" w:history="1">
        <w:r w:rsidRPr="0070626B">
          <w:rPr>
            <w:rStyle w:val="Hyperlink"/>
            <w:i/>
            <w:iCs/>
          </w:rPr>
          <w:t>Neomycin: Target animal safety risk assessment report</w:t>
        </w:r>
      </w:hyperlink>
      <w:bookmarkEnd w:id="162"/>
      <w:r w:rsidRPr="00CB6306">
        <w:t xml:space="preserve">. The assessment concluded that the use of neomycin </w:t>
      </w:r>
      <w:r w:rsidR="004158CA">
        <w:t xml:space="preserve">products </w:t>
      </w:r>
      <w:r w:rsidRPr="00CB6306">
        <w:t xml:space="preserve">registered at that time were generally safe to use in individual animals without renal impairment at recommended doses and routes of administration. No new products containing neomycin </w:t>
      </w:r>
      <w:r w:rsidR="004158CA">
        <w:t xml:space="preserve">which would fall within the scope of this reconsideration </w:t>
      </w:r>
      <w:r w:rsidRPr="00CB6306">
        <w:t>have been registered since the publication of this report.</w:t>
      </w:r>
    </w:p>
    <w:p w14:paraId="74C7D929" w14:textId="6DCAF641" w:rsidR="005D5931" w:rsidRPr="00CB6306" w:rsidRDefault="005D5931" w:rsidP="00C43350">
      <w:pPr>
        <w:pStyle w:val="APVMAText"/>
      </w:pPr>
      <w:r w:rsidRPr="00CB6306">
        <w:t xml:space="preserve">The assessment considered </w:t>
      </w:r>
      <w:r w:rsidR="004158CA">
        <w:t xml:space="preserve">information available to </w:t>
      </w:r>
      <w:r w:rsidRPr="00CB6306">
        <w:t>the APVMA</w:t>
      </w:r>
      <w:r w:rsidR="004158CA">
        <w:t xml:space="preserve"> </w:t>
      </w:r>
      <w:r w:rsidRPr="00CB6306">
        <w:t>includ</w:t>
      </w:r>
      <w:r w:rsidR="004158CA">
        <w:t>ing</w:t>
      </w:r>
      <w:r w:rsidRPr="00CB6306">
        <w:t xml:space="preserve"> a literature review of information available in the public domain, as well as adverse experience reports (AERs) provided to the </w:t>
      </w:r>
      <w:proofErr w:type="gramStart"/>
      <w:r w:rsidRPr="00CB6306">
        <w:t>APVMA</w:t>
      </w:r>
      <w:proofErr w:type="gramEnd"/>
      <w:r w:rsidRPr="00CB6306">
        <w:t xml:space="preserve"> and animal safety studies provided by registrants.</w:t>
      </w:r>
    </w:p>
    <w:p w14:paraId="31E2E378" w14:textId="4B0DCFF7" w:rsidR="005D5931" w:rsidRPr="00CB6306" w:rsidRDefault="005D5931" w:rsidP="00C43350">
      <w:pPr>
        <w:pStyle w:val="APVMAText"/>
      </w:pPr>
      <w:r w:rsidRPr="00CB6306">
        <w:t>The most frequently reported adverse experience report (AER) was for injection site reactions in horses. The frequency of both Australian and global AERs was low and many appeared to be related to reactions to the procaine benzylpenicillin in one of the neomycin-containing parenteral products.</w:t>
      </w:r>
    </w:p>
    <w:p w14:paraId="683D49E2" w14:textId="603DA439" w:rsidR="005D5931" w:rsidRPr="00CB6306" w:rsidRDefault="005D5931" w:rsidP="00C43350">
      <w:pPr>
        <w:pStyle w:val="APVMAText"/>
      </w:pPr>
      <w:r w:rsidRPr="00CB6306">
        <w:t xml:space="preserve">The information </w:t>
      </w:r>
      <w:r w:rsidR="004158CA">
        <w:t xml:space="preserve">considered </w:t>
      </w:r>
      <w:r w:rsidRPr="00CB6306">
        <w:t>indicates that, when administered in high concentrations, for prolonged durations, and/or more than once daily, neomycin may cause nephrotoxicity and/or ototoxicity. This is particularly the case for parenteral formulations. However, the risk of developing nephrotoxicity or ototoxicity from either parenteral or oral formulations increases if the</w:t>
      </w:r>
      <w:r w:rsidR="00A447BC">
        <w:t xml:space="preserve"> animal</w:t>
      </w:r>
      <w:r w:rsidRPr="00CB6306">
        <w:t xml:space="preserve"> has compromised renal function, gastrointestinal inflammation or is receiving another potentially nephrotoxic drug concomitantly.</w:t>
      </w:r>
    </w:p>
    <w:p w14:paraId="0670CAE1" w14:textId="7F228EF0" w:rsidR="005D5931" w:rsidRPr="00053BAB" w:rsidRDefault="005D5931" w:rsidP="00C43350">
      <w:pPr>
        <w:pStyle w:val="APVMAText"/>
      </w:pPr>
      <w:r w:rsidRPr="00CB6306">
        <w:t xml:space="preserve">A close examination of the information </w:t>
      </w:r>
      <w:r w:rsidR="004158CA">
        <w:t xml:space="preserve">considered </w:t>
      </w:r>
      <w:r w:rsidRPr="00CB6306">
        <w:t>for food-producing animals suggests that parenteral neomycin-containing products are generally safe to use in healthy target species at recommended dose rates and routes of administration provided they are not administered more than once per day, while oral products are safe to use provided the duration of treatment is restricted, and intramammary products are safe to use in the target species at the recommended dose rate and duration.</w:t>
      </w:r>
    </w:p>
    <w:p w14:paraId="342146B3" w14:textId="4AB1F8B5" w:rsidR="00D16FF0" w:rsidRPr="0070626B" w:rsidRDefault="005D5931" w:rsidP="00644AD6">
      <w:pPr>
        <w:pStyle w:val="APVMAText"/>
      </w:pPr>
      <w:r w:rsidRPr="0070626B">
        <w:t xml:space="preserve">As a prescription animal remedy, products containing neomycin can only be prescribed by a veterinarian and used under veterinary supervision. However, additional label warnings in relation to the application of neomycin products are recommended. This includes warnings about the possibility of nephrotoxicity and ototoxicity in food-producing animals and contraindications for the use of neomycin-containing products in </w:t>
      </w:r>
      <w:r w:rsidR="00A447BC" w:rsidRPr="0070626B">
        <w:t>animals</w:t>
      </w:r>
      <w:r w:rsidRPr="0070626B">
        <w:t xml:space="preserve"> with compromised renal function, gastrointestinal inflammation or those receiving other potentially nephrotoxic drugs. For parenteral products, the maximum duration of treatment should be clearly indicated, and recommended dosage regimens should be based on extended-interval administration that allows for concentration-dependent killing and avoids extended periods of trough concentrations that lead to accumulation of neomycin. For oral products, the potential for adverse effects following prolonged treatment and clear instructions to re-establish diagnosis if no clinical improvement is seen following the recommended duration of treatment should be included on product labels.</w:t>
      </w:r>
    </w:p>
    <w:p w14:paraId="3023C3ED" w14:textId="1DDE6557" w:rsidR="005D5931" w:rsidRPr="0070626B" w:rsidRDefault="004158CA" w:rsidP="00644AD6">
      <w:pPr>
        <w:pStyle w:val="APVMAText"/>
      </w:pPr>
      <w:r w:rsidRPr="0070626B">
        <w:t xml:space="preserve">Evidence of local irritation resulting from use of </w:t>
      </w:r>
      <w:r w:rsidR="005D5931" w:rsidRPr="0070626B">
        <w:t>intramammary products</w:t>
      </w:r>
      <w:r w:rsidRPr="0070626B">
        <w:t xml:space="preserve"> was noted.</w:t>
      </w:r>
    </w:p>
    <w:p w14:paraId="3E1C0BB7" w14:textId="3EBF103F" w:rsidR="004158CA" w:rsidRPr="00C43350" w:rsidRDefault="004158CA" w:rsidP="00C43350">
      <w:pPr>
        <w:pStyle w:val="Heading2"/>
      </w:pPr>
      <w:bookmarkStart w:id="163" w:name="_Toc158818280"/>
      <w:r w:rsidRPr="00C43350">
        <w:lastRenderedPageBreak/>
        <w:t xml:space="preserve">Conclusions and </w:t>
      </w:r>
      <w:r w:rsidR="00B102FF">
        <w:t>r</w:t>
      </w:r>
      <w:r w:rsidRPr="00C43350">
        <w:t>ecommendations</w:t>
      </w:r>
      <w:bookmarkEnd w:id="163"/>
    </w:p>
    <w:p w14:paraId="54FA4E4F" w14:textId="28785F3C" w:rsidR="004158CA" w:rsidRPr="00C43350" w:rsidRDefault="001116A2" w:rsidP="00C43350">
      <w:pPr>
        <w:pStyle w:val="APVMAText"/>
      </w:pPr>
      <w:r w:rsidRPr="00C43350">
        <w:t>C</w:t>
      </w:r>
      <w:r w:rsidR="004158CA" w:rsidRPr="00C43350">
        <w:t xml:space="preserve">onsideration of the published and unpublished information concerning neomycin use in food-producing animals indicates that neomycin-containing products are generally safe to use in </w:t>
      </w:r>
      <w:r w:rsidR="00A447BC" w:rsidRPr="00C43350">
        <w:t>animals</w:t>
      </w:r>
      <w:r w:rsidR="004158CA" w:rsidRPr="00C43350">
        <w:t xml:space="preserve"> without renal impairment at the recommended doses and routes of administration. Information considered under this reconsideration and global and Australian AERs show a low incidence of problems encountered in food-producing animals, when used according to the label directions.</w:t>
      </w:r>
    </w:p>
    <w:p w14:paraId="219B1CF2" w14:textId="00B5DA28" w:rsidR="004158CA" w:rsidRPr="00C43350" w:rsidRDefault="004158CA" w:rsidP="00C43350">
      <w:pPr>
        <w:pStyle w:val="APVMAText"/>
      </w:pPr>
      <w:r w:rsidRPr="00C43350">
        <w:t>While it is appreciated that the global and Australian incidence of adverse experiences related to the use of neomycin-containing products is low, it is apparent that administration of neomycin at high doses and/or for prolonged duration can be associated with nephrotoxicity and ototoxicity. These should be noted as possible adverse reactions on product labels and the recommended maximum duration of treatment should be clearly indicated.</w:t>
      </w:r>
    </w:p>
    <w:p w14:paraId="0B943E8A" w14:textId="067ABE9B" w:rsidR="004158CA" w:rsidRPr="00C43350" w:rsidRDefault="004158CA" w:rsidP="00C43350">
      <w:pPr>
        <w:pStyle w:val="APVMAText"/>
      </w:pPr>
      <w:r w:rsidRPr="00C43350">
        <w:t>The risk of nephrotoxicity following parenteral administration of neomycin-containing products decreases when extended-interval (once daily) administration is employed. This information is critical from a toxicity perspective and should be clearly outlined on product labels. The package inserts for parenteral products should elaborate on the importance of once-daily dosing that achieves concentration-dependent killing and sub-toxic trough concentrations, as well as the post-antibiotic effects association with treatment with neomycin.</w:t>
      </w:r>
    </w:p>
    <w:p w14:paraId="0969A88D" w14:textId="7AE2B555" w:rsidR="004158CA" w:rsidRPr="00C43350" w:rsidRDefault="004158CA" w:rsidP="00C43350">
      <w:pPr>
        <w:pStyle w:val="APVMAText"/>
      </w:pPr>
      <w:r w:rsidRPr="00C43350">
        <w:t xml:space="preserve">The risk of developing nephrotoxicity and/or ototoxicity is increased in </w:t>
      </w:r>
      <w:r w:rsidR="00A447BC" w:rsidRPr="00C43350">
        <w:t>animals</w:t>
      </w:r>
      <w:r w:rsidRPr="00C43350">
        <w:t xml:space="preserve"> with compromised renal function, gastrointestinal inflammation and those being treated with other potentially nephrotoxic drugs. These situations should be listed as contraindications on product labels.</w:t>
      </w:r>
    </w:p>
    <w:p w14:paraId="4D16CDD4" w14:textId="6C9518C6" w:rsidR="004158CA" w:rsidRPr="00C43350" w:rsidRDefault="004158CA" w:rsidP="00C43350">
      <w:pPr>
        <w:pStyle w:val="Heading3"/>
      </w:pPr>
      <w:bookmarkStart w:id="164" w:name="_Toc158818281"/>
      <w:r w:rsidRPr="00C43350">
        <w:t>Label recommendations</w:t>
      </w:r>
      <w:bookmarkEnd w:id="164"/>
    </w:p>
    <w:p w14:paraId="512FD8EC" w14:textId="7E5221B3" w:rsidR="004158CA" w:rsidRPr="00C43350" w:rsidRDefault="004158CA" w:rsidP="00C43350">
      <w:pPr>
        <w:pStyle w:val="APVMAText"/>
      </w:pPr>
      <w:r w:rsidRPr="00C43350">
        <w:t xml:space="preserve">The directions for use should indicate a dosage regimen </w:t>
      </w:r>
      <w:r w:rsidR="00B002CE" w:rsidRPr="00C43350">
        <w:t xml:space="preserve">of </w:t>
      </w:r>
      <w:r w:rsidR="00EB2BC3" w:rsidRPr="00C43350">
        <w:t>24-hour</w:t>
      </w:r>
      <w:r w:rsidR="00B002CE" w:rsidRPr="00C43350">
        <w:t xml:space="preserve"> dose interval </w:t>
      </w:r>
      <w:r w:rsidRPr="00C43350">
        <w:t>for parenteral products.</w:t>
      </w:r>
    </w:p>
    <w:p w14:paraId="6C94F56E" w14:textId="760C6DC8" w:rsidR="00371E6B" w:rsidRPr="00C43350" w:rsidRDefault="00371E6B" w:rsidP="00C43350">
      <w:pPr>
        <w:pStyle w:val="APVMAText"/>
      </w:pPr>
      <w:r w:rsidRPr="00C43350">
        <w:t>The following contraindications is recommended for all products:</w:t>
      </w:r>
    </w:p>
    <w:p w14:paraId="3BCF74FA" w14:textId="4B77646F" w:rsidR="00371E6B" w:rsidRPr="00053BAB" w:rsidRDefault="00371E6B" w:rsidP="007D6865">
      <w:pPr>
        <w:pStyle w:val="APVMAQuote"/>
      </w:pPr>
      <w:r w:rsidRPr="008069F5">
        <w:t>Not to be used in animals with compromised renal function, gastrointestinal inflammation and those being treated with other potentially nephrotoxic drugs.</w:t>
      </w:r>
    </w:p>
    <w:p w14:paraId="33A1B6B1" w14:textId="25A0A478" w:rsidR="004158CA" w:rsidRDefault="004158CA" w:rsidP="00C43350">
      <w:pPr>
        <w:pStyle w:val="APVMAText"/>
      </w:pPr>
      <w:r w:rsidRPr="00053BAB">
        <w:t xml:space="preserve">The following precaution statement is recommended for all </w:t>
      </w:r>
      <w:bookmarkStart w:id="165" w:name="_Hlk158132755"/>
      <w:r w:rsidRPr="00053BAB">
        <w:t xml:space="preserve">parenteral </w:t>
      </w:r>
      <w:bookmarkEnd w:id="165"/>
      <w:r w:rsidRPr="00053BAB">
        <w:t>products:</w:t>
      </w:r>
    </w:p>
    <w:p w14:paraId="5DEA7FC9" w14:textId="2D776D99" w:rsidR="004158CA" w:rsidRPr="00053BAB" w:rsidRDefault="004158CA" w:rsidP="007D6865">
      <w:pPr>
        <w:pStyle w:val="APVMAQuote"/>
      </w:pPr>
      <w:bookmarkStart w:id="166" w:name="_Hlk158132832"/>
      <w:r w:rsidRPr="00053BAB">
        <w:t xml:space="preserve">Neomycin exhibits concentration-dependent killing and a post-antibiotic effect. Repeated daily administration or overdosage with neomycin can cause renal damage and deafness. Care should be taken in </w:t>
      </w:r>
      <w:r w:rsidR="00A447BC">
        <w:t>animals</w:t>
      </w:r>
      <w:r w:rsidRPr="00053BAB">
        <w:t xml:space="preserve"> with known or suspected impaired renal function. Care should be taken in </w:t>
      </w:r>
      <w:r w:rsidR="00A447BC">
        <w:t xml:space="preserve">animals </w:t>
      </w:r>
      <w:r w:rsidRPr="00053BAB">
        <w:t xml:space="preserve">being treated with other potentially nephrotoxic substances, such as NSAIDs. Where practical, it is recommended to weigh young </w:t>
      </w:r>
      <w:r w:rsidR="00071F6A">
        <w:t>animals</w:t>
      </w:r>
      <w:r w:rsidRPr="00053BAB">
        <w:t xml:space="preserve"> to ensure accurate dosage calculation based on bodyweight.</w:t>
      </w:r>
    </w:p>
    <w:bookmarkEnd w:id="166"/>
    <w:p w14:paraId="083539E9" w14:textId="64E45CAF" w:rsidR="00191526" w:rsidRDefault="004158CA" w:rsidP="00C43350">
      <w:pPr>
        <w:pStyle w:val="APVMAText"/>
      </w:pPr>
      <w:r w:rsidRPr="00053BAB">
        <w:t>The risk of nephrotoxicity following oral administration of neomycin-containing products increases when the</w:t>
      </w:r>
      <w:r>
        <w:t xml:space="preserve"> </w:t>
      </w:r>
      <w:r w:rsidRPr="00053BAB">
        <w:t>duration of treatment is prolonged. This information is critical from a toxicity perspective and should be clearly</w:t>
      </w:r>
      <w:r>
        <w:t xml:space="preserve"> </w:t>
      </w:r>
      <w:r w:rsidRPr="00053BAB">
        <w:t xml:space="preserve">outlined on product labels. The package inserts for parenteral products should elaborate on the </w:t>
      </w:r>
      <w:r w:rsidRPr="00053BAB">
        <w:lastRenderedPageBreak/>
        <w:t>importance of</w:t>
      </w:r>
      <w:r>
        <w:t xml:space="preserve"> </w:t>
      </w:r>
      <w:r w:rsidRPr="00053BAB">
        <w:t>re-establishing the diagnosis if no improvement is observed following the recommended duration of treatment.</w:t>
      </w:r>
    </w:p>
    <w:p w14:paraId="7CFB44BB" w14:textId="5B949ABE" w:rsidR="004158CA" w:rsidRPr="00C43350" w:rsidRDefault="004158CA" w:rsidP="00C43350">
      <w:pPr>
        <w:pStyle w:val="APVMAText"/>
      </w:pPr>
      <w:r w:rsidRPr="00C43350">
        <w:t>The following precaution statement is recommended for all oral products:</w:t>
      </w:r>
    </w:p>
    <w:p w14:paraId="4E88B6C3" w14:textId="59B462E4" w:rsidR="004158CA" w:rsidRPr="00053BAB" w:rsidRDefault="004158CA" w:rsidP="007D6865">
      <w:pPr>
        <w:pStyle w:val="APVMAQuote"/>
      </w:pPr>
      <w:bookmarkStart w:id="167" w:name="_Hlk158132849"/>
      <w:r w:rsidRPr="00053BAB">
        <w:t xml:space="preserve">Neomycin exhibits concentration dependent killing and a post-antibiotic effect. Overdosage with neomycin can cause renal damage and deafness. Care should be taken in </w:t>
      </w:r>
      <w:r w:rsidR="00A447BC">
        <w:t>animals</w:t>
      </w:r>
      <w:r w:rsidRPr="00053BAB">
        <w:t xml:space="preserve"> with known or suspected impaired renal function. While this is unlikely at therapeutic doses, care should be taken in </w:t>
      </w:r>
      <w:r w:rsidR="00A447BC">
        <w:t>animals</w:t>
      </w:r>
      <w:r w:rsidRPr="00053BAB">
        <w:t xml:space="preserve"> being treated with other potentially nephrotoxic substances, such as NSAIDs. Where practical, it is recommended to weigh young </w:t>
      </w:r>
      <w:r w:rsidR="00071F6A">
        <w:t>animals</w:t>
      </w:r>
      <w:r w:rsidRPr="00053BAB">
        <w:t xml:space="preserve"> to ensure accurate dosage calculation based on bodyweigh</w:t>
      </w:r>
      <w:r>
        <w:t>t</w:t>
      </w:r>
      <w:r w:rsidRPr="00053BAB">
        <w:t>.</w:t>
      </w:r>
    </w:p>
    <w:bookmarkEnd w:id="167"/>
    <w:p w14:paraId="6DD8485B" w14:textId="77777777" w:rsidR="004158CA" w:rsidRPr="00C43350" w:rsidRDefault="004158CA" w:rsidP="00C43350">
      <w:pPr>
        <w:pStyle w:val="APVMAText"/>
      </w:pPr>
      <w:r w:rsidRPr="00C43350">
        <w:t>For all products that recommend a minimum duration of treatment of 5 days for salmonellosis the following direction should be included:</w:t>
      </w:r>
    </w:p>
    <w:p w14:paraId="1D5CAC05" w14:textId="77777777" w:rsidR="004158CA" w:rsidRPr="00053BAB" w:rsidRDefault="004158CA" w:rsidP="007D6865">
      <w:pPr>
        <w:pStyle w:val="APVMAQuote"/>
      </w:pPr>
      <w:r w:rsidRPr="00053BAB">
        <w:t>If no improvement is seen after 5 days, the diagnosis should be reestablishe</w:t>
      </w:r>
      <w:r>
        <w:t>d</w:t>
      </w:r>
      <w:r w:rsidRPr="00053BAB">
        <w:t>.</w:t>
      </w:r>
    </w:p>
    <w:p w14:paraId="073FF118" w14:textId="70918B7B" w:rsidR="004158CA" w:rsidRPr="00C43350" w:rsidRDefault="004158CA" w:rsidP="00C43350">
      <w:pPr>
        <w:pStyle w:val="APVMAText"/>
      </w:pPr>
      <w:r w:rsidRPr="00C43350">
        <w:t xml:space="preserve">For all intra-mammary </w:t>
      </w:r>
      <w:proofErr w:type="gramStart"/>
      <w:r w:rsidRPr="00C43350">
        <w:t>products</w:t>
      </w:r>
      <w:proofErr w:type="gramEnd"/>
      <w:r w:rsidRPr="00C43350">
        <w:t xml:space="preserve"> the following precaution statement is recommended:</w:t>
      </w:r>
    </w:p>
    <w:p w14:paraId="3B10DED1" w14:textId="659AC23E" w:rsidR="004158CA" w:rsidRPr="00053BAB" w:rsidRDefault="004158CA" w:rsidP="007D6865">
      <w:pPr>
        <w:pStyle w:val="APVMAQuote"/>
      </w:pPr>
      <w:r w:rsidRPr="00053BAB">
        <w:t xml:space="preserve">Neomycin exhibits concentration-dependent killing and a post-antibiotic effect. Overdosage with neomycin can cause renal damage and deafness. While this is unlikely at therapeutic doses, care should be taken in </w:t>
      </w:r>
      <w:r w:rsidR="00A447BC">
        <w:t>animals</w:t>
      </w:r>
      <w:r w:rsidRPr="00053BAB">
        <w:t xml:space="preserve"> with known or suspected impaired renal function. Care should also be taken in </w:t>
      </w:r>
      <w:r w:rsidR="00A447BC">
        <w:t>animals</w:t>
      </w:r>
      <w:r w:rsidRPr="00053BAB">
        <w:t xml:space="preserve"> being treated with other potentially nephrotoxic substances, such as NSAIDs.</w:t>
      </w:r>
    </w:p>
    <w:p w14:paraId="1140BB24" w14:textId="504E097A" w:rsidR="004158CA" w:rsidRPr="00C43350" w:rsidRDefault="004158CA" w:rsidP="00C43350">
      <w:pPr>
        <w:pStyle w:val="APVMAText"/>
      </w:pPr>
      <w:r w:rsidRPr="00C43350">
        <w:t>Based on evidence for local irritation following intra-mammary infusion of neomycin for the treatment of mastitis in dairy cattle</w:t>
      </w:r>
      <w:r w:rsidR="009C3C7F" w:rsidRPr="00C43350">
        <w:t>, t</w:t>
      </w:r>
      <w:r w:rsidRPr="00C43350">
        <w:t>he following precaution statement would also be recommended for all intra-mammary products: product labelling.</w:t>
      </w:r>
    </w:p>
    <w:p w14:paraId="7B5804EE" w14:textId="77777777" w:rsidR="004158CA" w:rsidRDefault="004158CA" w:rsidP="007D6865">
      <w:pPr>
        <w:pStyle w:val="APVMAQuote"/>
      </w:pPr>
      <w:r w:rsidRPr="00CC1827">
        <w:t xml:space="preserve">If abnormal milk, redness, </w:t>
      </w:r>
      <w:proofErr w:type="gramStart"/>
      <w:r w:rsidRPr="00CC1827">
        <w:t>irritation</w:t>
      </w:r>
      <w:proofErr w:type="gramEnd"/>
      <w:r w:rsidRPr="00CC1827">
        <w:t xml:space="preserve"> or swelling persists or increases, discontinue use and redetermine diagnosis</w:t>
      </w:r>
      <w:r>
        <w:t>.</w:t>
      </w:r>
    </w:p>
    <w:p w14:paraId="01FDD82C" w14:textId="79F3243F" w:rsidR="008C2A4F" w:rsidRDefault="009C3C7F" w:rsidP="00053BAB">
      <w:pPr>
        <w:pStyle w:val="APVMAText"/>
        <w:sectPr w:rsidR="008C2A4F" w:rsidSect="00DF3A52">
          <w:headerReference w:type="even" r:id="rId42"/>
          <w:pgSz w:w="11906" w:h="16838" w:code="9"/>
          <w:pgMar w:top="2835" w:right="1134" w:bottom="1134" w:left="1134" w:header="1701" w:footer="680" w:gutter="0"/>
          <w:cols w:space="708"/>
          <w:docGrid w:linePitch="360"/>
        </w:sectPr>
      </w:pPr>
      <w:r w:rsidRPr="00C43350">
        <w:t>It is also recommended to r</w:t>
      </w:r>
      <w:r w:rsidR="004158CA" w:rsidRPr="00C43350">
        <w:t xml:space="preserve">emove the use on horses, cattle, </w:t>
      </w:r>
      <w:proofErr w:type="gramStart"/>
      <w:r w:rsidR="004158CA" w:rsidRPr="00C43350">
        <w:t>sheep</w:t>
      </w:r>
      <w:proofErr w:type="gramEnd"/>
      <w:r w:rsidR="004158CA" w:rsidRPr="00C43350">
        <w:t xml:space="preserve"> and pigs from the label of injectable products where the administration interval specified on the label is less than </w:t>
      </w:r>
      <w:r w:rsidR="00092592">
        <w:t>‘</w:t>
      </w:r>
      <w:r w:rsidR="004158CA" w:rsidRPr="00C43350">
        <w:t>once daily</w:t>
      </w:r>
      <w:r w:rsidR="00092592">
        <w:t>’</w:t>
      </w:r>
      <w:r w:rsidR="00092592" w:rsidRPr="00C43350">
        <w:t xml:space="preserve"> </w:t>
      </w:r>
      <w:r w:rsidR="004158CA" w:rsidRPr="00C43350">
        <w:t>administration (</w:t>
      </w:r>
      <w:proofErr w:type="spellStart"/>
      <w:r w:rsidR="004158CA" w:rsidRPr="00C43350">
        <w:t>i.</w:t>
      </w:r>
      <w:r w:rsidR="00092592" w:rsidRPr="00C43350">
        <w:t>e</w:t>
      </w:r>
      <w:proofErr w:type="spellEnd"/>
      <w:r w:rsidR="00092592">
        <w:t> </w:t>
      </w:r>
      <w:r w:rsidR="004158CA" w:rsidRPr="00C43350">
        <w:t>24 hours).</w:t>
      </w:r>
    </w:p>
    <w:p w14:paraId="542B72D1" w14:textId="77777777" w:rsidR="00053BAB" w:rsidRPr="00C43350" w:rsidRDefault="00053BAB" w:rsidP="00C43350">
      <w:pPr>
        <w:pStyle w:val="Heading1"/>
      </w:pPr>
      <w:bookmarkStart w:id="168" w:name="_Toc158818282"/>
      <w:r w:rsidRPr="00C43350">
        <w:lastRenderedPageBreak/>
        <w:t>Efficacy</w:t>
      </w:r>
      <w:bookmarkEnd w:id="168"/>
    </w:p>
    <w:p w14:paraId="0CD9EB82" w14:textId="21FB8F9E" w:rsidR="004158CA" w:rsidRPr="0070626B" w:rsidRDefault="00053BAB" w:rsidP="00644AD6">
      <w:pPr>
        <w:pStyle w:val="APVMAText"/>
      </w:pPr>
      <w:r w:rsidRPr="0070626B">
        <w:t>Each product has previously been assessed as meeting the efficacy criteria</w:t>
      </w:r>
      <w:r w:rsidR="004158CA" w:rsidRPr="0070626B">
        <w:t xml:space="preserve"> if used according to the approved label directions</w:t>
      </w:r>
      <w:r w:rsidRPr="0070626B">
        <w:t>.</w:t>
      </w:r>
      <w:r w:rsidR="00C476AD" w:rsidRPr="0070626B">
        <w:t xml:space="preserve"> </w:t>
      </w:r>
      <w:r w:rsidRPr="0070626B">
        <w:t xml:space="preserve">Based on the review of the information available for neomycin oral, intramammary and injectable products, the APVMA supports </w:t>
      </w:r>
      <w:r w:rsidR="004158CA" w:rsidRPr="0070626B">
        <w:t>t</w:t>
      </w:r>
      <w:r w:rsidRPr="0070626B">
        <w:t>he continued use of oral and intramammary products from an efficacy perspective.</w:t>
      </w:r>
    </w:p>
    <w:p w14:paraId="34DA15CB" w14:textId="12AA54A4" w:rsidR="00047811" w:rsidRDefault="004158CA" w:rsidP="00047811">
      <w:pPr>
        <w:pStyle w:val="APVMAText"/>
        <w:sectPr w:rsidR="00047811" w:rsidSect="00DF3A52">
          <w:headerReference w:type="even" r:id="rId43"/>
          <w:pgSz w:w="11906" w:h="16838" w:code="9"/>
          <w:pgMar w:top="2835" w:right="1134" w:bottom="1134" w:left="1134" w:header="1701" w:footer="680" w:gutter="0"/>
          <w:cols w:space="708"/>
          <w:docGrid w:linePitch="360"/>
        </w:sectPr>
      </w:pPr>
      <w:r w:rsidRPr="0070626B">
        <w:t xml:space="preserve">The </w:t>
      </w:r>
      <w:r w:rsidR="00053BAB" w:rsidRPr="0070626B">
        <w:t>recommendation</w:t>
      </w:r>
      <w:r w:rsidRPr="0070626B">
        <w:t xml:space="preserve">s of the assessment of </w:t>
      </w:r>
      <w:r w:rsidR="00053BAB" w:rsidRPr="0070626B">
        <w:t xml:space="preserve">target animal safety </w:t>
      </w:r>
      <w:r w:rsidRPr="0070626B">
        <w:t xml:space="preserve">for </w:t>
      </w:r>
      <w:r w:rsidR="00053BAB" w:rsidRPr="0070626B">
        <w:t>injectable products</w:t>
      </w:r>
      <w:r w:rsidRPr="0070626B">
        <w:t>, advise that dosage should be</w:t>
      </w:r>
      <w:r w:rsidR="00053BAB" w:rsidRPr="0070626B">
        <w:t xml:space="preserve"> limited to once daily administration to reduce the potential for nephrotoxicity and ototoxicity in target animals</w:t>
      </w:r>
      <w:r w:rsidRPr="0070626B">
        <w:t xml:space="preserve"> (i.e. once </w:t>
      </w:r>
      <w:r w:rsidR="003A1D49" w:rsidRPr="0070626B">
        <w:t>every</w:t>
      </w:r>
      <w:r w:rsidRPr="0070626B">
        <w:t xml:space="preserve"> 24 hours)</w:t>
      </w:r>
      <w:r w:rsidR="00053BAB" w:rsidRPr="0070626B">
        <w:t xml:space="preserve">. </w:t>
      </w:r>
      <w:r w:rsidRPr="0070626B">
        <w:t xml:space="preserve">As this retreatment interval is outside the current label directions, the APVMA has not previously considered whether we can be satisfied on efficacy of once daily administration. </w:t>
      </w:r>
      <w:r w:rsidR="00053BAB" w:rsidRPr="0070626B">
        <w:t xml:space="preserve">Therefore, use patterns of injectable neomycin chemical products with an administration interval of </w:t>
      </w:r>
      <w:r w:rsidRPr="0070626B">
        <w:t>less than 24 hours</w:t>
      </w:r>
      <w:r w:rsidR="00053BAB" w:rsidRPr="0070626B">
        <w:t xml:space="preserve"> (</w:t>
      </w:r>
      <w:r w:rsidRPr="0070626B">
        <w:t>i.e.</w:t>
      </w:r>
      <w:r w:rsidR="00053BAB" w:rsidRPr="0070626B">
        <w:t xml:space="preserve"> every 8</w:t>
      </w:r>
      <w:r w:rsidR="00B102FF" w:rsidRPr="0070626B">
        <w:t xml:space="preserve"> to </w:t>
      </w:r>
      <w:r w:rsidR="00053BAB" w:rsidRPr="0070626B">
        <w:t>12 hours) are not supported</w:t>
      </w:r>
      <w:r w:rsidRPr="0070626B">
        <w:t>, noting that a</w:t>
      </w:r>
      <w:r w:rsidR="00053BAB" w:rsidRPr="0070626B">
        <w:t xml:space="preserve"> change in </w:t>
      </w:r>
      <w:r w:rsidRPr="0070626B">
        <w:t xml:space="preserve">the </w:t>
      </w:r>
      <w:r w:rsidR="00053BAB" w:rsidRPr="0070626B">
        <w:t xml:space="preserve">administration interval </w:t>
      </w:r>
      <w:r w:rsidRPr="0070626B">
        <w:t>c</w:t>
      </w:r>
      <w:r w:rsidR="00053BAB" w:rsidRPr="0070626B">
        <w:t xml:space="preserve">ould affect </w:t>
      </w:r>
      <w:r w:rsidRPr="0070626B">
        <w:t xml:space="preserve">whether the use of the product would </w:t>
      </w:r>
      <w:r w:rsidR="00053BAB" w:rsidRPr="0070626B">
        <w:t>meet the criteria laid out in the Agricultural and Veterinary Chemicals Code (Efficacy Criteria) Determination 2014.</w:t>
      </w:r>
      <w:bookmarkStart w:id="169" w:name="_Toc144468331"/>
    </w:p>
    <w:p w14:paraId="27FF9CAD" w14:textId="2558670B" w:rsidR="00AA5DC7" w:rsidRDefault="005D5931" w:rsidP="00C43350">
      <w:pPr>
        <w:pStyle w:val="Heading1"/>
      </w:pPr>
      <w:bookmarkStart w:id="170" w:name="_Toc158818283"/>
      <w:r>
        <w:lastRenderedPageBreak/>
        <w:t xml:space="preserve">Antimicrobial </w:t>
      </w:r>
      <w:r w:rsidR="00B102FF">
        <w:t>r</w:t>
      </w:r>
      <w:r>
        <w:t>esistance</w:t>
      </w:r>
      <w:bookmarkEnd w:id="169"/>
      <w:bookmarkEnd w:id="170"/>
    </w:p>
    <w:p w14:paraId="4CE02051" w14:textId="5AE3D30F" w:rsidR="00971896" w:rsidRPr="00A0526E" w:rsidRDefault="00971896" w:rsidP="00C43350">
      <w:pPr>
        <w:pStyle w:val="APVMAText"/>
      </w:pPr>
      <w:r w:rsidRPr="00A0526E">
        <w:t>Antimicrobial resistance (AMR) occurs when an organism develops resistance to an antimicrobial that is being used to treat it. AMR can develop wherever antibiotics are used, and the level of use increases the likelihood of resistance developing. This is a global public health, animal health and welfare concern. The development and spread of AMR are influenced by both human and animal antimicrobial use.</w:t>
      </w:r>
    </w:p>
    <w:p w14:paraId="142A6FB1" w14:textId="33612FDE" w:rsidR="00AA5DC7" w:rsidRPr="00C43350" w:rsidRDefault="005D5931" w:rsidP="00C43350">
      <w:pPr>
        <w:pStyle w:val="Heading2"/>
      </w:pPr>
      <w:bookmarkStart w:id="171" w:name="_Toc144468332"/>
      <w:bookmarkStart w:id="172" w:name="_Toc158818284"/>
      <w:r w:rsidRPr="00C43350">
        <w:t>Global perspective</w:t>
      </w:r>
      <w:bookmarkEnd w:id="171"/>
      <w:bookmarkEnd w:id="172"/>
    </w:p>
    <w:p w14:paraId="517717FA" w14:textId="16191F9E" w:rsidR="006865A3" w:rsidRPr="006865A3" w:rsidRDefault="00971896" w:rsidP="00C43350">
      <w:pPr>
        <w:pStyle w:val="APVMAText"/>
      </w:pPr>
      <w:r w:rsidRPr="007963D0">
        <w:t>Globally several studies have reported variable degrees of AMR in neomycin (</w:t>
      </w:r>
      <w:r w:rsidR="00696D9B" w:rsidRPr="00D07FA7">
        <w:t xml:space="preserve">Yang </w:t>
      </w:r>
      <w:r w:rsidR="00696D9B" w:rsidRPr="00B102FF">
        <w:rPr>
          <w:i/>
          <w:iCs/>
        </w:rPr>
        <w:t>et al</w:t>
      </w:r>
      <w:r w:rsidR="00696D9B" w:rsidRPr="00D07FA7">
        <w:t>. 2021</w:t>
      </w:r>
      <w:r w:rsidRPr="007963D0">
        <w:t xml:space="preserve">, </w:t>
      </w:r>
      <w:proofErr w:type="spellStart"/>
      <w:r w:rsidR="00696D9B" w:rsidRPr="00D07FA7">
        <w:t>Wongtawan</w:t>
      </w:r>
      <w:proofErr w:type="spellEnd"/>
      <w:r w:rsidR="00696D9B" w:rsidRPr="00D07FA7">
        <w:t xml:space="preserve"> </w:t>
      </w:r>
      <w:r w:rsidR="00696D9B" w:rsidRPr="00B102FF">
        <w:rPr>
          <w:i/>
          <w:iCs/>
        </w:rPr>
        <w:t>et al</w:t>
      </w:r>
      <w:r w:rsidR="00696D9B" w:rsidRPr="00D07FA7">
        <w:t>. 2022</w:t>
      </w:r>
      <w:r w:rsidRPr="007963D0">
        <w:t xml:space="preserve">, </w:t>
      </w:r>
      <w:r w:rsidR="00696D9B" w:rsidRPr="00D07FA7">
        <w:t xml:space="preserve">Ripon </w:t>
      </w:r>
      <w:r w:rsidR="00696D9B" w:rsidRPr="00B102FF">
        <w:rPr>
          <w:i/>
          <w:iCs/>
        </w:rPr>
        <w:t>et al</w:t>
      </w:r>
      <w:r w:rsidR="00696D9B" w:rsidRPr="00D07FA7">
        <w:t>. 2023</w:t>
      </w:r>
      <w:r w:rsidRPr="007963D0">
        <w:t xml:space="preserve">, </w:t>
      </w:r>
      <w:r w:rsidR="00696D9B" w:rsidRPr="00D07FA7">
        <w:t xml:space="preserve">El-Adawy </w:t>
      </w:r>
      <w:r w:rsidR="00696D9B" w:rsidRPr="00B102FF">
        <w:rPr>
          <w:i/>
          <w:iCs/>
        </w:rPr>
        <w:t>et al</w:t>
      </w:r>
      <w:r w:rsidR="00696D9B" w:rsidRPr="00D07FA7">
        <w:t>. 2023</w:t>
      </w:r>
      <w:r w:rsidRPr="007963D0">
        <w:t xml:space="preserve">). </w:t>
      </w:r>
      <w:r w:rsidR="006865A3" w:rsidRPr="007963D0">
        <w:t xml:space="preserve">Neomycin is listed as critically important for human use in the World Health Organisation’s (WHO) list of </w:t>
      </w:r>
      <w:hyperlink r:id="rId44" w:history="1">
        <w:r w:rsidR="006865A3" w:rsidRPr="00FE6AAC">
          <w:rPr>
            <w:rStyle w:val="Hyperlink"/>
          </w:rPr>
          <w:t xml:space="preserve">Critically Important Antimicrobials for Human Medicine </w:t>
        </w:r>
      </w:hyperlink>
      <w:r w:rsidR="006865A3" w:rsidRPr="007963D0">
        <w:t>(</w:t>
      </w:r>
      <w:r w:rsidR="00696D9B" w:rsidRPr="00D07FA7">
        <w:t>WHO 2019</w:t>
      </w:r>
      <w:r w:rsidR="006865A3" w:rsidRPr="007963D0">
        <w:t>). The WHO recommends the use of this list to help formulate and prioritise risk assessment and risk management strategies for AMR. Neomycin is also on the</w:t>
      </w:r>
      <w:r w:rsidR="00B102FF">
        <w:t xml:space="preserve"> </w:t>
      </w:r>
      <w:r w:rsidR="006865A3" w:rsidRPr="007963D0">
        <w:t xml:space="preserve">list of Veterinary Critically Important Antimicrobial Agents (VCIA) as per the World Organisation for Animal Health’s (WOAH, founded as OIE) </w:t>
      </w:r>
      <w:hyperlink r:id="rId45" w:history="1">
        <w:r w:rsidR="006865A3" w:rsidRPr="00FE6AAC">
          <w:rPr>
            <w:rStyle w:val="Hyperlink"/>
          </w:rPr>
          <w:t>list of antimicrobial agents of veterinary importance</w:t>
        </w:r>
      </w:hyperlink>
      <w:r w:rsidR="006865A3" w:rsidRPr="007963D0">
        <w:t xml:space="preserve"> (</w:t>
      </w:r>
      <w:r w:rsidR="00696D9B" w:rsidRPr="00D07FA7">
        <w:t>OIE 2021</w:t>
      </w:r>
      <w:r w:rsidR="006865A3" w:rsidRPr="007963D0">
        <w:t xml:space="preserve">). The inclusion of neomycin in these lists demonstrates that neomycin is an antimicrobial of global importance for both human and veterinary use and should be included in antimicrobial susceptibility programmes. However, the WHO also recognises nation specific considerations should be </w:t>
      </w:r>
      <w:proofErr w:type="gramStart"/>
      <w:r w:rsidR="006865A3" w:rsidRPr="007963D0">
        <w:t>taken into account</w:t>
      </w:r>
      <w:proofErr w:type="gramEnd"/>
      <w:r w:rsidR="006865A3" w:rsidRPr="007963D0">
        <w:t>, and that this list may vary from country to country (</w:t>
      </w:r>
      <w:r w:rsidR="00696D9B" w:rsidRPr="00D07FA7">
        <w:t>WHO 2019</w:t>
      </w:r>
      <w:r w:rsidR="006865A3" w:rsidRPr="007963D0">
        <w:t>).</w:t>
      </w:r>
    </w:p>
    <w:p w14:paraId="3B0BA0C8" w14:textId="50C42E9A" w:rsidR="00AA5DC7" w:rsidRPr="00C43350" w:rsidRDefault="005D5931" w:rsidP="00C43350">
      <w:pPr>
        <w:pStyle w:val="Heading2"/>
      </w:pPr>
      <w:bookmarkStart w:id="173" w:name="_Toc144468333"/>
      <w:bookmarkStart w:id="174" w:name="_Toc158818285"/>
      <w:r w:rsidRPr="00C43350">
        <w:t xml:space="preserve">Australian </w:t>
      </w:r>
      <w:r w:rsidR="00853764">
        <w:t>s</w:t>
      </w:r>
      <w:r w:rsidRPr="00C43350">
        <w:t>ituation</w:t>
      </w:r>
      <w:bookmarkEnd w:id="173"/>
      <w:bookmarkEnd w:id="174"/>
    </w:p>
    <w:p w14:paraId="67341ADC" w14:textId="7A23EE72" w:rsidR="006865A3" w:rsidRPr="00A0526E" w:rsidRDefault="006865A3" w:rsidP="00C43350">
      <w:pPr>
        <w:pStyle w:val="APVMAText"/>
      </w:pPr>
      <w:r w:rsidRPr="00A0526E">
        <w:t>The Australian Strategic and Technical Advisory Group on Antimicrobial Resistance (</w:t>
      </w:r>
      <w:hyperlink r:id="rId46" w:anchor=":~:text=The%20Australian%20Strategic%20and%20Technical,actions%20needed%20to%20combat%20AMR." w:history="1">
        <w:r w:rsidRPr="00FE6AAC">
          <w:rPr>
            <w:rStyle w:val="Hyperlink"/>
          </w:rPr>
          <w:t>ASTAG</w:t>
        </w:r>
      </w:hyperlink>
      <w:r w:rsidRPr="00A0526E">
        <w:t>) maintains a list of Antibacterial Importance Ratings and Summary of Antibacterial Uses in Human and Animal Health in Australia. This list provides information to regulators and users of antibacterials on their importance in the treatment of infections in animals and humans, and the seriousness of the consequences should resistance emerge or be amplified. In this list, neomycin is categorised as an antibiotic with a low importance rating for human and animal health in Australia</w:t>
      </w:r>
      <w:r w:rsidR="00B102FF">
        <w:t xml:space="preserve"> </w:t>
      </w:r>
      <w:r w:rsidRPr="00A0526E">
        <w:t>(</w:t>
      </w:r>
      <w:hyperlink r:id="rId47" w:history="1">
        <w:r w:rsidR="00971896" w:rsidRPr="00FE6AAC">
          <w:rPr>
            <w:rStyle w:val="Hyperlink"/>
          </w:rPr>
          <w:t>ASTAG 2018</w:t>
        </w:r>
      </w:hyperlink>
      <w:r w:rsidRPr="00A0526E">
        <w:t>). A low importance rating signifies that there are a reasonable number of alternative antibacterials in different classes available to treat or prevent most human infections even if antibiotic resistance develops.</w:t>
      </w:r>
    </w:p>
    <w:p w14:paraId="54F74841" w14:textId="4892B087" w:rsidR="006865A3" w:rsidRPr="00A0526E" w:rsidRDefault="006865A3" w:rsidP="00C43350">
      <w:pPr>
        <w:pStyle w:val="APVMAText"/>
      </w:pPr>
      <w:r w:rsidRPr="00A0526E">
        <w:t>In classifying neomycin with a low importance rating for Australia, ASTAG has considered the WHO list of Critically Important Antimicrobials for Human Medicine and the WOAH List of Antimicrobial Agents of Veterinary Importance, along with the local context, Australian surveillance data and available alternative antibiotics. It is specified that the list of Antibacterial Importance Ratings and Summary of Antibacterial Uses in Human and Animal Health in Australia has precedence over all other lists, including the WHO’s list, to ensure the Australian context is taken into account while determining the requirement for AMR assessment (</w:t>
      </w:r>
      <w:hyperlink r:id="rId48" w:history="1">
        <w:r w:rsidR="00971896" w:rsidRPr="00FE6AAC">
          <w:rPr>
            <w:rStyle w:val="Hyperlink"/>
          </w:rPr>
          <w:t>ASTAG 2018</w:t>
        </w:r>
      </w:hyperlink>
      <w:r w:rsidRPr="00A0526E">
        <w:t>).</w:t>
      </w:r>
    </w:p>
    <w:p w14:paraId="2D9BD9C1" w14:textId="6CE95867" w:rsidR="006865A3" w:rsidRPr="006865A3" w:rsidRDefault="006865A3" w:rsidP="00C43350">
      <w:pPr>
        <w:pStyle w:val="APVMAText"/>
      </w:pPr>
      <w:r w:rsidRPr="006865A3">
        <w:t xml:space="preserve">Further, to ensure the availability of evidence-based, best practice and nationally consistent approaches to Antimicrobial Stewardship (AMS) across human health and animal health sectors, the Australian Veterinary Association (AVA), under </w:t>
      </w:r>
      <w:hyperlink r:id="rId49" w:history="1">
        <w:r w:rsidRPr="00FE6AAC">
          <w:rPr>
            <w:rStyle w:val="Hyperlink"/>
          </w:rPr>
          <w:t>Australia’s Antimicrobial Resistance Strategy – 2020 and Beyond</w:t>
        </w:r>
      </w:hyperlink>
      <w:r w:rsidRPr="006865A3">
        <w:t>, also provides advice on the veterinary use of antibiotics critical to human health. Neomycin is categorised for first line use in animals by the AVA (</w:t>
      </w:r>
      <w:r w:rsidR="00A04528" w:rsidRPr="00D07FA7">
        <w:t>AVA 2017</w:t>
      </w:r>
      <w:r w:rsidRPr="006865A3">
        <w:t xml:space="preserve">), where veterinarians are advised to consider using first line antimicrobials </w:t>
      </w:r>
      <w:r w:rsidRPr="006865A3">
        <w:lastRenderedPageBreak/>
        <w:t>along with alternative treatment approaches following a diagnosis. Antimicrobials categorised for second line use should be limited to where first line antibiotics have been shown to be ineffective, and third line antimicrobials are reserved for last resort use where no other options are available.</w:t>
      </w:r>
    </w:p>
    <w:p w14:paraId="4EFD896B" w14:textId="1A3F33E0" w:rsidR="006865A3" w:rsidRPr="006865A3" w:rsidRDefault="006865A3" w:rsidP="00C43350">
      <w:pPr>
        <w:pStyle w:val="APVMAText"/>
      </w:pPr>
      <w:r w:rsidRPr="006865A3">
        <w:t xml:space="preserve">For </w:t>
      </w:r>
      <w:r w:rsidR="00853764">
        <w:t>v</w:t>
      </w:r>
      <w:r w:rsidRPr="006865A3">
        <w:t xml:space="preserve">eterinary medicinal use, neomycin is only approved in Australia for the treatment of bacterial infections and as an antimicrobial for use in semen extenders and vaccines. The use of antibiotics as growth </w:t>
      </w:r>
      <w:proofErr w:type="spellStart"/>
      <w:r w:rsidRPr="006865A3">
        <w:t>promotant</w:t>
      </w:r>
      <w:proofErr w:type="spellEnd"/>
      <w:r w:rsidRPr="006865A3">
        <w:t xml:space="preserve"> (at sub-therapeutic levels) has raised the most concern about selection pressure for AMR. To combat this issue, as per the recommendations from Joint Expert Technical Advisory Committee on Antimicrobial Resistance (JETACAR), no APVMA registered neomycin products include claims for growth promotion, weight gain or feed efficiency. Further, in Australia, all neomycin products are listed as Schedule 4 </w:t>
      </w:r>
      <w:r w:rsidR="00092592">
        <w:t>‘</w:t>
      </w:r>
      <w:r w:rsidRPr="006865A3">
        <w:t>prescription only medicine</w:t>
      </w:r>
      <w:r w:rsidR="00092592">
        <w:t>’</w:t>
      </w:r>
      <w:r w:rsidR="00092592" w:rsidRPr="006865A3">
        <w:t xml:space="preserve"> </w:t>
      </w:r>
      <w:r w:rsidRPr="006865A3">
        <w:t>substances in the Poisons Standard, which limits availability of these products to cases which have been evaluated by a qualified veterinarian.</w:t>
      </w:r>
      <w:r w:rsidR="00971896">
        <w:t xml:space="preserve"> Moreover, neomycin is not registered in Australia for parenteral use in human medicine.</w:t>
      </w:r>
    </w:p>
    <w:p w14:paraId="6F8DB292" w14:textId="1D3759FE" w:rsidR="006865A3" w:rsidRPr="006865A3" w:rsidRDefault="006865A3" w:rsidP="00C43350">
      <w:pPr>
        <w:pStyle w:val="APVMAText"/>
      </w:pPr>
      <w:r w:rsidRPr="006865A3">
        <w:t xml:space="preserve">While it is noted that a few </w:t>
      </w:r>
      <w:r w:rsidR="00971896">
        <w:t xml:space="preserve">recent </w:t>
      </w:r>
      <w:r w:rsidRPr="006865A3">
        <w:t>Australian studies have reported AMR in neomycin (</w:t>
      </w:r>
      <w:r w:rsidR="00A04528" w:rsidRPr="00D07FA7">
        <w:t xml:space="preserve">Sahibzada </w:t>
      </w:r>
      <w:r w:rsidR="00A04528" w:rsidRPr="00B102FF">
        <w:rPr>
          <w:i/>
          <w:iCs/>
        </w:rPr>
        <w:t>et al</w:t>
      </w:r>
      <w:r w:rsidR="00A04528" w:rsidRPr="00D07FA7">
        <w:t>. 2020</w:t>
      </w:r>
      <w:r w:rsidR="00971896">
        <w:t xml:space="preserve">, </w:t>
      </w:r>
      <w:proofErr w:type="spellStart"/>
      <w:r w:rsidR="00A04528" w:rsidRPr="00D07FA7">
        <w:t>Demiaud</w:t>
      </w:r>
      <w:proofErr w:type="spellEnd"/>
      <w:r w:rsidR="00A04528" w:rsidRPr="00D07FA7">
        <w:t xml:space="preserve"> and Tee 2022</w:t>
      </w:r>
      <w:r w:rsidRPr="006865A3">
        <w:t xml:space="preserve">), veterinary antimicrobial products containing neomycin are considered to have a ‘low importance’ rating for human and animal health in Australia with regards to the development of AMR. The APVMA acknowledges that AMR is a serious concern for all antibiotic products. </w:t>
      </w:r>
      <w:r w:rsidR="001B3FBB">
        <w:t xml:space="preserve">Considering that there is no reported increase in transfer of neomycin resistant strains among bacteria of major importance in both animals and humans </w:t>
      </w:r>
      <w:r w:rsidR="00731401">
        <w:t xml:space="preserve">in Australia </w:t>
      </w:r>
      <w:r w:rsidR="001B3FBB">
        <w:t xml:space="preserve">and no increased reports of cross-resistance with other antimicrobials, the APVMA </w:t>
      </w:r>
      <w:proofErr w:type="gramStart"/>
      <w:r w:rsidR="001B3FBB">
        <w:t>made a decision</w:t>
      </w:r>
      <w:proofErr w:type="gramEnd"/>
      <w:r w:rsidR="001B3FBB">
        <w:t xml:space="preserve"> not to broaden the scope of the review</w:t>
      </w:r>
      <w:r w:rsidRPr="006865A3">
        <w:t xml:space="preserve">. </w:t>
      </w:r>
      <w:r w:rsidR="00971896">
        <w:t>APVMA acknowledges that AMR exists for neomycin and to delay its progression, APVMA recommends inclusion of AMR specific label statements.</w:t>
      </w:r>
    </w:p>
    <w:p w14:paraId="4823FD6F" w14:textId="66F5F2A0" w:rsidR="00AA5DC7" w:rsidRPr="00C43350" w:rsidRDefault="00AA5DC7" w:rsidP="00C43350">
      <w:pPr>
        <w:pStyle w:val="Heading2"/>
      </w:pPr>
      <w:bookmarkStart w:id="175" w:name="_Toc144468334"/>
      <w:bookmarkStart w:id="176" w:name="_Toc158818286"/>
      <w:r w:rsidRPr="00C43350">
        <w:t>Recommendations</w:t>
      </w:r>
      <w:bookmarkEnd w:id="175"/>
      <w:bookmarkEnd w:id="176"/>
    </w:p>
    <w:p w14:paraId="45261578" w14:textId="77777777" w:rsidR="005D5931" w:rsidRPr="0083752F" w:rsidRDefault="005D5931" w:rsidP="00C43350">
      <w:pPr>
        <w:pStyle w:val="APVMAText"/>
      </w:pPr>
      <w:r w:rsidRPr="0083752F">
        <w:t>It is recommended that the following directions/statements should be included in the label instructions for neomycin products used orally, intravenously or intramammary to help reduce the likelihood of AMR developing, as outlined in the APVMA Veterinary Labelling Code.</w:t>
      </w:r>
    </w:p>
    <w:p w14:paraId="508503C1" w14:textId="4BCD7BCE" w:rsidR="001B3FBB" w:rsidRPr="0083752F" w:rsidRDefault="001B3FBB" w:rsidP="00C43350">
      <w:pPr>
        <w:pStyle w:val="APVMAText"/>
      </w:pPr>
      <w:r w:rsidRPr="0083752F">
        <w:t>Under Statement of Claims</w:t>
      </w:r>
    </w:p>
    <w:p w14:paraId="61127741" w14:textId="19FA9D7D" w:rsidR="005D5931" w:rsidRPr="0083752F" w:rsidRDefault="005D5931" w:rsidP="007D6865">
      <w:pPr>
        <w:pStyle w:val="APVMAQuote"/>
      </w:pPr>
      <w:r w:rsidRPr="0083752F">
        <w:t>Indiscriminate use of [name of the product] may contribute to the development of antibiotic resistance.</w:t>
      </w:r>
    </w:p>
    <w:p w14:paraId="1AA4A025" w14:textId="16B9A78E" w:rsidR="001B3FBB" w:rsidRPr="0083752F" w:rsidRDefault="001B3FBB" w:rsidP="00C43350">
      <w:pPr>
        <w:pStyle w:val="APVMAText"/>
      </w:pPr>
      <w:r w:rsidRPr="0083752F">
        <w:t>Under General Directions</w:t>
      </w:r>
    </w:p>
    <w:p w14:paraId="739B09D2" w14:textId="3D1F4C00" w:rsidR="005D5931" w:rsidRPr="0083752F" w:rsidRDefault="005D5931" w:rsidP="007D6865">
      <w:pPr>
        <w:pStyle w:val="APVMAQuote"/>
      </w:pPr>
      <w:r w:rsidRPr="0083752F">
        <w:t>Prudent Use:</w:t>
      </w:r>
      <w:r w:rsidR="00CB6306" w:rsidRPr="0083752F">
        <w:t xml:space="preserve"> </w:t>
      </w:r>
      <w:r w:rsidRPr="0083752F">
        <w:t xml:space="preserve">Veterinarian must assess the clinical need for antimicrobials prior to prescription and must communicate the risk of </w:t>
      </w:r>
      <w:r w:rsidR="00031F04" w:rsidRPr="00031F04">
        <w:t>antimicrobial resistance</w:t>
      </w:r>
      <w:r w:rsidRPr="0083752F">
        <w:t xml:space="preserve"> in humans and the need for prudent use in animals. Culture and sensitivity tests </w:t>
      </w:r>
      <w:r w:rsidR="001B3FBB" w:rsidRPr="0083752F">
        <w:t xml:space="preserve">may </w:t>
      </w:r>
      <w:r w:rsidRPr="0083752F">
        <w:t>be performed when appropriate to determine susceptibility of the causative organism(s). Empirical therapy may be instituted before results of susceptibility studies are known; however, once these results become available, the antibiotic treatment should be adjusted accordingly.</w:t>
      </w:r>
    </w:p>
    <w:p w14:paraId="0B03E0D1" w14:textId="26FAC192" w:rsidR="00C71843" w:rsidRPr="0083752F" w:rsidRDefault="00C71843" w:rsidP="00C43350">
      <w:pPr>
        <w:pStyle w:val="APVMAText"/>
      </w:pPr>
      <w:r w:rsidRPr="0083752F">
        <w:t>It is recommended that the following directions/statements should be included in the label instructions for neomycin products used a</w:t>
      </w:r>
      <w:r w:rsidR="0083752F" w:rsidRPr="0083752F">
        <w:t>s</w:t>
      </w:r>
      <w:r w:rsidRPr="0083752F">
        <w:t xml:space="preserve"> a feed additive or additive </w:t>
      </w:r>
      <w:r w:rsidR="0083752F" w:rsidRPr="0083752F">
        <w:t>for animal</w:t>
      </w:r>
      <w:r w:rsidRPr="0083752F">
        <w:t xml:space="preserve"> drinking water to help reduce the likelihood of AMR developing, as outlined in the APVMA Veterinary Labelling Code.</w:t>
      </w:r>
    </w:p>
    <w:p w14:paraId="03FB81C6" w14:textId="774E0011" w:rsidR="001B3FBB" w:rsidRPr="0083752F" w:rsidRDefault="001B3FBB" w:rsidP="00C43350">
      <w:pPr>
        <w:pStyle w:val="APVMAText"/>
      </w:pPr>
      <w:r w:rsidRPr="0083752F">
        <w:lastRenderedPageBreak/>
        <w:t>Under Dosage and Administration</w:t>
      </w:r>
      <w:r w:rsidR="00C71843" w:rsidRPr="0083752F">
        <w:t xml:space="preserve"> for feed additive products</w:t>
      </w:r>
    </w:p>
    <w:p w14:paraId="0456E975" w14:textId="617FDC11" w:rsidR="005D5931" w:rsidRPr="0083752F" w:rsidRDefault="005D5931" w:rsidP="007D6865">
      <w:pPr>
        <w:pStyle w:val="APVMAQuote"/>
      </w:pPr>
      <w:r w:rsidRPr="0083752F">
        <w:t>Make sure that the animal/s being treated consume all the medicated feed.</w:t>
      </w:r>
    </w:p>
    <w:p w14:paraId="5141AE17" w14:textId="4BE4E0A3" w:rsidR="00C71843" w:rsidRPr="00C43350" w:rsidRDefault="00C71843" w:rsidP="00801280">
      <w:pPr>
        <w:pStyle w:val="APVMAText"/>
      </w:pPr>
      <w:r w:rsidRPr="00C43350">
        <w:t>Under Dosage and Administration for products used as an additive to animal drinking water</w:t>
      </w:r>
    </w:p>
    <w:p w14:paraId="5FC07E99" w14:textId="532BAA9F" w:rsidR="00C71843" w:rsidRPr="00C43350" w:rsidRDefault="00C71843" w:rsidP="007D6865">
      <w:pPr>
        <w:pStyle w:val="APVMAQuote"/>
      </w:pPr>
      <w:r w:rsidRPr="00C43350">
        <w:t>Make sure that the animal/s being treated consume all the medicated water.</w:t>
      </w:r>
    </w:p>
    <w:p w14:paraId="1546DD9C" w14:textId="4706EF68" w:rsidR="005D5931" w:rsidRPr="00C43350" w:rsidRDefault="005D5931" w:rsidP="00801280">
      <w:pPr>
        <w:pStyle w:val="APVMAText"/>
      </w:pPr>
      <w:r w:rsidRPr="00C43350">
        <w:t xml:space="preserve">Limits have been placed on the </w:t>
      </w:r>
      <w:r w:rsidR="00092592">
        <w:t>‘</w:t>
      </w:r>
      <w:r w:rsidRPr="00C43350">
        <w:t>off-label</w:t>
      </w:r>
      <w:r w:rsidR="00092592">
        <w:t>’</w:t>
      </w:r>
      <w:r w:rsidR="00092592" w:rsidRPr="00C43350">
        <w:t xml:space="preserve"> </w:t>
      </w:r>
      <w:r w:rsidRPr="00C43350">
        <w:t xml:space="preserve">prescribing of veterinary medicines by Australian Veterinary Association (AVA prescribing guidelines, </w:t>
      </w:r>
      <w:r w:rsidR="00971896" w:rsidRPr="00C43350">
        <w:t>2023</w:t>
      </w:r>
      <w:r w:rsidRPr="00C43350">
        <w:t xml:space="preserve">), Department of Agriculture, Fisheries and Forestry (COAG Reforms, 201022) and APVMA (Veterinary Labelling Code, 2022), by providing guidance to comply with all regulatory label restraint statements. Furthermore, Department of Agriculture, Fisheries and Forestry (Buller </w:t>
      </w:r>
      <w:r w:rsidRPr="00B102FF">
        <w:rPr>
          <w:i/>
          <w:iCs/>
        </w:rPr>
        <w:t>et al</w:t>
      </w:r>
      <w:r w:rsidRPr="00C43350">
        <w:t xml:space="preserve">., 2014) and Australian Veterinary Association (AVA prescribing guidelines, </w:t>
      </w:r>
      <w:r w:rsidR="00971896" w:rsidRPr="00C43350">
        <w:t>2023</w:t>
      </w:r>
      <w:r w:rsidRPr="00C43350">
        <w:t xml:space="preserve">) have posed restrictions on the off-label use of Neomycin in food producing animals in Australia. Therefore, the following </w:t>
      </w:r>
      <w:r w:rsidR="001B3FBB" w:rsidRPr="00C43350">
        <w:t>RESTRAINTS</w:t>
      </w:r>
      <w:r w:rsidRPr="00C43350">
        <w:t xml:space="preserve"> are recommended for neomycin products to prevent their overuse or off-label use.</w:t>
      </w:r>
    </w:p>
    <w:p w14:paraId="5D462763" w14:textId="77777777" w:rsidR="008C2A4F" w:rsidRDefault="005D5931" w:rsidP="007D6865">
      <w:pPr>
        <w:pStyle w:val="APVMAQuote"/>
        <w:rPr>
          <w:color w:val="1A1B1A" w:themeColor="text1" w:themeShade="80"/>
          <w:spacing w:val="6"/>
          <w:kern w:val="20"/>
          <w:sz w:val="17"/>
        </w:rPr>
        <w:sectPr w:rsidR="008C2A4F" w:rsidSect="00DF3A52">
          <w:headerReference w:type="even" r:id="rId50"/>
          <w:pgSz w:w="11906" w:h="16838" w:code="9"/>
          <w:pgMar w:top="2835" w:right="1134" w:bottom="1134" w:left="1134" w:header="1701" w:footer="680" w:gutter="0"/>
          <w:cols w:space="708"/>
          <w:docGrid w:linePitch="360"/>
        </w:sectPr>
      </w:pPr>
      <w:r w:rsidRPr="00C43350">
        <w:t xml:space="preserve">DO NOT prescribe [Name of Product], prior to investigating the use of non-antibiotic options. If [Name of Product] is indicated and selected for use, prudent prescribing practices (appropriate dose, </w:t>
      </w:r>
      <w:proofErr w:type="gramStart"/>
      <w:r w:rsidRPr="00C43350">
        <w:t>duration</w:t>
      </w:r>
      <w:proofErr w:type="gramEnd"/>
      <w:r w:rsidRPr="00C43350">
        <w:t xml:space="preserve"> and frequency) should be followed to minimise treatment failure while limiting the possible emergence of antimicrobial resistance.</w:t>
      </w:r>
    </w:p>
    <w:p w14:paraId="0DF8C298" w14:textId="74DBA4E8" w:rsidR="005D5931" w:rsidRDefault="005D5931" w:rsidP="00B102FF">
      <w:pPr>
        <w:pStyle w:val="NormalText"/>
        <w:ind w:left="567"/>
      </w:pPr>
    </w:p>
    <w:p w14:paraId="11FE14F7" w14:textId="37C26D00" w:rsidR="002F4591" w:rsidRDefault="002A3239" w:rsidP="007963D0">
      <w:pPr>
        <w:pStyle w:val="CoverTitle"/>
        <w:spacing w:before="7200"/>
        <w:jc w:val="center"/>
      </w:pPr>
      <w:bookmarkStart w:id="177" w:name="_Toc414373842"/>
      <w:bookmarkStart w:id="178" w:name="_Toc231963183"/>
      <w:bookmarkStart w:id="179" w:name="_Toc231963195"/>
      <w:r>
        <w:rPr>
          <w:noProof/>
          <w:lang w:eastAsia="en-AU"/>
        </w:rPr>
        <w:drawing>
          <wp:anchor distT="0" distB="0" distL="114300" distR="114300" simplePos="0" relativeHeight="251669504" behindDoc="0" locked="0" layoutInCell="1" allowOverlap="1" wp14:anchorId="593A465C" wp14:editId="215BACFD">
            <wp:simplePos x="0" y="0"/>
            <wp:positionH relativeFrom="column">
              <wp:posOffset>1815609</wp:posOffset>
            </wp:positionH>
            <wp:positionV relativeFrom="paragraph">
              <wp:posOffset>8626</wp:posOffset>
            </wp:positionV>
            <wp:extent cx="2754000" cy="2508218"/>
            <wp:effectExtent l="0" t="0" r="8255" b="6985"/>
            <wp:wrapSquare wrapText="bothSides"/>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anchor>
        </w:drawing>
      </w:r>
      <w:r w:rsidR="007963D0">
        <w:br w:type="textWrapping" w:clear="all"/>
      </w:r>
    </w:p>
    <w:p w14:paraId="5B770339" w14:textId="77777777" w:rsidR="009D452E" w:rsidRDefault="009D452E" w:rsidP="002F4591">
      <w:pPr>
        <w:pStyle w:val="CoverTitle"/>
        <w:spacing w:before="1920"/>
        <w:jc w:val="center"/>
        <w:sectPr w:rsidR="009D452E" w:rsidSect="00DF3A52">
          <w:headerReference w:type="even" r:id="rId52"/>
          <w:pgSz w:w="11906" w:h="16838" w:code="9"/>
          <w:pgMar w:top="2835" w:right="1134" w:bottom="1134" w:left="1134" w:header="1701" w:footer="680" w:gutter="0"/>
          <w:cols w:space="708"/>
          <w:docGrid w:linePitch="360"/>
        </w:sectPr>
      </w:pPr>
      <w:r>
        <w:t>Appendix</w:t>
      </w:r>
    </w:p>
    <w:p w14:paraId="60C16835" w14:textId="7261170E" w:rsidR="002E20AC" w:rsidRPr="00C43350" w:rsidRDefault="002E20AC" w:rsidP="00C43350">
      <w:pPr>
        <w:pStyle w:val="AppendixH1"/>
        <w:spacing w:after="240"/>
        <w:ind w:left="2041" w:hanging="2041"/>
      </w:pPr>
      <w:bookmarkStart w:id="180" w:name="_Toc414373845"/>
      <w:bookmarkStart w:id="181" w:name="_Toc135232600"/>
      <w:bookmarkStart w:id="182" w:name="_Toc158818287"/>
      <w:bookmarkEnd w:id="177"/>
      <w:r w:rsidRPr="00C43350">
        <w:lastRenderedPageBreak/>
        <w:t xml:space="preserve">Appendix </w:t>
      </w:r>
      <w:r w:rsidR="00053BAB" w:rsidRPr="00C43350">
        <w:t>A</w:t>
      </w:r>
      <w:r w:rsidRPr="00C43350">
        <w:t xml:space="preserve"> </w:t>
      </w:r>
      <w:r w:rsidR="00FD344F" w:rsidRPr="00C43350">
        <w:t>–</w:t>
      </w:r>
      <w:r w:rsidRPr="00C43350">
        <w:t xml:space="preserve"> </w:t>
      </w:r>
      <w:r w:rsidR="00F66F39" w:rsidRPr="00C43350">
        <w:t xml:space="preserve">Summary of </w:t>
      </w:r>
      <w:r w:rsidR="00853764">
        <w:t>p</w:t>
      </w:r>
      <w:r w:rsidR="00853764" w:rsidRPr="00C43350">
        <w:t xml:space="preserve">roposed </w:t>
      </w:r>
      <w:bookmarkEnd w:id="180"/>
      <w:bookmarkEnd w:id="181"/>
      <w:r w:rsidR="00853764">
        <w:t>c</w:t>
      </w:r>
      <w:r w:rsidR="00853764" w:rsidRPr="00C43350">
        <w:t>hanges</w:t>
      </w:r>
      <w:bookmarkEnd w:id="182"/>
    </w:p>
    <w:tbl>
      <w:tblPr>
        <w:tblW w:w="5000" w:type="pct"/>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74"/>
        <w:gridCol w:w="2310"/>
        <w:gridCol w:w="1047"/>
        <w:gridCol w:w="1157"/>
        <w:gridCol w:w="1276"/>
        <w:gridCol w:w="2974"/>
      </w:tblGrid>
      <w:tr w:rsidR="00F851E5" w:rsidRPr="00A4379A" w14:paraId="7984E8A1" w14:textId="77777777" w:rsidTr="00801280">
        <w:trPr>
          <w:trHeight w:val="20"/>
          <w:tblHeader/>
        </w:trPr>
        <w:tc>
          <w:tcPr>
            <w:tcW w:w="453" w:type="pct"/>
            <w:shd w:val="clear" w:color="auto" w:fill="5C2946"/>
            <w:vAlign w:val="center"/>
          </w:tcPr>
          <w:p w14:paraId="5A57F5B0" w14:textId="091099BE" w:rsidR="00F66F39" w:rsidRPr="00C43350" w:rsidRDefault="00F66F39" w:rsidP="00C43350">
            <w:pPr>
              <w:pStyle w:val="TableHead"/>
            </w:pPr>
            <w:r w:rsidRPr="00C43350">
              <w:t xml:space="preserve">Product </w:t>
            </w:r>
            <w:r w:rsidR="00644AD6">
              <w:t>n</w:t>
            </w:r>
            <w:r w:rsidRPr="00C43350">
              <w:t xml:space="preserve">umber </w:t>
            </w:r>
          </w:p>
        </w:tc>
        <w:tc>
          <w:tcPr>
            <w:tcW w:w="1198" w:type="pct"/>
            <w:shd w:val="clear" w:color="auto" w:fill="5C2946"/>
            <w:vAlign w:val="center"/>
          </w:tcPr>
          <w:p w14:paraId="7B794424" w14:textId="08BEF9CD" w:rsidR="00F66F39" w:rsidRPr="00C43350" w:rsidRDefault="00F66F39" w:rsidP="00C43350">
            <w:pPr>
              <w:pStyle w:val="TableHead"/>
            </w:pPr>
            <w:r w:rsidRPr="00C43350">
              <w:t xml:space="preserve">Formulation </w:t>
            </w:r>
            <w:r w:rsidR="00644AD6">
              <w:t>t</w:t>
            </w:r>
            <w:r w:rsidRPr="00C43350">
              <w:t xml:space="preserve">ype </w:t>
            </w:r>
          </w:p>
        </w:tc>
        <w:tc>
          <w:tcPr>
            <w:tcW w:w="543" w:type="pct"/>
            <w:shd w:val="clear" w:color="auto" w:fill="5C2946"/>
            <w:vAlign w:val="center"/>
          </w:tcPr>
          <w:p w14:paraId="763805CC" w14:textId="0B4CEEE0" w:rsidR="00F66F39" w:rsidRPr="00C43350" w:rsidRDefault="00F66F39" w:rsidP="00C43350">
            <w:pPr>
              <w:pStyle w:val="TableHead"/>
            </w:pPr>
            <w:r w:rsidRPr="00C43350">
              <w:t xml:space="preserve">Uses </w:t>
            </w:r>
            <w:r w:rsidR="00A4379A" w:rsidRPr="00C43350">
              <w:t>s</w:t>
            </w:r>
            <w:r w:rsidRPr="00C43350">
              <w:t xml:space="preserve">upported </w:t>
            </w:r>
          </w:p>
        </w:tc>
        <w:tc>
          <w:tcPr>
            <w:tcW w:w="600" w:type="pct"/>
            <w:shd w:val="clear" w:color="auto" w:fill="5C2946"/>
            <w:vAlign w:val="center"/>
          </w:tcPr>
          <w:p w14:paraId="5E435287" w14:textId="2174B456" w:rsidR="00F66F39" w:rsidRPr="00C43350" w:rsidRDefault="00F66F39" w:rsidP="00C43350">
            <w:pPr>
              <w:pStyle w:val="TableHead"/>
            </w:pPr>
            <w:r w:rsidRPr="00C43350">
              <w:t xml:space="preserve">Uses not supported </w:t>
            </w:r>
          </w:p>
        </w:tc>
        <w:tc>
          <w:tcPr>
            <w:tcW w:w="662" w:type="pct"/>
            <w:shd w:val="clear" w:color="auto" w:fill="5C2946"/>
            <w:vAlign w:val="center"/>
          </w:tcPr>
          <w:p w14:paraId="57C1E2C7" w14:textId="1536FA1F" w:rsidR="00F66F39" w:rsidRPr="00C43350" w:rsidRDefault="00F66F39" w:rsidP="00C43350">
            <w:pPr>
              <w:pStyle w:val="TableHead"/>
            </w:pPr>
            <w:r w:rsidRPr="00C43350">
              <w:t>Reason</w:t>
            </w:r>
            <w:r w:rsidR="00A4379A" w:rsidRPr="00C43350">
              <w:t xml:space="preserve"> that uses are not supported</w:t>
            </w:r>
          </w:p>
        </w:tc>
        <w:tc>
          <w:tcPr>
            <w:tcW w:w="1543" w:type="pct"/>
            <w:shd w:val="clear" w:color="auto" w:fill="5C2946"/>
            <w:vAlign w:val="center"/>
          </w:tcPr>
          <w:p w14:paraId="4425CF0C" w14:textId="4A2DF038" w:rsidR="00F66F39" w:rsidRPr="00C43350" w:rsidRDefault="00F66F39" w:rsidP="00C43350">
            <w:pPr>
              <w:pStyle w:val="TableHead"/>
            </w:pPr>
            <w:r w:rsidRPr="00C43350">
              <w:t xml:space="preserve">Proposed </w:t>
            </w:r>
            <w:r w:rsidR="00A4379A" w:rsidRPr="00C43350">
              <w:t>l</w:t>
            </w:r>
            <w:r w:rsidRPr="00C43350">
              <w:t xml:space="preserve">abel </w:t>
            </w:r>
            <w:r w:rsidR="00A4379A" w:rsidRPr="00C43350">
              <w:t>a</w:t>
            </w:r>
            <w:r w:rsidRPr="00C43350">
              <w:t>mendments for uses supported as an outcome of reconsideration</w:t>
            </w:r>
          </w:p>
        </w:tc>
      </w:tr>
      <w:tr w:rsidR="00F851E5" w:rsidRPr="00EC7079" w14:paraId="6BD74755" w14:textId="77777777" w:rsidTr="00801280">
        <w:trPr>
          <w:trHeight w:val="20"/>
        </w:trPr>
        <w:tc>
          <w:tcPr>
            <w:tcW w:w="453" w:type="pct"/>
          </w:tcPr>
          <w:p w14:paraId="7ADD708E" w14:textId="77777777" w:rsidR="00F66F39" w:rsidRPr="00C43350" w:rsidRDefault="00F66F39" w:rsidP="00C43350">
            <w:pPr>
              <w:pStyle w:val="TableText"/>
            </w:pPr>
            <w:r w:rsidRPr="00C43350">
              <w:t>37241</w:t>
            </w:r>
          </w:p>
        </w:tc>
        <w:tc>
          <w:tcPr>
            <w:tcW w:w="1198" w:type="pct"/>
          </w:tcPr>
          <w:p w14:paraId="1C33F265" w14:textId="6A811D4B" w:rsidR="00F66F39" w:rsidRPr="00C43350" w:rsidRDefault="00F66F39" w:rsidP="00C43350">
            <w:pPr>
              <w:pStyle w:val="TableText"/>
            </w:pPr>
            <w:r w:rsidRPr="00C43350">
              <w:t xml:space="preserve">2A </w:t>
            </w:r>
            <w:r w:rsidR="00B102FF">
              <w:t>–</w:t>
            </w:r>
            <w:r w:rsidR="00B102FF" w:rsidRPr="00C43350">
              <w:t xml:space="preserve"> </w:t>
            </w:r>
            <w:r w:rsidR="00853764" w:rsidRPr="00C43350">
              <w:t>parenteral liquid/solution/suspension</w:t>
            </w:r>
          </w:p>
        </w:tc>
        <w:tc>
          <w:tcPr>
            <w:tcW w:w="543" w:type="pct"/>
          </w:tcPr>
          <w:p w14:paraId="0FE6DB72" w14:textId="7926C53E" w:rsidR="00F66F39" w:rsidRPr="00C43350" w:rsidRDefault="00F66F39" w:rsidP="00C43350">
            <w:pPr>
              <w:pStyle w:val="TableText"/>
            </w:pPr>
            <w:r w:rsidRPr="00C43350">
              <w:t xml:space="preserve">Cattle, </w:t>
            </w:r>
            <w:r w:rsidR="00853764">
              <w:t>s</w:t>
            </w:r>
            <w:r w:rsidR="00853764" w:rsidRPr="00C43350">
              <w:t>heep</w:t>
            </w:r>
            <w:r w:rsidRPr="00C43350">
              <w:t xml:space="preserve">, </w:t>
            </w:r>
            <w:r w:rsidR="00853764">
              <w:t>p</w:t>
            </w:r>
            <w:r w:rsidR="00853764" w:rsidRPr="00C43350">
              <w:t>igs</w:t>
            </w:r>
            <w:r w:rsidRPr="00C43350">
              <w:t xml:space="preserve">, </w:t>
            </w:r>
            <w:r w:rsidR="00853764">
              <w:t>h</w:t>
            </w:r>
            <w:r w:rsidR="00853764" w:rsidRPr="00C43350">
              <w:t>orses</w:t>
            </w:r>
            <w:r w:rsidRPr="00C43350">
              <w:t xml:space="preserve">, </w:t>
            </w:r>
            <w:r w:rsidR="00853764">
              <w:t>d</w:t>
            </w:r>
            <w:r w:rsidR="00853764" w:rsidRPr="00C43350">
              <w:t>ogs</w:t>
            </w:r>
            <w:r w:rsidRPr="00C43350">
              <w:t xml:space="preserve">, </w:t>
            </w:r>
            <w:r w:rsidR="00853764">
              <w:t>c</w:t>
            </w:r>
            <w:r w:rsidR="00853764" w:rsidRPr="00C43350">
              <w:t>ats</w:t>
            </w:r>
          </w:p>
        </w:tc>
        <w:tc>
          <w:tcPr>
            <w:tcW w:w="600" w:type="pct"/>
          </w:tcPr>
          <w:p w14:paraId="267D5438" w14:textId="2F72C59C" w:rsidR="00F66F39" w:rsidRPr="00C43350" w:rsidRDefault="00A4379A" w:rsidP="00C43350">
            <w:pPr>
              <w:pStyle w:val="TableText"/>
            </w:pPr>
            <w:r w:rsidRPr="00C43350">
              <w:t>N/A</w:t>
            </w:r>
          </w:p>
        </w:tc>
        <w:tc>
          <w:tcPr>
            <w:tcW w:w="662" w:type="pct"/>
          </w:tcPr>
          <w:p w14:paraId="3114BDD7" w14:textId="5F655FA5" w:rsidR="00F66F39" w:rsidRPr="00C43350" w:rsidRDefault="00A4379A" w:rsidP="00C43350">
            <w:pPr>
              <w:pStyle w:val="TableText"/>
            </w:pPr>
            <w:r w:rsidRPr="00C43350">
              <w:t>N/A</w:t>
            </w:r>
          </w:p>
        </w:tc>
        <w:tc>
          <w:tcPr>
            <w:tcW w:w="1543" w:type="pct"/>
          </w:tcPr>
          <w:p w14:paraId="0AE9A4C9" w14:textId="38E98D6B" w:rsidR="004F712A" w:rsidRPr="00C43350" w:rsidRDefault="004F712A" w:rsidP="00C43350">
            <w:pPr>
              <w:pStyle w:val="TableText"/>
            </w:pPr>
            <w:r w:rsidRPr="00C43350">
              <w:t>Amend signal heading, constituent statement withholding periods and disposal instructions.</w:t>
            </w:r>
          </w:p>
          <w:p w14:paraId="78FBB838" w14:textId="6DF9D95C" w:rsidR="00F66F39" w:rsidRPr="00C43350" w:rsidRDefault="004F712A" w:rsidP="00C43350">
            <w:pPr>
              <w:pStyle w:val="TableText"/>
            </w:pPr>
            <w:r w:rsidRPr="00C43350">
              <w:t>Add additional statement of claims, restraint statement, contraindications, precautions, dosage and administration directions, general directions, trade advice statement, safety directions and storage instructions.</w:t>
            </w:r>
          </w:p>
        </w:tc>
      </w:tr>
      <w:tr w:rsidR="00F851E5" w:rsidRPr="00EC7079" w14:paraId="6A240CDA" w14:textId="77777777" w:rsidTr="00801280">
        <w:trPr>
          <w:trHeight w:val="20"/>
        </w:trPr>
        <w:tc>
          <w:tcPr>
            <w:tcW w:w="453" w:type="pct"/>
          </w:tcPr>
          <w:p w14:paraId="3CD885FC" w14:textId="77777777" w:rsidR="00F66F39" w:rsidRPr="00C43350" w:rsidRDefault="00F66F39" w:rsidP="00C43350">
            <w:pPr>
              <w:pStyle w:val="TableText"/>
            </w:pPr>
            <w:r w:rsidRPr="00C43350">
              <w:t>36237</w:t>
            </w:r>
          </w:p>
        </w:tc>
        <w:tc>
          <w:tcPr>
            <w:tcW w:w="1198" w:type="pct"/>
          </w:tcPr>
          <w:p w14:paraId="5998E2FF" w14:textId="1B0B6191" w:rsidR="00F66F39" w:rsidRPr="00C43350" w:rsidRDefault="00F66F39" w:rsidP="00C43350">
            <w:pPr>
              <w:pStyle w:val="TableText"/>
            </w:pPr>
            <w:r w:rsidRPr="00C43350">
              <w:t xml:space="preserve">2A </w:t>
            </w:r>
            <w:r w:rsidR="00B102FF">
              <w:t>–</w:t>
            </w:r>
            <w:r w:rsidR="00B102FF" w:rsidRPr="00C43350">
              <w:t xml:space="preserve"> </w:t>
            </w:r>
            <w:r w:rsidR="00853764" w:rsidRPr="00C43350">
              <w:t>parenteral liquid/solution/suspension</w:t>
            </w:r>
          </w:p>
        </w:tc>
        <w:tc>
          <w:tcPr>
            <w:tcW w:w="543" w:type="pct"/>
          </w:tcPr>
          <w:p w14:paraId="5949314B" w14:textId="1A6145E8" w:rsidR="00F66F39" w:rsidRPr="00C43350" w:rsidRDefault="00F66F39" w:rsidP="00C43350">
            <w:pPr>
              <w:pStyle w:val="TableText"/>
            </w:pPr>
            <w:r w:rsidRPr="00C43350">
              <w:t xml:space="preserve"> Dogs, </w:t>
            </w:r>
            <w:r w:rsidR="00853764">
              <w:t>c</w:t>
            </w:r>
            <w:r w:rsidR="00853764" w:rsidRPr="00C43350">
              <w:t>ats</w:t>
            </w:r>
          </w:p>
        </w:tc>
        <w:tc>
          <w:tcPr>
            <w:tcW w:w="600" w:type="pct"/>
          </w:tcPr>
          <w:p w14:paraId="67F4F039" w14:textId="185B3F0C" w:rsidR="00F66F39" w:rsidRPr="00C43350" w:rsidRDefault="003E4F0A" w:rsidP="00C43350">
            <w:pPr>
              <w:pStyle w:val="TableText"/>
            </w:pPr>
            <w:r w:rsidRPr="00C43350">
              <w:t xml:space="preserve">Horses, </w:t>
            </w:r>
            <w:r w:rsidR="00853764">
              <w:t>c</w:t>
            </w:r>
            <w:r w:rsidR="00853764" w:rsidRPr="00C43350">
              <w:t>attle</w:t>
            </w:r>
            <w:r w:rsidR="00F66F39" w:rsidRPr="00C43350">
              <w:t xml:space="preserve">, </w:t>
            </w:r>
            <w:r w:rsidR="00853764">
              <w:t>s</w:t>
            </w:r>
            <w:r w:rsidR="00853764" w:rsidRPr="00C43350">
              <w:t>heep</w:t>
            </w:r>
            <w:r w:rsidR="00F66F39" w:rsidRPr="00C43350">
              <w:t xml:space="preserve">, </w:t>
            </w:r>
            <w:r w:rsidR="00853764">
              <w:t>p</w:t>
            </w:r>
            <w:r w:rsidR="00853764" w:rsidRPr="00C43350">
              <w:t>igs</w:t>
            </w:r>
          </w:p>
        </w:tc>
        <w:tc>
          <w:tcPr>
            <w:tcW w:w="662" w:type="pct"/>
          </w:tcPr>
          <w:p w14:paraId="5AC7B852" w14:textId="2358103B" w:rsidR="004F712A" w:rsidRPr="00C43350" w:rsidRDefault="00F66F39" w:rsidP="00C43350">
            <w:pPr>
              <w:pStyle w:val="TableText"/>
            </w:pPr>
            <w:r w:rsidRPr="00C43350">
              <w:t xml:space="preserve">Insufficient residues data for cattle, </w:t>
            </w:r>
            <w:proofErr w:type="gramStart"/>
            <w:r w:rsidRPr="00C43350">
              <w:t>sheep</w:t>
            </w:r>
            <w:proofErr w:type="gramEnd"/>
            <w:r w:rsidRPr="00C43350">
              <w:t xml:space="preserve"> and pigs</w:t>
            </w:r>
            <w:r w:rsidR="003E4F0A" w:rsidRPr="00C43350">
              <w:t xml:space="preserve">. </w:t>
            </w:r>
          </w:p>
          <w:p w14:paraId="3AB09CB7" w14:textId="04737A29" w:rsidR="00F66F39" w:rsidRPr="00C43350" w:rsidRDefault="004F712A" w:rsidP="00C43350">
            <w:pPr>
              <w:pStyle w:val="TableText"/>
            </w:pPr>
            <w:r w:rsidRPr="00C43350">
              <w:t>Insufficient efficacy data for horses with required re-treatment interval.</w:t>
            </w:r>
          </w:p>
        </w:tc>
        <w:tc>
          <w:tcPr>
            <w:tcW w:w="1543" w:type="pct"/>
          </w:tcPr>
          <w:p w14:paraId="28D37241" w14:textId="000E6F3A" w:rsidR="004F712A" w:rsidRPr="00C43350" w:rsidRDefault="00F66F39" w:rsidP="00C43350">
            <w:pPr>
              <w:pStyle w:val="TableText"/>
            </w:pPr>
            <w:r w:rsidRPr="00C43350">
              <w:t xml:space="preserve">Remove uses on cattle, </w:t>
            </w:r>
            <w:r w:rsidR="00A447BC" w:rsidRPr="00C43350">
              <w:t xml:space="preserve">horses, </w:t>
            </w:r>
            <w:proofErr w:type="gramStart"/>
            <w:r w:rsidRPr="00C43350">
              <w:t>sheep</w:t>
            </w:r>
            <w:proofErr w:type="gramEnd"/>
            <w:r w:rsidRPr="00C43350">
              <w:t xml:space="preserve"> and pigs</w:t>
            </w:r>
            <w:r w:rsidR="004F712A" w:rsidRPr="00C43350">
              <w:t xml:space="preserve"> and associated withholding periods and trade advice statement.</w:t>
            </w:r>
          </w:p>
          <w:p w14:paraId="39211A14" w14:textId="4F1D6C4F" w:rsidR="004F712A" w:rsidRPr="00C43350" w:rsidRDefault="004F712A" w:rsidP="00C43350">
            <w:pPr>
              <w:pStyle w:val="TableText"/>
            </w:pPr>
            <w:r w:rsidRPr="00C43350">
              <w:t xml:space="preserve">Amend signal heading, constituent </w:t>
            </w:r>
            <w:proofErr w:type="gramStart"/>
            <w:r w:rsidRPr="00C43350">
              <w:t>statement</w:t>
            </w:r>
            <w:proofErr w:type="gramEnd"/>
            <w:r w:rsidRPr="00C43350">
              <w:t xml:space="preserve"> and disposal instructions. </w:t>
            </w:r>
          </w:p>
          <w:p w14:paraId="4CA8286F" w14:textId="161771C1" w:rsidR="00F66F39" w:rsidRPr="00C43350" w:rsidRDefault="00F66F39" w:rsidP="00C43350">
            <w:pPr>
              <w:pStyle w:val="TableText"/>
            </w:pPr>
            <w:r w:rsidRPr="00C43350">
              <w:t xml:space="preserve">Add additional </w:t>
            </w:r>
            <w:r w:rsidR="004F712A" w:rsidRPr="00C43350">
              <w:t xml:space="preserve">statement of claims, </w:t>
            </w:r>
            <w:r w:rsidRPr="00C43350">
              <w:t>restraint statements</w:t>
            </w:r>
            <w:r w:rsidR="004F712A" w:rsidRPr="00C43350">
              <w:t>, contraindications, precautions, dosage and administration directions, general directions, safety directions and storage instructions.</w:t>
            </w:r>
          </w:p>
        </w:tc>
      </w:tr>
      <w:tr w:rsidR="00F851E5" w:rsidRPr="00EC7079" w14:paraId="40954529" w14:textId="77777777" w:rsidTr="00801280">
        <w:trPr>
          <w:trHeight w:val="20"/>
        </w:trPr>
        <w:tc>
          <w:tcPr>
            <w:tcW w:w="453" w:type="pct"/>
          </w:tcPr>
          <w:p w14:paraId="040E01EF" w14:textId="77777777" w:rsidR="00F66F39" w:rsidRPr="00C43350" w:rsidRDefault="00F66F39" w:rsidP="00C43350">
            <w:pPr>
              <w:pStyle w:val="TableText"/>
            </w:pPr>
            <w:r w:rsidRPr="00C43350">
              <w:t>36026</w:t>
            </w:r>
          </w:p>
        </w:tc>
        <w:tc>
          <w:tcPr>
            <w:tcW w:w="1198" w:type="pct"/>
          </w:tcPr>
          <w:p w14:paraId="286CCF2B" w14:textId="2E8E88CB" w:rsidR="00F66F39" w:rsidRPr="00C43350" w:rsidRDefault="00F66F39" w:rsidP="00C43350">
            <w:pPr>
              <w:pStyle w:val="TableText"/>
            </w:pPr>
            <w:r w:rsidRPr="00C43350">
              <w:t xml:space="preserve">3A </w:t>
            </w:r>
            <w:r w:rsidR="00B102FF">
              <w:t>–</w:t>
            </w:r>
            <w:r w:rsidR="00B102FF" w:rsidRPr="00C43350">
              <w:t xml:space="preserve"> </w:t>
            </w:r>
            <w:r w:rsidR="00853764" w:rsidRPr="00C43350">
              <w:t>oral solution/suspension</w:t>
            </w:r>
          </w:p>
        </w:tc>
        <w:tc>
          <w:tcPr>
            <w:tcW w:w="543" w:type="pct"/>
          </w:tcPr>
          <w:p w14:paraId="715477F0" w14:textId="00609F4C" w:rsidR="00F66F39" w:rsidRPr="00C43350" w:rsidRDefault="00F66F39" w:rsidP="00C43350">
            <w:pPr>
              <w:pStyle w:val="TableText"/>
            </w:pPr>
            <w:r w:rsidRPr="00C43350">
              <w:t xml:space="preserve">Horses, dogs, </w:t>
            </w:r>
            <w:r w:rsidR="00853764">
              <w:t>c</w:t>
            </w:r>
            <w:r w:rsidR="00853764" w:rsidRPr="00C43350">
              <w:t>ats</w:t>
            </w:r>
          </w:p>
        </w:tc>
        <w:tc>
          <w:tcPr>
            <w:tcW w:w="600" w:type="pct"/>
          </w:tcPr>
          <w:p w14:paraId="508A31CA" w14:textId="77777777" w:rsidR="00F66F39" w:rsidRPr="00C43350" w:rsidRDefault="00F66F39" w:rsidP="00C43350">
            <w:pPr>
              <w:pStyle w:val="TableText"/>
            </w:pPr>
            <w:r w:rsidRPr="00C43350">
              <w:t xml:space="preserve">Calves </w:t>
            </w:r>
          </w:p>
        </w:tc>
        <w:tc>
          <w:tcPr>
            <w:tcW w:w="662" w:type="pct"/>
          </w:tcPr>
          <w:p w14:paraId="60A4F91C" w14:textId="1B945B55" w:rsidR="00F66F39" w:rsidRPr="00C43350" w:rsidRDefault="00F66F39" w:rsidP="00C43350">
            <w:pPr>
              <w:pStyle w:val="TableText"/>
            </w:pPr>
            <w:r w:rsidRPr="00C43350">
              <w:t>Insufficient residues data for calves</w:t>
            </w:r>
            <w:r w:rsidR="004F712A" w:rsidRPr="00C43350">
              <w:t>.</w:t>
            </w:r>
          </w:p>
        </w:tc>
        <w:tc>
          <w:tcPr>
            <w:tcW w:w="1543" w:type="pct"/>
          </w:tcPr>
          <w:p w14:paraId="5A43D65F" w14:textId="51378E7A" w:rsidR="004F712A" w:rsidRPr="00C43350" w:rsidRDefault="00F66F39" w:rsidP="00C43350">
            <w:pPr>
              <w:pStyle w:val="TableText"/>
            </w:pPr>
            <w:r w:rsidRPr="00C43350">
              <w:t xml:space="preserve">Remove use on </w:t>
            </w:r>
            <w:r w:rsidR="00F851E5" w:rsidRPr="00C43350">
              <w:t>calves</w:t>
            </w:r>
            <w:r w:rsidR="004F712A" w:rsidRPr="00C43350">
              <w:t xml:space="preserve"> and associated withholding periods and trade advice statement.</w:t>
            </w:r>
          </w:p>
          <w:p w14:paraId="068024FF" w14:textId="77777777" w:rsidR="004F712A" w:rsidRPr="00C43350" w:rsidRDefault="004F712A" w:rsidP="00C43350">
            <w:pPr>
              <w:pStyle w:val="TableText"/>
            </w:pPr>
            <w:r w:rsidRPr="00C43350">
              <w:t xml:space="preserve">Amend signal heading, constituent </w:t>
            </w:r>
            <w:proofErr w:type="gramStart"/>
            <w:r w:rsidRPr="00C43350">
              <w:t>statement</w:t>
            </w:r>
            <w:proofErr w:type="gramEnd"/>
            <w:r w:rsidRPr="00C43350">
              <w:t xml:space="preserve"> and disposal instructions. </w:t>
            </w:r>
          </w:p>
          <w:p w14:paraId="63DA1645" w14:textId="2D893EB3" w:rsidR="00F66F39" w:rsidRPr="00C43350" w:rsidRDefault="00F66F39" w:rsidP="00C43350">
            <w:pPr>
              <w:pStyle w:val="TableText"/>
            </w:pPr>
            <w:r w:rsidRPr="00C43350">
              <w:t xml:space="preserve">Add additional </w:t>
            </w:r>
            <w:r w:rsidR="004F712A" w:rsidRPr="00C43350">
              <w:t xml:space="preserve">statement of claims, </w:t>
            </w:r>
            <w:r w:rsidRPr="00C43350">
              <w:t>restraint statements</w:t>
            </w:r>
            <w:r w:rsidR="004F712A" w:rsidRPr="00C43350">
              <w:t>, contraindications, precautions, dosage and administration directions, general directions, safety directions, environmental protection statement and storage instructions.</w:t>
            </w:r>
          </w:p>
        </w:tc>
      </w:tr>
      <w:tr w:rsidR="00F851E5" w:rsidRPr="00EC7079" w14:paraId="4299A704" w14:textId="77777777" w:rsidTr="00801280">
        <w:trPr>
          <w:trHeight w:val="20"/>
        </w:trPr>
        <w:tc>
          <w:tcPr>
            <w:tcW w:w="453" w:type="pct"/>
          </w:tcPr>
          <w:p w14:paraId="398B058B" w14:textId="77777777" w:rsidR="00F66F39" w:rsidRPr="00C43350" w:rsidRDefault="00F66F39" w:rsidP="00C43350">
            <w:pPr>
              <w:pStyle w:val="TableText"/>
            </w:pPr>
            <w:r w:rsidRPr="00C43350">
              <w:t>49788</w:t>
            </w:r>
          </w:p>
        </w:tc>
        <w:tc>
          <w:tcPr>
            <w:tcW w:w="1198" w:type="pct"/>
          </w:tcPr>
          <w:p w14:paraId="2560828F" w14:textId="7F6EDAAE" w:rsidR="00F66F39" w:rsidRPr="00C43350" w:rsidRDefault="00F66F39" w:rsidP="00C43350">
            <w:pPr>
              <w:pStyle w:val="TableText"/>
            </w:pPr>
            <w:r w:rsidRPr="00C43350">
              <w:t xml:space="preserve">3A </w:t>
            </w:r>
            <w:r w:rsidR="00B102FF">
              <w:t>–</w:t>
            </w:r>
            <w:r w:rsidR="00B102FF" w:rsidRPr="00C43350">
              <w:t xml:space="preserve"> </w:t>
            </w:r>
            <w:r w:rsidR="00853764" w:rsidRPr="00C43350">
              <w:t>oral solution/suspension</w:t>
            </w:r>
          </w:p>
        </w:tc>
        <w:tc>
          <w:tcPr>
            <w:tcW w:w="543" w:type="pct"/>
          </w:tcPr>
          <w:p w14:paraId="027D725B" w14:textId="276E6F10" w:rsidR="00F66F39" w:rsidRPr="00C43350" w:rsidRDefault="00F66F39" w:rsidP="00C43350">
            <w:pPr>
              <w:pStyle w:val="TableText"/>
            </w:pPr>
            <w:r w:rsidRPr="00C43350">
              <w:t xml:space="preserve">Horses, </w:t>
            </w:r>
            <w:r w:rsidR="00853764">
              <w:t>d</w:t>
            </w:r>
            <w:r w:rsidR="00853764" w:rsidRPr="00C43350">
              <w:t>ogs</w:t>
            </w:r>
            <w:r w:rsidRPr="00C43350">
              <w:t xml:space="preserve">, </w:t>
            </w:r>
            <w:r w:rsidR="00853764">
              <w:t>c</w:t>
            </w:r>
            <w:r w:rsidR="00853764" w:rsidRPr="00C43350">
              <w:t>ats</w:t>
            </w:r>
          </w:p>
        </w:tc>
        <w:tc>
          <w:tcPr>
            <w:tcW w:w="600" w:type="pct"/>
          </w:tcPr>
          <w:p w14:paraId="2198CEB3" w14:textId="77777777" w:rsidR="00F66F39" w:rsidRPr="00C43350" w:rsidRDefault="00F66F39" w:rsidP="00C43350">
            <w:pPr>
              <w:pStyle w:val="TableText"/>
            </w:pPr>
            <w:r w:rsidRPr="00C43350">
              <w:t>Calves</w:t>
            </w:r>
          </w:p>
        </w:tc>
        <w:tc>
          <w:tcPr>
            <w:tcW w:w="662" w:type="pct"/>
          </w:tcPr>
          <w:p w14:paraId="7E3E60FF" w14:textId="053715F3" w:rsidR="00F66F39" w:rsidRPr="00C43350" w:rsidRDefault="00F66F39" w:rsidP="00C43350">
            <w:pPr>
              <w:pStyle w:val="TableText"/>
            </w:pPr>
            <w:r w:rsidRPr="00C43350">
              <w:t>Insufficient residues data for calves</w:t>
            </w:r>
            <w:r w:rsidR="004F712A" w:rsidRPr="00C43350">
              <w:t>.</w:t>
            </w:r>
          </w:p>
        </w:tc>
        <w:tc>
          <w:tcPr>
            <w:tcW w:w="1543" w:type="pct"/>
          </w:tcPr>
          <w:p w14:paraId="59898734" w14:textId="33E8F588" w:rsidR="004F712A" w:rsidRPr="00C43350" w:rsidRDefault="00F66F39" w:rsidP="00C43350">
            <w:pPr>
              <w:pStyle w:val="TableText"/>
            </w:pPr>
            <w:r w:rsidRPr="00C43350">
              <w:t>Remove use on calves</w:t>
            </w:r>
            <w:r w:rsidR="004F712A" w:rsidRPr="00C43350">
              <w:t xml:space="preserve"> and associated withholding periods and trade advice statement.</w:t>
            </w:r>
          </w:p>
          <w:p w14:paraId="6E70C405" w14:textId="77777777" w:rsidR="004F712A" w:rsidRPr="00C43350" w:rsidRDefault="004F712A" w:rsidP="00C43350">
            <w:pPr>
              <w:pStyle w:val="TableText"/>
            </w:pPr>
            <w:r w:rsidRPr="00C43350">
              <w:t xml:space="preserve">Amend signal heading, constituent </w:t>
            </w:r>
            <w:proofErr w:type="gramStart"/>
            <w:r w:rsidRPr="00C43350">
              <w:t>statement</w:t>
            </w:r>
            <w:proofErr w:type="gramEnd"/>
            <w:r w:rsidRPr="00C43350">
              <w:t xml:space="preserve"> and disposal instructions. </w:t>
            </w:r>
          </w:p>
          <w:p w14:paraId="56C4450B" w14:textId="7B83A66B" w:rsidR="00F66F39" w:rsidRPr="00801280" w:rsidRDefault="00F66F39" w:rsidP="00801280">
            <w:pPr>
              <w:pStyle w:val="TableText"/>
            </w:pPr>
            <w:r w:rsidRPr="00801280">
              <w:lastRenderedPageBreak/>
              <w:t>Add additional</w:t>
            </w:r>
            <w:r w:rsidR="004F712A" w:rsidRPr="00801280">
              <w:t xml:space="preserve"> statement of claims, </w:t>
            </w:r>
            <w:r w:rsidRPr="00801280">
              <w:t>restraint statements</w:t>
            </w:r>
            <w:r w:rsidR="004F712A" w:rsidRPr="00801280">
              <w:t>, contraindications, precautions, dosage and administration directions, general directions, safety directions, environmental protection statement and storage instructions.</w:t>
            </w:r>
            <w:r w:rsidRPr="00801280">
              <w:t xml:space="preserve"> </w:t>
            </w:r>
          </w:p>
        </w:tc>
      </w:tr>
      <w:tr w:rsidR="00F851E5" w:rsidRPr="00EC7079" w14:paraId="5A3A1789" w14:textId="77777777" w:rsidTr="00801280">
        <w:trPr>
          <w:trHeight w:val="20"/>
        </w:trPr>
        <w:tc>
          <w:tcPr>
            <w:tcW w:w="453" w:type="pct"/>
          </w:tcPr>
          <w:p w14:paraId="1BA90D23" w14:textId="77777777" w:rsidR="00F66F39" w:rsidRPr="00C43350" w:rsidRDefault="00F66F39" w:rsidP="00C43350">
            <w:pPr>
              <w:pStyle w:val="TableText"/>
            </w:pPr>
            <w:r w:rsidRPr="00C43350">
              <w:lastRenderedPageBreak/>
              <w:t>46414</w:t>
            </w:r>
          </w:p>
        </w:tc>
        <w:tc>
          <w:tcPr>
            <w:tcW w:w="1198" w:type="pct"/>
          </w:tcPr>
          <w:p w14:paraId="3F69B289" w14:textId="0A1BF6E6" w:rsidR="00F66F39" w:rsidRPr="00C43350" w:rsidRDefault="00F66F39" w:rsidP="00C43350">
            <w:pPr>
              <w:pStyle w:val="TableText"/>
            </w:pPr>
            <w:r w:rsidRPr="00C43350">
              <w:t xml:space="preserve">3D </w:t>
            </w:r>
            <w:r w:rsidR="00B102FF">
              <w:t>–</w:t>
            </w:r>
            <w:r w:rsidR="00B102FF" w:rsidRPr="00C43350">
              <w:t xml:space="preserve"> </w:t>
            </w:r>
            <w:r w:rsidR="00853764" w:rsidRPr="00C43350">
              <w:t>oral tablet</w:t>
            </w:r>
          </w:p>
        </w:tc>
        <w:tc>
          <w:tcPr>
            <w:tcW w:w="543" w:type="pct"/>
          </w:tcPr>
          <w:p w14:paraId="54F2FBCC" w14:textId="77777777" w:rsidR="00F66F39" w:rsidRPr="00C43350" w:rsidRDefault="00F66F39" w:rsidP="00C43350">
            <w:pPr>
              <w:pStyle w:val="TableText"/>
            </w:pPr>
            <w:r w:rsidRPr="00C43350">
              <w:t>Horses</w:t>
            </w:r>
          </w:p>
        </w:tc>
        <w:tc>
          <w:tcPr>
            <w:tcW w:w="600" w:type="pct"/>
          </w:tcPr>
          <w:p w14:paraId="08B2ACA3" w14:textId="77777777" w:rsidR="00F66F39" w:rsidRPr="00C43350" w:rsidRDefault="00F66F39" w:rsidP="00C43350">
            <w:pPr>
              <w:pStyle w:val="TableText"/>
            </w:pPr>
            <w:r w:rsidRPr="00C43350">
              <w:t>Calves</w:t>
            </w:r>
          </w:p>
        </w:tc>
        <w:tc>
          <w:tcPr>
            <w:tcW w:w="662" w:type="pct"/>
          </w:tcPr>
          <w:p w14:paraId="49958F6E" w14:textId="48D4D18C" w:rsidR="00F66F39" w:rsidRPr="00C43350" w:rsidRDefault="00F66F39" w:rsidP="00C43350">
            <w:pPr>
              <w:pStyle w:val="TableText"/>
            </w:pPr>
            <w:r w:rsidRPr="00C43350">
              <w:t>Insufficient residues data for calves</w:t>
            </w:r>
            <w:r w:rsidR="004F712A" w:rsidRPr="00C43350">
              <w:t>.</w:t>
            </w:r>
          </w:p>
        </w:tc>
        <w:tc>
          <w:tcPr>
            <w:tcW w:w="1543" w:type="pct"/>
          </w:tcPr>
          <w:p w14:paraId="29F41D09" w14:textId="389C5E35" w:rsidR="004F712A" w:rsidRPr="00C43350" w:rsidRDefault="00F66F39" w:rsidP="00C43350">
            <w:pPr>
              <w:pStyle w:val="TableText"/>
            </w:pPr>
            <w:r w:rsidRPr="00C43350">
              <w:t>Remove use on calves</w:t>
            </w:r>
            <w:r w:rsidR="004F712A" w:rsidRPr="00C43350">
              <w:t xml:space="preserve"> and associated withholding periods and trade advice statement.</w:t>
            </w:r>
          </w:p>
          <w:p w14:paraId="7CC947ED" w14:textId="77777777" w:rsidR="004F712A" w:rsidRPr="00C43350" w:rsidRDefault="004F712A" w:rsidP="00C43350">
            <w:pPr>
              <w:pStyle w:val="TableText"/>
            </w:pPr>
            <w:r w:rsidRPr="00C43350">
              <w:t xml:space="preserve">Amend signal heading, constituent </w:t>
            </w:r>
            <w:proofErr w:type="gramStart"/>
            <w:r w:rsidRPr="00C43350">
              <w:t>statement</w:t>
            </w:r>
            <w:proofErr w:type="gramEnd"/>
            <w:r w:rsidRPr="00C43350">
              <w:t xml:space="preserve"> and disposal instructions. </w:t>
            </w:r>
          </w:p>
          <w:p w14:paraId="455B4A31" w14:textId="1B42366C" w:rsidR="00F66F39" w:rsidRPr="00C43350" w:rsidRDefault="00F66F39" w:rsidP="00C43350">
            <w:pPr>
              <w:pStyle w:val="TableText"/>
            </w:pPr>
            <w:r w:rsidRPr="00C43350">
              <w:t xml:space="preserve">Add additional </w:t>
            </w:r>
            <w:r w:rsidR="004F712A" w:rsidRPr="00C43350">
              <w:t xml:space="preserve">statement of claims, </w:t>
            </w:r>
            <w:r w:rsidRPr="00C43350">
              <w:t>restraint statements.</w:t>
            </w:r>
            <w:r w:rsidR="004F712A" w:rsidRPr="00C43350">
              <w:t xml:space="preserve"> Contraindications, do</w:t>
            </w:r>
            <w:r w:rsidRPr="00C43350">
              <w:t>sage and administration directions</w:t>
            </w:r>
            <w:r w:rsidR="004F712A" w:rsidRPr="00C43350">
              <w:t>, general directions, safety directions and storage instructions.</w:t>
            </w:r>
            <w:r w:rsidRPr="00C43350">
              <w:t xml:space="preserve"> </w:t>
            </w:r>
          </w:p>
        </w:tc>
      </w:tr>
      <w:tr w:rsidR="00F851E5" w:rsidRPr="00EC7079" w14:paraId="7A8E74E1" w14:textId="77777777" w:rsidTr="00801280">
        <w:trPr>
          <w:trHeight w:val="20"/>
        </w:trPr>
        <w:tc>
          <w:tcPr>
            <w:tcW w:w="453" w:type="pct"/>
          </w:tcPr>
          <w:p w14:paraId="01A5C587" w14:textId="77777777" w:rsidR="00F66F39" w:rsidRPr="00C43350" w:rsidRDefault="00F66F39" w:rsidP="00C43350">
            <w:pPr>
              <w:pStyle w:val="TableText"/>
            </w:pPr>
            <w:r w:rsidRPr="00C43350">
              <w:t>67805</w:t>
            </w:r>
          </w:p>
        </w:tc>
        <w:tc>
          <w:tcPr>
            <w:tcW w:w="1198" w:type="pct"/>
          </w:tcPr>
          <w:p w14:paraId="4F978EF4" w14:textId="76F21527" w:rsidR="00F66F39" w:rsidRPr="00C43350" w:rsidRDefault="00F66F39" w:rsidP="00C43350">
            <w:pPr>
              <w:pStyle w:val="TableText"/>
            </w:pPr>
            <w:r w:rsidRPr="00C43350">
              <w:t xml:space="preserve">3H </w:t>
            </w:r>
            <w:r w:rsidR="00B102FF">
              <w:t>–</w:t>
            </w:r>
            <w:r w:rsidR="00B102FF" w:rsidRPr="00C43350">
              <w:t xml:space="preserve"> </w:t>
            </w:r>
            <w:r w:rsidR="00853764" w:rsidRPr="00C43350">
              <w:t>oral powder, pre-mix</w:t>
            </w:r>
          </w:p>
        </w:tc>
        <w:tc>
          <w:tcPr>
            <w:tcW w:w="543" w:type="pct"/>
          </w:tcPr>
          <w:p w14:paraId="0454085A" w14:textId="409FB7A1" w:rsidR="00F66F39" w:rsidRPr="00C43350" w:rsidRDefault="00A4379A" w:rsidP="00C43350">
            <w:pPr>
              <w:pStyle w:val="TableText"/>
            </w:pPr>
            <w:r w:rsidRPr="00C43350">
              <w:t>N/A</w:t>
            </w:r>
          </w:p>
        </w:tc>
        <w:tc>
          <w:tcPr>
            <w:tcW w:w="600" w:type="pct"/>
          </w:tcPr>
          <w:p w14:paraId="26D11E3E" w14:textId="46AA8DA8" w:rsidR="00F66F39" w:rsidRPr="00C43350" w:rsidRDefault="00F66F39" w:rsidP="00C43350">
            <w:pPr>
              <w:pStyle w:val="TableText"/>
            </w:pPr>
            <w:r w:rsidRPr="00C43350">
              <w:t xml:space="preserve">Poultry, </w:t>
            </w:r>
            <w:r w:rsidR="00853764" w:rsidRPr="00C43350">
              <w:t>pigs, cattle</w:t>
            </w:r>
          </w:p>
        </w:tc>
        <w:tc>
          <w:tcPr>
            <w:tcW w:w="662" w:type="pct"/>
          </w:tcPr>
          <w:p w14:paraId="3F81F72E" w14:textId="53AD3987" w:rsidR="00F66F39" w:rsidRPr="00C43350" w:rsidRDefault="00F66F39" w:rsidP="00C43350">
            <w:pPr>
              <w:pStyle w:val="TableText"/>
            </w:pPr>
            <w:bookmarkStart w:id="183" w:name="_Hlk152842011"/>
            <w:r w:rsidRPr="00C43350">
              <w:t xml:space="preserve">Insufficient residues data for poultry, </w:t>
            </w:r>
            <w:proofErr w:type="gramStart"/>
            <w:r w:rsidRPr="00C43350">
              <w:t>pigs</w:t>
            </w:r>
            <w:proofErr w:type="gramEnd"/>
            <w:r w:rsidRPr="00C43350">
              <w:t xml:space="preserve"> and cattle</w:t>
            </w:r>
            <w:bookmarkEnd w:id="183"/>
            <w:r w:rsidR="004F712A" w:rsidRPr="00C43350">
              <w:t>.</w:t>
            </w:r>
          </w:p>
        </w:tc>
        <w:tc>
          <w:tcPr>
            <w:tcW w:w="1543" w:type="pct"/>
          </w:tcPr>
          <w:p w14:paraId="77F48490" w14:textId="2D8583FD" w:rsidR="00F66F39" w:rsidRPr="00C43350" w:rsidRDefault="00A4379A" w:rsidP="00C43350">
            <w:pPr>
              <w:pStyle w:val="TableText"/>
            </w:pPr>
            <w:r w:rsidRPr="00C43350">
              <w:t xml:space="preserve">N/A </w:t>
            </w:r>
            <w:r w:rsidR="00F66F39" w:rsidRPr="00C43350">
              <w:t xml:space="preserve">– </w:t>
            </w:r>
            <w:r w:rsidRPr="00C43350">
              <w:t>no supported uses</w:t>
            </w:r>
          </w:p>
        </w:tc>
      </w:tr>
      <w:tr w:rsidR="00F851E5" w:rsidRPr="00EC7079" w14:paraId="3B322571" w14:textId="77777777" w:rsidTr="00801280">
        <w:trPr>
          <w:trHeight w:val="20"/>
        </w:trPr>
        <w:tc>
          <w:tcPr>
            <w:tcW w:w="453" w:type="pct"/>
          </w:tcPr>
          <w:p w14:paraId="4626E395" w14:textId="77777777" w:rsidR="00F66F39" w:rsidRPr="00C43350" w:rsidRDefault="00F66F39" w:rsidP="00C43350">
            <w:pPr>
              <w:pStyle w:val="TableText"/>
              <w:rPr>
                <w:highlight w:val="yellow"/>
              </w:rPr>
            </w:pPr>
            <w:r w:rsidRPr="00C43350">
              <w:t>52782</w:t>
            </w:r>
          </w:p>
        </w:tc>
        <w:tc>
          <w:tcPr>
            <w:tcW w:w="1198" w:type="pct"/>
          </w:tcPr>
          <w:p w14:paraId="5CF5B11B" w14:textId="645BA8D7" w:rsidR="00F66F39" w:rsidRPr="00C43350" w:rsidRDefault="00F66F39" w:rsidP="00C43350">
            <w:pPr>
              <w:pStyle w:val="TableText"/>
            </w:pPr>
            <w:r w:rsidRPr="00C43350">
              <w:t xml:space="preserve">3H </w:t>
            </w:r>
            <w:r w:rsidR="00B102FF">
              <w:t>–</w:t>
            </w:r>
            <w:r w:rsidR="00B102FF" w:rsidRPr="00C43350">
              <w:t xml:space="preserve"> </w:t>
            </w:r>
            <w:r w:rsidR="00853764" w:rsidRPr="00C43350">
              <w:t>oral powder, pre-mix</w:t>
            </w:r>
          </w:p>
        </w:tc>
        <w:tc>
          <w:tcPr>
            <w:tcW w:w="543" w:type="pct"/>
          </w:tcPr>
          <w:p w14:paraId="58983AD0" w14:textId="24D77CF2" w:rsidR="00F66F39" w:rsidRPr="00C43350" w:rsidRDefault="00A4379A" w:rsidP="00C43350">
            <w:pPr>
              <w:pStyle w:val="TableText"/>
              <w:rPr>
                <w:highlight w:val="yellow"/>
              </w:rPr>
            </w:pPr>
            <w:r w:rsidRPr="00C43350">
              <w:t>N/A</w:t>
            </w:r>
          </w:p>
        </w:tc>
        <w:tc>
          <w:tcPr>
            <w:tcW w:w="600" w:type="pct"/>
          </w:tcPr>
          <w:p w14:paraId="63152DE1" w14:textId="77777777" w:rsidR="00F66F39" w:rsidRPr="00C43350" w:rsidRDefault="00F66F39" w:rsidP="00C43350">
            <w:pPr>
              <w:pStyle w:val="TableText"/>
              <w:rPr>
                <w:highlight w:val="yellow"/>
              </w:rPr>
            </w:pPr>
            <w:r w:rsidRPr="00C43350">
              <w:t>Poultry</w:t>
            </w:r>
          </w:p>
        </w:tc>
        <w:tc>
          <w:tcPr>
            <w:tcW w:w="662" w:type="pct"/>
          </w:tcPr>
          <w:p w14:paraId="3E8DF54B" w14:textId="3784C430" w:rsidR="00F66F39" w:rsidRPr="00C43350" w:rsidRDefault="00F66F39" w:rsidP="00C43350">
            <w:pPr>
              <w:pStyle w:val="TableText"/>
              <w:rPr>
                <w:highlight w:val="yellow"/>
              </w:rPr>
            </w:pPr>
            <w:r w:rsidRPr="00C43350">
              <w:t>Insufficient residues data for poultry</w:t>
            </w:r>
            <w:r w:rsidR="004F712A" w:rsidRPr="00C43350">
              <w:t>.</w:t>
            </w:r>
          </w:p>
        </w:tc>
        <w:tc>
          <w:tcPr>
            <w:tcW w:w="1543" w:type="pct"/>
          </w:tcPr>
          <w:p w14:paraId="67080EF1" w14:textId="7B673E99" w:rsidR="00F66F39" w:rsidRPr="00C43350" w:rsidRDefault="00A4379A" w:rsidP="00C43350">
            <w:pPr>
              <w:pStyle w:val="TableText"/>
              <w:rPr>
                <w:highlight w:val="yellow"/>
              </w:rPr>
            </w:pPr>
            <w:r w:rsidRPr="00C43350">
              <w:t>N/A</w:t>
            </w:r>
            <w:r w:rsidR="00F66F39" w:rsidRPr="00C43350">
              <w:t xml:space="preserve"> – </w:t>
            </w:r>
            <w:r w:rsidRPr="00C43350">
              <w:t>no supported uses</w:t>
            </w:r>
          </w:p>
        </w:tc>
      </w:tr>
      <w:tr w:rsidR="00F851E5" w:rsidRPr="00EC7079" w14:paraId="6D67B104" w14:textId="77777777" w:rsidTr="00801280">
        <w:trPr>
          <w:trHeight w:val="20"/>
        </w:trPr>
        <w:tc>
          <w:tcPr>
            <w:tcW w:w="453" w:type="pct"/>
          </w:tcPr>
          <w:p w14:paraId="0DD33D7D" w14:textId="77777777" w:rsidR="00F66F39" w:rsidRPr="00C43350" w:rsidRDefault="00F66F39" w:rsidP="00C43350">
            <w:pPr>
              <w:pStyle w:val="TableText"/>
              <w:rPr>
                <w:highlight w:val="yellow"/>
              </w:rPr>
            </w:pPr>
            <w:r w:rsidRPr="00C43350">
              <w:t>49851</w:t>
            </w:r>
          </w:p>
        </w:tc>
        <w:tc>
          <w:tcPr>
            <w:tcW w:w="1198" w:type="pct"/>
          </w:tcPr>
          <w:p w14:paraId="7BEAAB4A" w14:textId="373423A0" w:rsidR="00F66F39" w:rsidRPr="00C43350" w:rsidRDefault="00F66F39" w:rsidP="00C43350">
            <w:pPr>
              <w:pStyle w:val="TableText"/>
            </w:pPr>
            <w:r w:rsidRPr="00C43350">
              <w:t xml:space="preserve">4E </w:t>
            </w:r>
            <w:r w:rsidR="00B102FF">
              <w:t>–</w:t>
            </w:r>
            <w:r w:rsidR="00B102FF" w:rsidRPr="00C43350">
              <w:t xml:space="preserve"> </w:t>
            </w:r>
            <w:r w:rsidR="00853764" w:rsidRPr="00C43350">
              <w:t>misc. intra mammary</w:t>
            </w:r>
          </w:p>
        </w:tc>
        <w:tc>
          <w:tcPr>
            <w:tcW w:w="543" w:type="pct"/>
          </w:tcPr>
          <w:p w14:paraId="74BA2FA3" w14:textId="747C161F" w:rsidR="00F66F39" w:rsidRPr="00C43350" w:rsidRDefault="00A4379A" w:rsidP="00C43350">
            <w:pPr>
              <w:pStyle w:val="TableText"/>
              <w:rPr>
                <w:highlight w:val="yellow"/>
              </w:rPr>
            </w:pPr>
            <w:r w:rsidRPr="00C43350">
              <w:t>N/A</w:t>
            </w:r>
          </w:p>
        </w:tc>
        <w:tc>
          <w:tcPr>
            <w:tcW w:w="600" w:type="pct"/>
          </w:tcPr>
          <w:p w14:paraId="25C286DD" w14:textId="6872A389" w:rsidR="00F66F39" w:rsidRPr="00C43350" w:rsidRDefault="00F66F39" w:rsidP="00C43350">
            <w:pPr>
              <w:pStyle w:val="TableText"/>
              <w:rPr>
                <w:highlight w:val="yellow"/>
              </w:rPr>
            </w:pPr>
            <w:r w:rsidRPr="00C43350">
              <w:t xml:space="preserve">Lactating </w:t>
            </w:r>
            <w:r w:rsidR="00853764">
              <w:t>c</w:t>
            </w:r>
            <w:r w:rsidR="00853764" w:rsidRPr="00C43350">
              <w:t>ows</w:t>
            </w:r>
          </w:p>
        </w:tc>
        <w:tc>
          <w:tcPr>
            <w:tcW w:w="662" w:type="pct"/>
          </w:tcPr>
          <w:p w14:paraId="32BC8F7F" w14:textId="2C1BEDAE" w:rsidR="00F66F39" w:rsidRPr="00C43350" w:rsidRDefault="00F66F39" w:rsidP="00C43350">
            <w:pPr>
              <w:pStyle w:val="TableText"/>
              <w:rPr>
                <w:highlight w:val="yellow"/>
              </w:rPr>
            </w:pPr>
            <w:r w:rsidRPr="00C43350">
              <w:t>Insufficient residues data for lactating cows</w:t>
            </w:r>
            <w:r w:rsidR="004F712A" w:rsidRPr="00C43350">
              <w:t>.</w:t>
            </w:r>
          </w:p>
        </w:tc>
        <w:tc>
          <w:tcPr>
            <w:tcW w:w="1543" w:type="pct"/>
          </w:tcPr>
          <w:p w14:paraId="06D9D25B" w14:textId="52F53CBE" w:rsidR="00F66F39" w:rsidRPr="00C43350" w:rsidRDefault="00A4379A" w:rsidP="00C43350">
            <w:pPr>
              <w:pStyle w:val="TableText"/>
              <w:rPr>
                <w:highlight w:val="yellow"/>
              </w:rPr>
            </w:pPr>
            <w:r w:rsidRPr="00C43350">
              <w:t>N/A</w:t>
            </w:r>
            <w:r w:rsidRPr="00C43350" w:rsidDel="00A4379A">
              <w:t xml:space="preserve"> </w:t>
            </w:r>
            <w:r w:rsidR="00F66F39" w:rsidRPr="00C43350">
              <w:t xml:space="preserve">– </w:t>
            </w:r>
            <w:r w:rsidRPr="00C43350">
              <w:t>no supported uses</w:t>
            </w:r>
          </w:p>
        </w:tc>
      </w:tr>
      <w:tr w:rsidR="00F851E5" w:rsidRPr="00EC7079" w14:paraId="1E102D29" w14:textId="77777777" w:rsidTr="00801280">
        <w:trPr>
          <w:trHeight w:val="20"/>
        </w:trPr>
        <w:tc>
          <w:tcPr>
            <w:tcW w:w="453" w:type="pct"/>
          </w:tcPr>
          <w:p w14:paraId="3DFEDCFD" w14:textId="77777777" w:rsidR="00F66F39" w:rsidRPr="00C43350" w:rsidRDefault="00F66F39" w:rsidP="00C43350">
            <w:pPr>
              <w:pStyle w:val="TableText"/>
            </w:pPr>
            <w:r w:rsidRPr="00C43350">
              <w:t>38696</w:t>
            </w:r>
          </w:p>
        </w:tc>
        <w:tc>
          <w:tcPr>
            <w:tcW w:w="1198" w:type="pct"/>
          </w:tcPr>
          <w:p w14:paraId="7570BD88" w14:textId="180A8D2F" w:rsidR="00F66F39" w:rsidRPr="00C43350" w:rsidRDefault="00F66F39" w:rsidP="00C43350">
            <w:pPr>
              <w:pStyle w:val="TableText"/>
            </w:pPr>
            <w:r w:rsidRPr="00C43350">
              <w:t xml:space="preserve">4E </w:t>
            </w:r>
            <w:r w:rsidR="00B102FF">
              <w:t>–</w:t>
            </w:r>
            <w:r w:rsidR="00B102FF" w:rsidRPr="00C43350">
              <w:t xml:space="preserve"> </w:t>
            </w:r>
            <w:r w:rsidR="00853764" w:rsidRPr="00C43350">
              <w:t>misc. intra mammary</w:t>
            </w:r>
          </w:p>
        </w:tc>
        <w:tc>
          <w:tcPr>
            <w:tcW w:w="543" w:type="pct"/>
          </w:tcPr>
          <w:p w14:paraId="012412A1" w14:textId="08132381" w:rsidR="00F66F39" w:rsidRPr="00C43350" w:rsidRDefault="00A4379A" w:rsidP="00C43350">
            <w:pPr>
              <w:pStyle w:val="TableText"/>
            </w:pPr>
            <w:r w:rsidRPr="00C43350">
              <w:t>N/A</w:t>
            </w:r>
          </w:p>
        </w:tc>
        <w:tc>
          <w:tcPr>
            <w:tcW w:w="600" w:type="pct"/>
          </w:tcPr>
          <w:p w14:paraId="5FEB66A7" w14:textId="4A4C2D10" w:rsidR="00F66F39" w:rsidRPr="00C43350" w:rsidRDefault="00F66F39" w:rsidP="00C43350">
            <w:pPr>
              <w:pStyle w:val="TableText"/>
            </w:pPr>
            <w:r w:rsidRPr="00C43350">
              <w:t xml:space="preserve">Lactating </w:t>
            </w:r>
            <w:r w:rsidR="00853764">
              <w:t>c</w:t>
            </w:r>
            <w:r w:rsidR="00853764" w:rsidRPr="00C43350">
              <w:t>ows</w:t>
            </w:r>
          </w:p>
        </w:tc>
        <w:tc>
          <w:tcPr>
            <w:tcW w:w="662" w:type="pct"/>
          </w:tcPr>
          <w:p w14:paraId="64CE0F66" w14:textId="5113603B" w:rsidR="00F66F39" w:rsidRPr="00C43350" w:rsidRDefault="00F66F39" w:rsidP="00C43350">
            <w:pPr>
              <w:pStyle w:val="TableText"/>
              <w:rPr>
                <w:highlight w:val="yellow"/>
              </w:rPr>
            </w:pPr>
            <w:r w:rsidRPr="00C43350">
              <w:t>Insufficient residues data for lactating cows</w:t>
            </w:r>
            <w:r w:rsidR="004F712A" w:rsidRPr="00C43350">
              <w:t>.</w:t>
            </w:r>
          </w:p>
        </w:tc>
        <w:tc>
          <w:tcPr>
            <w:tcW w:w="1543" w:type="pct"/>
          </w:tcPr>
          <w:p w14:paraId="5031B596" w14:textId="0E09E369" w:rsidR="00F66F39" w:rsidRPr="00C43350" w:rsidRDefault="00A4379A" w:rsidP="00C43350">
            <w:pPr>
              <w:pStyle w:val="TableText"/>
              <w:rPr>
                <w:highlight w:val="yellow"/>
              </w:rPr>
            </w:pPr>
            <w:r w:rsidRPr="00C43350">
              <w:t>N/A</w:t>
            </w:r>
            <w:r w:rsidRPr="00C43350" w:rsidDel="00A4379A">
              <w:t xml:space="preserve"> </w:t>
            </w:r>
            <w:r w:rsidR="00F66F39" w:rsidRPr="00C43350">
              <w:t xml:space="preserve">– </w:t>
            </w:r>
            <w:r w:rsidRPr="00C43350">
              <w:t>no supported uses</w:t>
            </w:r>
          </w:p>
        </w:tc>
      </w:tr>
    </w:tbl>
    <w:p w14:paraId="4DAD259B" w14:textId="77777777" w:rsidR="00F66F39" w:rsidRPr="009D452E" w:rsidRDefault="00F66F39" w:rsidP="009D452E">
      <w:pPr>
        <w:pStyle w:val="NormalText"/>
        <w:sectPr w:rsidR="00F66F39" w:rsidRPr="009D452E" w:rsidSect="00DF3A52">
          <w:headerReference w:type="even" r:id="rId53"/>
          <w:headerReference w:type="default" r:id="rId54"/>
          <w:pgSz w:w="11906" w:h="16838" w:code="9"/>
          <w:pgMar w:top="2835" w:right="1134" w:bottom="1134" w:left="1134" w:header="1701" w:footer="680" w:gutter="0"/>
          <w:cols w:space="708"/>
          <w:docGrid w:linePitch="360"/>
        </w:sectPr>
      </w:pPr>
    </w:p>
    <w:p w14:paraId="3CE4C5F0" w14:textId="532AE014" w:rsidR="002E20AC" w:rsidRPr="00C43350" w:rsidRDefault="008B550C" w:rsidP="00C43350">
      <w:pPr>
        <w:pStyle w:val="GlossaryRefH1"/>
      </w:pPr>
      <w:bookmarkStart w:id="184" w:name="_Toc135232603"/>
      <w:bookmarkStart w:id="185" w:name="_Toc158818288"/>
      <w:bookmarkEnd w:id="178"/>
      <w:r w:rsidRPr="00C43350">
        <w:lastRenderedPageBreak/>
        <w:t>Acronyms and abbreviations</w:t>
      </w:r>
      <w:bookmarkEnd w:id="184"/>
      <w:bookmarkEnd w:id="185"/>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267"/>
        <w:gridCol w:w="7371"/>
      </w:tblGrid>
      <w:tr w:rsidR="008D7E36" w14:paraId="2C49B9E9" w14:textId="77777777" w:rsidTr="00C43350">
        <w:trPr>
          <w:tblHeader/>
        </w:trPr>
        <w:tc>
          <w:tcPr>
            <w:tcW w:w="1176" w:type="pct"/>
            <w:shd w:val="clear" w:color="auto" w:fill="5C2946"/>
          </w:tcPr>
          <w:p w14:paraId="2F8A4E79" w14:textId="77777777" w:rsidR="008B550C" w:rsidRPr="00C43350" w:rsidRDefault="008B550C" w:rsidP="00C43350">
            <w:pPr>
              <w:pStyle w:val="TableHead"/>
            </w:pPr>
            <w:bookmarkStart w:id="186" w:name="_Hlk156294177"/>
            <w:r w:rsidRPr="00C43350">
              <w:t>Shortened term</w:t>
            </w:r>
          </w:p>
        </w:tc>
        <w:tc>
          <w:tcPr>
            <w:tcW w:w="3824" w:type="pct"/>
            <w:shd w:val="clear" w:color="auto" w:fill="5C2946"/>
          </w:tcPr>
          <w:p w14:paraId="67F139F7" w14:textId="77777777" w:rsidR="008B550C" w:rsidRPr="00C43350" w:rsidRDefault="008B550C" w:rsidP="00C43350">
            <w:pPr>
              <w:pStyle w:val="TableHead"/>
            </w:pPr>
            <w:r w:rsidRPr="00C43350">
              <w:t>Full term</w:t>
            </w:r>
          </w:p>
        </w:tc>
      </w:tr>
      <w:tr w:rsidR="008D7E36" w14:paraId="17F5A2E8" w14:textId="77777777" w:rsidTr="00C43350">
        <w:tc>
          <w:tcPr>
            <w:tcW w:w="1176" w:type="pct"/>
          </w:tcPr>
          <w:p w14:paraId="236DD8D1" w14:textId="3EA02B87" w:rsidR="002E20AC" w:rsidRPr="008D7E36" w:rsidRDefault="000379B0" w:rsidP="00C43350">
            <w:pPr>
              <w:pStyle w:val="TableText"/>
            </w:pPr>
            <w:r w:rsidRPr="008D7E36">
              <w:t>ADI</w:t>
            </w:r>
          </w:p>
        </w:tc>
        <w:tc>
          <w:tcPr>
            <w:tcW w:w="3824" w:type="pct"/>
          </w:tcPr>
          <w:p w14:paraId="4823941B" w14:textId="703331F0" w:rsidR="002E20AC" w:rsidRPr="008D7E36" w:rsidRDefault="000379B0" w:rsidP="00C43350">
            <w:pPr>
              <w:pStyle w:val="TableText"/>
            </w:pPr>
            <w:r w:rsidRPr="008D7E36">
              <w:t>Acceptable daily intake (for humans)</w:t>
            </w:r>
          </w:p>
        </w:tc>
      </w:tr>
      <w:tr w:rsidR="008D7E36" w14:paraId="0C03FB30" w14:textId="77777777" w:rsidTr="00C43350">
        <w:tc>
          <w:tcPr>
            <w:tcW w:w="1176" w:type="pct"/>
          </w:tcPr>
          <w:p w14:paraId="51CB6BC7" w14:textId="5E2E04D0" w:rsidR="008D7E36" w:rsidRPr="008D7E36" w:rsidRDefault="008D7E36" w:rsidP="00C43350">
            <w:pPr>
              <w:pStyle w:val="TableText"/>
            </w:pPr>
            <w:r>
              <w:t>AER</w:t>
            </w:r>
          </w:p>
        </w:tc>
        <w:tc>
          <w:tcPr>
            <w:tcW w:w="3824" w:type="pct"/>
          </w:tcPr>
          <w:p w14:paraId="03F29327" w14:textId="76D8E709" w:rsidR="008D7E36" w:rsidRPr="008D7E36" w:rsidRDefault="008D7E36" w:rsidP="00C43350">
            <w:pPr>
              <w:pStyle w:val="TableText"/>
            </w:pPr>
            <w:r>
              <w:t xml:space="preserve">Adverse </w:t>
            </w:r>
            <w:r w:rsidR="00853764">
              <w:t>experience report</w:t>
            </w:r>
          </w:p>
        </w:tc>
      </w:tr>
      <w:tr w:rsidR="008D7E36" w14:paraId="30DA37B0" w14:textId="77777777" w:rsidTr="00C43350">
        <w:tc>
          <w:tcPr>
            <w:tcW w:w="1176" w:type="pct"/>
          </w:tcPr>
          <w:p w14:paraId="7F7149A3" w14:textId="1E8B8E23" w:rsidR="008D7E36" w:rsidRPr="008D7E36" w:rsidRDefault="008D7E36" w:rsidP="00C43350">
            <w:pPr>
              <w:pStyle w:val="TableText"/>
            </w:pPr>
            <w:r w:rsidRPr="008D7E36">
              <w:t>AMR</w:t>
            </w:r>
          </w:p>
        </w:tc>
        <w:tc>
          <w:tcPr>
            <w:tcW w:w="3824" w:type="pct"/>
          </w:tcPr>
          <w:p w14:paraId="3822F9E9" w14:textId="3B61010F" w:rsidR="008D7E36" w:rsidRPr="008D7E36" w:rsidRDefault="008D7E36" w:rsidP="00C43350">
            <w:pPr>
              <w:pStyle w:val="TableText"/>
            </w:pPr>
            <w:r w:rsidRPr="008D7E36">
              <w:t>Antimicrobial resistance</w:t>
            </w:r>
          </w:p>
        </w:tc>
      </w:tr>
      <w:tr w:rsidR="008D7E36" w14:paraId="2D810998" w14:textId="77777777" w:rsidTr="00C43350">
        <w:tc>
          <w:tcPr>
            <w:tcW w:w="1176" w:type="pct"/>
          </w:tcPr>
          <w:p w14:paraId="4577629E" w14:textId="5C16B410" w:rsidR="002E20AC" w:rsidRPr="008D7E36" w:rsidRDefault="000379B0" w:rsidP="00C43350">
            <w:pPr>
              <w:pStyle w:val="TableText"/>
            </w:pPr>
            <w:proofErr w:type="spellStart"/>
            <w:r w:rsidRPr="008D7E36">
              <w:t>ARfD</w:t>
            </w:r>
            <w:proofErr w:type="spellEnd"/>
          </w:p>
        </w:tc>
        <w:tc>
          <w:tcPr>
            <w:tcW w:w="3824" w:type="pct"/>
          </w:tcPr>
          <w:p w14:paraId="100F140E" w14:textId="7931125A" w:rsidR="002E20AC" w:rsidRPr="008D7E36" w:rsidRDefault="000379B0" w:rsidP="00C43350">
            <w:pPr>
              <w:pStyle w:val="TableText"/>
            </w:pPr>
            <w:r w:rsidRPr="008D7E36">
              <w:t>Acute reference dose</w:t>
            </w:r>
          </w:p>
        </w:tc>
      </w:tr>
      <w:tr w:rsidR="008D7E36" w14:paraId="336B31C6" w14:textId="77777777" w:rsidTr="00C43350">
        <w:tc>
          <w:tcPr>
            <w:tcW w:w="1176" w:type="pct"/>
          </w:tcPr>
          <w:p w14:paraId="203026D1" w14:textId="1AFAF188" w:rsidR="008D7E36" w:rsidRPr="008D7E36" w:rsidRDefault="008D7E36" w:rsidP="00C43350">
            <w:pPr>
              <w:pStyle w:val="TableText"/>
            </w:pPr>
            <w:r>
              <w:t>ASTAG</w:t>
            </w:r>
          </w:p>
        </w:tc>
        <w:tc>
          <w:tcPr>
            <w:tcW w:w="3824" w:type="pct"/>
          </w:tcPr>
          <w:p w14:paraId="724DF2DE" w14:textId="21595A18" w:rsidR="008D7E36" w:rsidRPr="008D7E36" w:rsidRDefault="008D7E36" w:rsidP="00C43350">
            <w:pPr>
              <w:pStyle w:val="TableText"/>
            </w:pPr>
            <w:r w:rsidRPr="00A0526E">
              <w:t>Australian Strategic and Technical Advisory Group</w:t>
            </w:r>
          </w:p>
        </w:tc>
      </w:tr>
      <w:tr w:rsidR="008D7E36" w14:paraId="4F1CF434" w14:textId="77777777" w:rsidTr="00C43350">
        <w:tc>
          <w:tcPr>
            <w:tcW w:w="1176" w:type="pct"/>
          </w:tcPr>
          <w:p w14:paraId="3A56E58D" w14:textId="22C4A444" w:rsidR="008D7E36" w:rsidRPr="008D7E36" w:rsidRDefault="008D7E36" w:rsidP="00C43350">
            <w:pPr>
              <w:pStyle w:val="TableText"/>
            </w:pPr>
            <w:r>
              <w:t>BP</w:t>
            </w:r>
          </w:p>
        </w:tc>
        <w:tc>
          <w:tcPr>
            <w:tcW w:w="3824" w:type="pct"/>
          </w:tcPr>
          <w:p w14:paraId="32B1191B" w14:textId="4800767D" w:rsidR="008D7E36" w:rsidRPr="008D7E36" w:rsidRDefault="008D7E36" w:rsidP="00C43350">
            <w:pPr>
              <w:pStyle w:val="TableText"/>
            </w:pPr>
            <w:r>
              <w:t>British Pharmacopeia</w:t>
            </w:r>
          </w:p>
        </w:tc>
      </w:tr>
      <w:tr w:rsidR="008D7E36" w14:paraId="37819306" w14:textId="77777777" w:rsidTr="00C43350">
        <w:tc>
          <w:tcPr>
            <w:tcW w:w="1176" w:type="pct"/>
          </w:tcPr>
          <w:p w14:paraId="5BDD5C8D" w14:textId="26987C0F" w:rsidR="000379B0" w:rsidRPr="008D7E36" w:rsidRDefault="000379B0" w:rsidP="00C43350">
            <w:pPr>
              <w:pStyle w:val="TableText"/>
            </w:pPr>
            <w:proofErr w:type="spellStart"/>
            <w:r w:rsidRPr="008D7E36">
              <w:t>Bw</w:t>
            </w:r>
            <w:proofErr w:type="spellEnd"/>
          </w:p>
        </w:tc>
        <w:tc>
          <w:tcPr>
            <w:tcW w:w="3824" w:type="pct"/>
          </w:tcPr>
          <w:p w14:paraId="5634828F" w14:textId="06BAE927" w:rsidR="000379B0" w:rsidRPr="008D7E36" w:rsidRDefault="000379B0" w:rsidP="00C43350">
            <w:pPr>
              <w:pStyle w:val="TableText"/>
            </w:pPr>
            <w:r w:rsidRPr="008D7E36">
              <w:t>Bodyweight</w:t>
            </w:r>
          </w:p>
        </w:tc>
      </w:tr>
      <w:tr w:rsidR="008D7E36" w14:paraId="0FE0CBF0" w14:textId="77777777" w:rsidTr="00C43350">
        <w:tc>
          <w:tcPr>
            <w:tcW w:w="1176" w:type="pct"/>
          </w:tcPr>
          <w:p w14:paraId="1B7F2CDC" w14:textId="05E36730" w:rsidR="008D7E36" w:rsidRPr="008D7E36" w:rsidRDefault="008D7E36" w:rsidP="00C43350">
            <w:pPr>
              <w:pStyle w:val="TableText"/>
            </w:pPr>
            <w:r>
              <w:t>EDI</w:t>
            </w:r>
          </w:p>
        </w:tc>
        <w:tc>
          <w:tcPr>
            <w:tcW w:w="3824" w:type="pct"/>
          </w:tcPr>
          <w:p w14:paraId="78E8A3CC" w14:textId="410444FD" w:rsidR="008D7E36" w:rsidRPr="008D7E36" w:rsidRDefault="008D7E36" w:rsidP="00C43350">
            <w:pPr>
              <w:pStyle w:val="TableText"/>
            </w:pPr>
            <w:r>
              <w:t xml:space="preserve">Estimated </w:t>
            </w:r>
            <w:r w:rsidR="00853764">
              <w:t>daily intake</w:t>
            </w:r>
          </w:p>
        </w:tc>
      </w:tr>
      <w:tr w:rsidR="008D7E36" w14:paraId="59C80210" w14:textId="77777777" w:rsidTr="00C43350">
        <w:tc>
          <w:tcPr>
            <w:tcW w:w="1176" w:type="pct"/>
          </w:tcPr>
          <w:p w14:paraId="0EDCC676" w14:textId="5BF2BC7F" w:rsidR="008D7E36" w:rsidRPr="008D7E36" w:rsidRDefault="008D7E36" w:rsidP="00C43350">
            <w:pPr>
              <w:pStyle w:val="TableText"/>
            </w:pPr>
            <w:r>
              <w:t>ESI</w:t>
            </w:r>
          </w:p>
        </w:tc>
        <w:tc>
          <w:tcPr>
            <w:tcW w:w="3824" w:type="pct"/>
          </w:tcPr>
          <w:p w14:paraId="46B646D4" w14:textId="52994919" w:rsidR="008D7E36" w:rsidRPr="008D7E36" w:rsidRDefault="008D7E36" w:rsidP="00C43350">
            <w:pPr>
              <w:pStyle w:val="TableText"/>
            </w:pPr>
            <w:r>
              <w:t xml:space="preserve">Export </w:t>
            </w:r>
            <w:r w:rsidR="00853764">
              <w:t>slaughter interval</w:t>
            </w:r>
          </w:p>
        </w:tc>
      </w:tr>
      <w:tr w:rsidR="008D7E36" w:rsidRPr="003A1D49" w14:paraId="730BCA0F" w14:textId="77777777" w:rsidTr="00C43350">
        <w:tc>
          <w:tcPr>
            <w:tcW w:w="1176" w:type="pct"/>
          </w:tcPr>
          <w:p w14:paraId="0C393EDF" w14:textId="6BE7C352" w:rsidR="000379B0" w:rsidRPr="00A97119" w:rsidRDefault="000379B0" w:rsidP="00C43350">
            <w:pPr>
              <w:pStyle w:val="TableText"/>
            </w:pPr>
            <w:r w:rsidRPr="00A97119">
              <w:t>FAO</w:t>
            </w:r>
          </w:p>
        </w:tc>
        <w:tc>
          <w:tcPr>
            <w:tcW w:w="3824" w:type="pct"/>
          </w:tcPr>
          <w:p w14:paraId="0B2DB1D4" w14:textId="0092B6CA" w:rsidR="000379B0" w:rsidRPr="00A97119" w:rsidRDefault="000379B0" w:rsidP="00C43350">
            <w:pPr>
              <w:pStyle w:val="TableText"/>
            </w:pPr>
            <w:r w:rsidRPr="00A97119">
              <w:t>Food and Agriculture Organization of the United Nations</w:t>
            </w:r>
          </w:p>
        </w:tc>
      </w:tr>
      <w:tr w:rsidR="008D7E36" w14:paraId="3FBE834D" w14:textId="77777777" w:rsidTr="00C43350">
        <w:tc>
          <w:tcPr>
            <w:tcW w:w="1176" w:type="pct"/>
          </w:tcPr>
          <w:p w14:paraId="26539C8F" w14:textId="6825E7B9" w:rsidR="000379B0" w:rsidRDefault="000379B0" w:rsidP="00C43350">
            <w:pPr>
              <w:pStyle w:val="TableText"/>
            </w:pPr>
            <w:r w:rsidRPr="00E663E9">
              <w:t>G</w:t>
            </w:r>
          </w:p>
        </w:tc>
        <w:tc>
          <w:tcPr>
            <w:tcW w:w="3824" w:type="pct"/>
          </w:tcPr>
          <w:p w14:paraId="70A9DE35" w14:textId="1B3179CF" w:rsidR="000379B0" w:rsidRDefault="000379B0" w:rsidP="00C43350">
            <w:pPr>
              <w:pStyle w:val="TableText"/>
            </w:pPr>
            <w:r w:rsidRPr="00E663E9">
              <w:t>Gram</w:t>
            </w:r>
          </w:p>
        </w:tc>
      </w:tr>
      <w:tr w:rsidR="008D7E36" w14:paraId="523B089A" w14:textId="77777777" w:rsidTr="00C43350">
        <w:tc>
          <w:tcPr>
            <w:tcW w:w="1176" w:type="pct"/>
          </w:tcPr>
          <w:p w14:paraId="12B8FF41" w14:textId="30FBF555" w:rsidR="000379B0" w:rsidRDefault="000379B0" w:rsidP="00C43350">
            <w:pPr>
              <w:pStyle w:val="TableText"/>
            </w:pPr>
            <w:r w:rsidRPr="00E663E9">
              <w:t>Kg</w:t>
            </w:r>
          </w:p>
        </w:tc>
        <w:tc>
          <w:tcPr>
            <w:tcW w:w="3824" w:type="pct"/>
          </w:tcPr>
          <w:p w14:paraId="5E25264C" w14:textId="7FB4F5D4" w:rsidR="000379B0" w:rsidRDefault="000379B0" w:rsidP="00C43350">
            <w:pPr>
              <w:pStyle w:val="TableText"/>
            </w:pPr>
            <w:r w:rsidRPr="00E663E9">
              <w:t>Kilogram</w:t>
            </w:r>
          </w:p>
        </w:tc>
      </w:tr>
      <w:tr w:rsidR="008D7E36" w14:paraId="68BB6524" w14:textId="77777777" w:rsidTr="00C43350">
        <w:tc>
          <w:tcPr>
            <w:tcW w:w="1176" w:type="pct"/>
          </w:tcPr>
          <w:p w14:paraId="3DC5D15D" w14:textId="49275D1B" w:rsidR="000379B0" w:rsidRDefault="000379B0" w:rsidP="00C43350">
            <w:pPr>
              <w:pStyle w:val="TableText"/>
            </w:pPr>
            <w:r w:rsidRPr="00E663E9">
              <w:t>L</w:t>
            </w:r>
          </w:p>
        </w:tc>
        <w:tc>
          <w:tcPr>
            <w:tcW w:w="3824" w:type="pct"/>
          </w:tcPr>
          <w:p w14:paraId="68FDB952" w14:textId="56F72F88" w:rsidR="000379B0" w:rsidRDefault="000379B0" w:rsidP="00C43350">
            <w:pPr>
              <w:pStyle w:val="TableText"/>
            </w:pPr>
            <w:r w:rsidRPr="00E663E9">
              <w:t>Litre</w:t>
            </w:r>
          </w:p>
        </w:tc>
      </w:tr>
      <w:tr w:rsidR="008D7E36" w:rsidRPr="00585270" w14:paraId="4797A4C0" w14:textId="77777777" w:rsidTr="00C43350">
        <w:tc>
          <w:tcPr>
            <w:tcW w:w="1176" w:type="pct"/>
          </w:tcPr>
          <w:p w14:paraId="006AE526" w14:textId="77777777" w:rsidR="000379B0" w:rsidRPr="00585270" w:rsidRDefault="000379B0" w:rsidP="00C43350">
            <w:pPr>
              <w:pStyle w:val="TableText"/>
            </w:pPr>
            <w:r w:rsidRPr="00585270">
              <w:t>Mg</w:t>
            </w:r>
          </w:p>
        </w:tc>
        <w:tc>
          <w:tcPr>
            <w:tcW w:w="3824" w:type="pct"/>
          </w:tcPr>
          <w:p w14:paraId="1FE5A27F" w14:textId="77777777" w:rsidR="000379B0" w:rsidRPr="00585270" w:rsidRDefault="000379B0" w:rsidP="00C43350">
            <w:pPr>
              <w:pStyle w:val="TableText"/>
            </w:pPr>
            <w:r w:rsidRPr="00585270">
              <w:t>Milligram</w:t>
            </w:r>
          </w:p>
        </w:tc>
      </w:tr>
      <w:tr w:rsidR="008D7E36" w:rsidRPr="00585270" w14:paraId="5CA86362" w14:textId="77777777" w:rsidTr="00C43350">
        <w:tc>
          <w:tcPr>
            <w:tcW w:w="1176" w:type="pct"/>
          </w:tcPr>
          <w:p w14:paraId="283D649C" w14:textId="4BF3DD47" w:rsidR="008D7E36" w:rsidRPr="00585270" w:rsidRDefault="008D7E36" w:rsidP="00C43350">
            <w:pPr>
              <w:pStyle w:val="TableText"/>
            </w:pPr>
            <w:r>
              <w:t>MIC</w:t>
            </w:r>
          </w:p>
        </w:tc>
        <w:tc>
          <w:tcPr>
            <w:tcW w:w="3824" w:type="pct"/>
          </w:tcPr>
          <w:p w14:paraId="56497F60" w14:textId="36B70D21" w:rsidR="008D7E36" w:rsidRPr="00585270" w:rsidRDefault="008D7E36" w:rsidP="00C43350">
            <w:pPr>
              <w:pStyle w:val="TableText"/>
            </w:pPr>
            <w:r>
              <w:t xml:space="preserve">Minimum </w:t>
            </w:r>
            <w:r w:rsidR="00853764">
              <w:t>inhibitory concentration</w:t>
            </w:r>
          </w:p>
        </w:tc>
      </w:tr>
      <w:tr w:rsidR="008D7E36" w:rsidRPr="00585270" w14:paraId="0EDB26E9" w14:textId="77777777" w:rsidTr="00C43350">
        <w:tc>
          <w:tcPr>
            <w:tcW w:w="1176" w:type="pct"/>
          </w:tcPr>
          <w:p w14:paraId="1F982B16" w14:textId="77777777" w:rsidR="000379B0" w:rsidRPr="00585270" w:rsidRDefault="000379B0" w:rsidP="00C43350">
            <w:pPr>
              <w:pStyle w:val="TableText"/>
            </w:pPr>
            <w:r w:rsidRPr="00585270">
              <w:t>mL</w:t>
            </w:r>
          </w:p>
        </w:tc>
        <w:tc>
          <w:tcPr>
            <w:tcW w:w="3824" w:type="pct"/>
          </w:tcPr>
          <w:p w14:paraId="2BB9B82B" w14:textId="77777777" w:rsidR="000379B0" w:rsidRPr="00585270" w:rsidRDefault="000379B0" w:rsidP="00C43350">
            <w:pPr>
              <w:pStyle w:val="TableText"/>
            </w:pPr>
            <w:r w:rsidRPr="00585270">
              <w:t>Millilitre</w:t>
            </w:r>
          </w:p>
        </w:tc>
      </w:tr>
      <w:tr w:rsidR="008D7E36" w:rsidRPr="00585270" w14:paraId="2E21863C" w14:textId="77777777" w:rsidTr="00C43350">
        <w:tc>
          <w:tcPr>
            <w:tcW w:w="1176" w:type="pct"/>
          </w:tcPr>
          <w:p w14:paraId="08707198" w14:textId="77777777" w:rsidR="000379B0" w:rsidRPr="00585270" w:rsidRDefault="000379B0" w:rsidP="00C43350">
            <w:pPr>
              <w:pStyle w:val="TableText"/>
            </w:pPr>
            <w:r w:rsidRPr="00585270">
              <w:t>MRL</w:t>
            </w:r>
          </w:p>
        </w:tc>
        <w:tc>
          <w:tcPr>
            <w:tcW w:w="3824" w:type="pct"/>
          </w:tcPr>
          <w:p w14:paraId="5CC2897E" w14:textId="5037CD37" w:rsidR="000379B0" w:rsidRPr="00585270" w:rsidRDefault="000379B0" w:rsidP="00C43350">
            <w:pPr>
              <w:pStyle w:val="TableText"/>
            </w:pPr>
            <w:r w:rsidRPr="00585270">
              <w:t xml:space="preserve">Maximum </w:t>
            </w:r>
            <w:r w:rsidR="00853764">
              <w:t>r</w:t>
            </w:r>
            <w:r w:rsidR="00853764" w:rsidRPr="00585270">
              <w:t xml:space="preserve">esidue </w:t>
            </w:r>
            <w:r w:rsidR="00853764">
              <w:t>l</w:t>
            </w:r>
            <w:r w:rsidR="00853764" w:rsidRPr="00585270">
              <w:t>imit</w:t>
            </w:r>
          </w:p>
        </w:tc>
      </w:tr>
      <w:tr w:rsidR="008D7E36" w:rsidRPr="00585270" w14:paraId="3E11E5E0" w14:textId="77777777" w:rsidTr="00C43350">
        <w:tc>
          <w:tcPr>
            <w:tcW w:w="1176" w:type="pct"/>
          </w:tcPr>
          <w:p w14:paraId="57276F02" w14:textId="77777777" w:rsidR="000379B0" w:rsidRPr="00585270" w:rsidRDefault="000379B0" w:rsidP="00C43350">
            <w:pPr>
              <w:pStyle w:val="TableText"/>
            </w:pPr>
            <w:r w:rsidRPr="00585270">
              <w:t>NEDI</w:t>
            </w:r>
          </w:p>
        </w:tc>
        <w:tc>
          <w:tcPr>
            <w:tcW w:w="3824" w:type="pct"/>
          </w:tcPr>
          <w:p w14:paraId="1EDA76F2" w14:textId="06EB610B" w:rsidR="000379B0" w:rsidRPr="00585270" w:rsidRDefault="000379B0" w:rsidP="00C43350">
            <w:pPr>
              <w:pStyle w:val="TableText"/>
            </w:pPr>
            <w:r w:rsidRPr="00585270">
              <w:t xml:space="preserve">National </w:t>
            </w:r>
            <w:r w:rsidR="00853764">
              <w:t>e</w:t>
            </w:r>
            <w:r w:rsidR="00853764" w:rsidRPr="00585270">
              <w:t xml:space="preserve">stimated </w:t>
            </w:r>
            <w:r w:rsidRPr="00585270">
              <w:t>Daily Intake</w:t>
            </w:r>
          </w:p>
        </w:tc>
      </w:tr>
      <w:tr w:rsidR="008D7E36" w:rsidRPr="00585270" w14:paraId="623D7329" w14:textId="77777777" w:rsidTr="00C43350">
        <w:tc>
          <w:tcPr>
            <w:tcW w:w="1176" w:type="pct"/>
          </w:tcPr>
          <w:p w14:paraId="4FAC928C" w14:textId="77777777" w:rsidR="000379B0" w:rsidRPr="00585270" w:rsidRDefault="000379B0" w:rsidP="00C43350">
            <w:pPr>
              <w:pStyle w:val="TableText"/>
            </w:pPr>
            <w:r w:rsidRPr="00585270">
              <w:t>NESTI</w:t>
            </w:r>
          </w:p>
        </w:tc>
        <w:tc>
          <w:tcPr>
            <w:tcW w:w="3824" w:type="pct"/>
          </w:tcPr>
          <w:p w14:paraId="2A7EEC56" w14:textId="32E975F7" w:rsidR="000379B0" w:rsidRPr="00585270" w:rsidRDefault="000379B0" w:rsidP="00C43350">
            <w:pPr>
              <w:pStyle w:val="TableText"/>
            </w:pPr>
            <w:r w:rsidRPr="00585270">
              <w:t xml:space="preserve">National Estimated </w:t>
            </w:r>
            <w:r w:rsidR="00853764" w:rsidRPr="00585270">
              <w:t>Short-Term</w:t>
            </w:r>
            <w:r w:rsidRPr="00585270">
              <w:t xml:space="preserve"> Intake</w:t>
            </w:r>
          </w:p>
        </w:tc>
      </w:tr>
      <w:tr w:rsidR="008D7E36" w:rsidRPr="00585270" w14:paraId="5EB69F18" w14:textId="77777777" w:rsidTr="00C43350">
        <w:tc>
          <w:tcPr>
            <w:tcW w:w="1176" w:type="pct"/>
          </w:tcPr>
          <w:p w14:paraId="29B925B2" w14:textId="77777777" w:rsidR="000379B0" w:rsidRPr="00585270" w:rsidRDefault="000379B0" w:rsidP="00C43350">
            <w:pPr>
              <w:pStyle w:val="TableText"/>
            </w:pPr>
            <w:r w:rsidRPr="00585270">
              <w:t>NOAEL</w:t>
            </w:r>
          </w:p>
        </w:tc>
        <w:tc>
          <w:tcPr>
            <w:tcW w:w="3824" w:type="pct"/>
          </w:tcPr>
          <w:p w14:paraId="3EE7D3D6" w14:textId="77777777" w:rsidR="000379B0" w:rsidRPr="00585270" w:rsidRDefault="000379B0" w:rsidP="00C43350">
            <w:pPr>
              <w:pStyle w:val="TableText"/>
            </w:pPr>
            <w:r w:rsidRPr="00585270">
              <w:t>No Observed Adverse Effect Level</w:t>
            </w:r>
          </w:p>
        </w:tc>
      </w:tr>
      <w:tr w:rsidR="008D7E36" w:rsidRPr="00585270" w14:paraId="3D6124F0" w14:textId="77777777" w:rsidTr="00C43350">
        <w:tc>
          <w:tcPr>
            <w:tcW w:w="1176" w:type="pct"/>
          </w:tcPr>
          <w:p w14:paraId="7EDF09F0" w14:textId="1EDDB412" w:rsidR="008D7E36" w:rsidRPr="00585270" w:rsidRDefault="008D7E36" w:rsidP="00C43350">
            <w:pPr>
              <w:pStyle w:val="TableText"/>
            </w:pPr>
            <w:r>
              <w:t xml:space="preserve">PAE </w:t>
            </w:r>
          </w:p>
        </w:tc>
        <w:tc>
          <w:tcPr>
            <w:tcW w:w="3824" w:type="pct"/>
          </w:tcPr>
          <w:p w14:paraId="4D8D3618" w14:textId="381CC606" w:rsidR="008D7E36" w:rsidRPr="00585270" w:rsidRDefault="008D7E36" w:rsidP="00C43350">
            <w:pPr>
              <w:pStyle w:val="TableText"/>
            </w:pPr>
            <w:r>
              <w:rPr>
                <w:lang w:val="en-US"/>
              </w:rPr>
              <w:t xml:space="preserve">Post-antibiotic </w:t>
            </w:r>
            <w:r w:rsidR="00853764">
              <w:rPr>
                <w:lang w:val="en-US"/>
              </w:rPr>
              <w:t>effect</w:t>
            </w:r>
          </w:p>
        </w:tc>
      </w:tr>
      <w:tr w:rsidR="008D7E36" w:rsidRPr="00585270" w14:paraId="0D69ECDB" w14:textId="77777777" w:rsidTr="00C43350">
        <w:tc>
          <w:tcPr>
            <w:tcW w:w="1176" w:type="pct"/>
          </w:tcPr>
          <w:p w14:paraId="23A2CBA0" w14:textId="02A0E0A3" w:rsidR="008D7E36" w:rsidRDefault="008D7E36" w:rsidP="00C43350">
            <w:pPr>
              <w:pStyle w:val="TableText"/>
            </w:pPr>
            <w:r>
              <w:t>USP</w:t>
            </w:r>
          </w:p>
        </w:tc>
        <w:tc>
          <w:tcPr>
            <w:tcW w:w="3824" w:type="pct"/>
          </w:tcPr>
          <w:p w14:paraId="376A8B2C" w14:textId="484AD5EE" w:rsidR="008D7E36" w:rsidRPr="008D7E36" w:rsidRDefault="008D7E36" w:rsidP="00C43350">
            <w:pPr>
              <w:pStyle w:val="TableText"/>
              <w:rPr>
                <w:b/>
                <w:bCs/>
                <w:lang w:val="en-US"/>
              </w:rPr>
            </w:pPr>
            <w:r>
              <w:t>US Pharmacopeia</w:t>
            </w:r>
          </w:p>
        </w:tc>
      </w:tr>
      <w:tr w:rsidR="008D7E36" w:rsidRPr="00585270" w14:paraId="1463341E" w14:textId="77777777" w:rsidTr="00C43350">
        <w:tc>
          <w:tcPr>
            <w:tcW w:w="1176" w:type="pct"/>
          </w:tcPr>
          <w:p w14:paraId="58F4EC2C" w14:textId="3726F183" w:rsidR="008D7E36" w:rsidRDefault="008D7E36" w:rsidP="00C43350">
            <w:pPr>
              <w:pStyle w:val="TableText"/>
            </w:pPr>
            <w:r>
              <w:t>WHP</w:t>
            </w:r>
          </w:p>
        </w:tc>
        <w:tc>
          <w:tcPr>
            <w:tcW w:w="3824" w:type="pct"/>
          </w:tcPr>
          <w:p w14:paraId="47153A1D" w14:textId="7736B010" w:rsidR="008D7E36" w:rsidRDefault="008D7E36" w:rsidP="00C43350">
            <w:pPr>
              <w:pStyle w:val="TableText"/>
            </w:pPr>
            <w:r>
              <w:t xml:space="preserve">Withholding </w:t>
            </w:r>
            <w:r w:rsidR="00853764">
              <w:t>period</w:t>
            </w:r>
          </w:p>
        </w:tc>
      </w:tr>
      <w:bookmarkEnd w:id="186"/>
    </w:tbl>
    <w:p w14:paraId="517CEFC3" w14:textId="77777777" w:rsidR="009D452E" w:rsidRDefault="009D452E">
      <w:pPr>
        <w:pStyle w:val="NormalText"/>
        <w:tabs>
          <w:tab w:val="left" w:pos="1361"/>
        </w:tabs>
        <w:sectPr w:rsidR="009D452E" w:rsidSect="00DF3A52">
          <w:headerReference w:type="even" r:id="rId55"/>
          <w:pgSz w:w="11906" w:h="16838" w:code="9"/>
          <w:pgMar w:top="2835" w:right="1134" w:bottom="1134" w:left="1134" w:header="1701" w:footer="680" w:gutter="0"/>
          <w:cols w:space="708"/>
          <w:docGrid w:linePitch="360"/>
        </w:sectPr>
      </w:pPr>
    </w:p>
    <w:p w14:paraId="26E1F57C" w14:textId="77777777" w:rsidR="009D452E" w:rsidRPr="00C43350" w:rsidRDefault="002E20AC" w:rsidP="00C43350">
      <w:pPr>
        <w:pStyle w:val="GlossaryRefH1"/>
      </w:pPr>
      <w:bookmarkStart w:id="187" w:name="_Toc231963196"/>
      <w:bookmarkStart w:id="188" w:name="_Toc414373850"/>
      <w:bookmarkStart w:id="189" w:name="_Toc135232605"/>
      <w:bookmarkStart w:id="190" w:name="_Toc158818289"/>
      <w:bookmarkEnd w:id="179"/>
      <w:r w:rsidRPr="00C43350">
        <w:lastRenderedPageBreak/>
        <w:t>Reference</w:t>
      </w:r>
      <w:bookmarkEnd w:id="187"/>
      <w:bookmarkEnd w:id="188"/>
      <w:r w:rsidR="002A3239" w:rsidRPr="00C43350">
        <w:t>s</w:t>
      </w:r>
      <w:bookmarkEnd w:id="189"/>
      <w:bookmarkEnd w:id="190"/>
    </w:p>
    <w:p w14:paraId="559E40CF" w14:textId="5A01C106" w:rsidR="00EB2BC3" w:rsidRDefault="00EB2BC3" w:rsidP="00C43350">
      <w:pPr>
        <w:pStyle w:val="APVMAText"/>
      </w:pPr>
      <w:r>
        <w:t xml:space="preserve">Anonymous (1973-1979) A milk residue study after treatment of lactating cows with </w:t>
      </w:r>
      <w:proofErr w:type="spellStart"/>
      <w:r>
        <w:t>neopen</w:t>
      </w:r>
      <w:proofErr w:type="spellEnd"/>
      <w:r>
        <w:t xml:space="preserve">. </w:t>
      </w:r>
      <w:r w:rsidR="0083752F">
        <w:t>(Unpublished)</w:t>
      </w:r>
    </w:p>
    <w:p w14:paraId="4B5F16E4" w14:textId="4B06B360" w:rsidR="00EB2BC3" w:rsidRDefault="00EB2BC3" w:rsidP="00C43350">
      <w:pPr>
        <w:pStyle w:val="APVMAText"/>
      </w:pPr>
      <w:r>
        <w:t xml:space="preserve">APVMA (2023) </w:t>
      </w:r>
      <w:r w:rsidR="0083752F" w:rsidRPr="00D07FA7">
        <w:t>Acceptable daily intakes for agricultural and veterinary chemicals</w:t>
      </w:r>
      <w:r w:rsidR="00EE5406">
        <w:t>.</w:t>
      </w:r>
      <w:r w:rsidR="0083752F">
        <w:t xml:space="preserve"> </w:t>
      </w:r>
      <w:r w:rsidR="00EE5406">
        <w:t>L</w:t>
      </w:r>
      <w:r w:rsidR="0083752F">
        <w:t>ast accessed: 6 February 2024.</w:t>
      </w:r>
      <w:r>
        <w:t xml:space="preserve"> </w:t>
      </w:r>
      <w:hyperlink r:id="rId56" w:history="1">
        <w:r w:rsidR="0083752F" w:rsidRPr="003F5B60">
          <w:rPr>
            <w:rStyle w:val="Hyperlink"/>
          </w:rPr>
          <w:t>https://www.apvma.gov.au/chemicals-and-products/health-based-guidance-values/ADI</w:t>
        </w:r>
      </w:hyperlink>
    </w:p>
    <w:p w14:paraId="59027806" w14:textId="36313863" w:rsidR="00EB2BC3" w:rsidRDefault="00EB2BC3" w:rsidP="00C43350">
      <w:pPr>
        <w:pStyle w:val="APVMAText"/>
      </w:pPr>
      <w:r>
        <w:t xml:space="preserve">APVMA (2023) </w:t>
      </w:r>
      <w:r w:rsidR="0083752F" w:rsidRPr="00D07FA7">
        <w:t>Veterinary labelling code</w:t>
      </w:r>
      <w:r w:rsidR="0083752F">
        <w:rPr>
          <w:rStyle w:val="Hyperlink"/>
        </w:rPr>
        <w:t>.</w:t>
      </w:r>
      <w:r>
        <w:t xml:space="preserve"> </w:t>
      </w:r>
      <w:r w:rsidR="00EE5406">
        <w:t>L</w:t>
      </w:r>
      <w:r>
        <w:t>ast access</w:t>
      </w:r>
      <w:r w:rsidR="00EE5406">
        <w:t>ed</w:t>
      </w:r>
      <w:r w:rsidR="0083752F">
        <w:t>:</w:t>
      </w:r>
      <w:r>
        <w:t xml:space="preserve"> </w:t>
      </w:r>
      <w:r w:rsidR="00EE5406">
        <w:t xml:space="preserve">6 February 2024. </w:t>
      </w:r>
      <w:hyperlink r:id="rId57" w:history="1">
        <w:r w:rsidR="00EE5406" w:rsidRPr="003F5B60">
          <w:rPr>
            <w:rStyle w:val="Hyperlink"/>
          </w:rPr>
          <w:t>https://www.apvma.gov.au/registrations-and-permits/apvma-labelling-codes/VLC</w:t>
        </w:r>
      </w:hyperlink>
    </w:p>
    <w:p w14:paraId="418262BE" w14:textId="592A4A9D" w:rsidR="00EB2BC3" w:rsidRDefault="00EB2BC3" w:rsidP="00C43350">
      <w:pPr>
        <w:pStyle w:val="APVMAText"/>
      </w:pPr>
      <w:r>
        <w:t xml:space="preserve">ASTAG (2018). </w:t>
      </w:r>
      <w:r w:rsidR="00EE5406" w:rsidRPr="00D07FA7">
        <w:t>Importance Ratings and Summary of Antibacterial Uses in Human and Animal Health in Australia</w:t>
      </w:r>
      <w:r w:rsidR="00EE5406">
        <w:t>. Last</w:t>
      </w:r>
      <w:r>
        <w:t xml:space="preserve"> accessed:</w:t>
      </w:r>
      <w:r w:rsidR="00EE5406">
        <w:t xml:space="preserve"> 6 February 2024. </w:t>
      </w:r>
      <w:hyperlink r:id="rId58" w:history="1">
        <w:r w:rsidR="00EE5406" w:rsidRPr="003F5B60">
          <w:rPr>
            <w:rStyle w:val="Hyperlink"/>
          </w:rPr>
          <w:t>https://www.amr.gov.au/resources/importance-ratings-and-summary-antibacterial-uses-human-and-animal-health-australia</w:t>
        </w:r>
      </w:hyperlink>
    </w:p>
    <w:p w14:paraId="6807CF22" w14:textId="5DDABCB4" w:rsidR="00EB2BC3" w:rsidRDefault="00EB2BC3" w:rsidP="00C43350">
      <w:pPr>
        <w:pStyle w:val="APVMAText"/>
      </w:pPr>
      <w:r>
        <w:t xml:space="preserve">AVA (2017) </w:t>
      </w:r>
      <w:r w:rsidR="00EE5406" w:rsidRPr="00D07FA7">
        <w:t>Veterinary use of antibiotics highly important to human health</w:t>
      </w:r>
      <w:r w:rsidR="00EE5406">
        <w:t>. L</w:t>
      </w:r>
      <w:r>
        <w:t>ast accessed:</w:t>
      </w:r>
      <w:r w:rsidR="00EE5406">
        <w:t xml:space="preserve"> 6 February 2024. </w:t>
      </w:r>
      <w:hyperlink r:id="rId59" w:history="1">
        <w:r w:rsidR="00EE5406" w:rsidRPr="003F5B60">
          <w:rPr>
            <w:rStyle w:val="Hyperlink"/>
          </w:rPr>
          <w:t>https://www.ava.com.au/siteassets/resources/fighting-antimicrobial-resistance/veterinary-use-of-antibiotics-critical-to-human-health.pdf</w:t>
        </w:r>
      </w:hyperlink>
    </w:p>
    <w:p w14:paraId="7EAA4CC3" w14:textId="53BF283A" w:rsidR="00EB2BC3" w:rsidRDefault="00EB2BC3" w:rsidP="00C43350">
      <w:pPr>
        <w:pStyle w:val="APVMAText"/>
      </w:pPr>
      <w:r>
        <w:t xml:space="preserve">AVA prescribing guidelines (2023) </w:t>
      </w:r>
      <w:r w:rsidR="00EE5406" w:rsidRPr="00D07FA7">
        <w:t xml:space="preserve">Guidelines for prescribing, </w:t>
      </w:r>
      <w:proofErr w:type="gramStart"/>
      <w:r w:rsidR="00EE5406" w:rsidRPr="00D07FA7">
        <w:t>authorising</w:t>
      </w:r>
      <w:proofErr w:type="gramEnd"/>
      <w:r w:rsidR="00EE5406" w:rsidRPr="00D07FA7">
        <w:t xml:space="preserve"> and dispensing veterinary medicines</w:t>
      </w:r>
      <w:r w:rsidR="00EE5406">
        <w:t>. Last</w:t>
      </w:r>
      <w:r>
        <w:t xml:space="preserve"> accessed: </w:t>
      </w:r>
      <w:r w:rsidR="00EE5406">
        <w:t xml:space="preserve">6 February 2024. </w:t>
      </w:r>
      <w:hyperlink r:id="rId60" w:history="1">
        <w:r w:rsidR="00EE5406" w:rsidRPr="003F5B60">
          <w:rPr>
            <w:rStyle w:val="Hyperlink"/>
          </w:rPr>
          <w:t>https://www.ava.com.au/siteassets/resources/prescribing-guidelines/guidelines-for-prescribing-authorising-and-dispensing-veterinary-medicines-october-2023.pdf</w:t>
        </w:r>
      </w:hyperlink>
    </w:p>
    <w:p w14:paraId="1F6C794A" w14:textId="731DC7EF" w:rsidR="00DA18C6" w:rsidRDefault="00DA18C6" w:rsidP="00C43350">
      <w:pPr>
        <w:pStyle w:val="APVMAText"/>
      </w:pPr>
      <w:proofErr w:type="spellStart"/>
      <w:r w:rsidRPr="00DA18C6">
        <w:t>Barbiers</w:t>
      </w:r>
      <w:proofErr w:type="spellEnd"/>
      <w:r w:rsidRPr="00DA18C6">
        <w:t xml:space="preserve"> AR, Kleckner MD</w:t>
      </w:r>
      <w:r w:rsidR="00EE5406">
        <w:t xml:space="preserve"> and</w:t>
      </w:r>
      <w:r w:rsidRPr="00DA18C6">
        <w:t xml:space="preserve"> </w:t>
      </w:r>
      <w:proofErr w:type="spellStart"/>
      <w:r w:rsidRPr="00DA18C6">
        <w:t>Weyhmiller</w:t>
      </w:r>
      <w:proofErr w:type="spellEnd"/>
      <w:r w:rsidRPr="00DA18C6">
        <w:t xml:space="preserve"> JP</w:t>
      </w:r>
      <w:r>
        <w:t xml:space="preserve"> (</w:t>
      </w:r>
      <w:r w:rsidRPr="00DA18C6">
        <w:t>1965</w:t>
      </w:r>
      <w:r>
        <w:t xml:space="preserve">) </w:t>
      </w:r>
      <w:r w:rsidRPr="00DA18C6">
        <w:t xml:space="preserve">Residues </w:t>
      </w:r>
      <w:r w:rsidR="00EE5406" w:rsidRPr="00DA18C6">
        <w:t>in</w:t>
      </w:r>
      <w:r w:rsidRPr="00DA18C6">
        <w:t xml:space="preserve"> Milk from Dairy Cows Following Intramuscular, Intravenous </w:t>
      </w:r>
      <w:r>
        <w:t>a</w:t>
      </w:r>
      <w:r w:rsidRPr="00DA18C6">
        <w:t xml:space="preserve">nd Oral Administration </w:t>
      </w:r>
      <w:r>
        <w:t>of</w:t>
      </w:r>
      <w:r w:rsidRPr="00DA18C6">
        <w:t xml:space="preserve"> Neomycin</w:t>
      </w:r>
      <w:r>
        <w:t>. (Unpublished)</w:t>
      </w:r>
    </w:p>
    <w:p w14:paraId="569202E6" w14:textId="2BEA35F1" w:rsidR="008941B6" w:rsidRDefault="008941B6" w:rsidP="00C43350">
      <w:pPr>
        <w:pStyle w:val="APVMAText"/>
      </w:pPr>
      <w:r w:rsidRPr="008941B6">
        <w:t>Bentley OL</w:t>
      </w:r>
      <w:r w:rsidR="00EE5406">
        <w:t xml:space="preserve"> and</w:t>
      </w:r>
      <w:r w:rsidRPr="008941B6">
        <w:t xml:space="preserve"> Williams BJ</w:t>
      </w:r>
      <w:r>
        <w:t xml:space="preserve"> (</w:t>
      </w:r>
      <w:r w:rsidRPr="008941B6">
        <w:t>1966</w:t>
      </w:r>
      <w:r>
        <w:t xml:space="preserve">) </w:t>
      </w:r>
      <w:r w:rsidRPr="008941B6">
        <w:t xml:space="preserve">Antibiotic residue study in broilers receiving a combination of neomycin and </w:t>
      </w:r>
      <w:proofErr w:type="spellStart"/>
      <w:r w:rsidRPr="008941B6">
        <w:t>terramycin</w:t>
      </w:r>
      <w:proofErr w:type="spellEnd"/>
      <w:r w:rsidRPr="008941B6">
        <w:t xml:space="preserve"> in the ration</w:t>
      </w:r>
      <w:r>
        <w:t xml:space="preserve">. (Unpublished) </w:t>
      </w:r>
    </w:p>
    <w:p w14:paraId="1DB47D58" w14:textId="3CB37EAB" w:rsidR="00EB2BC3" w:rsidRDefault="00EB2BC3" w:rsidP="00C43350">
      <w:pPr>
        <w:pStyle w:val="APVMAText"/>
      </w:pPr>
      <w:r>
        <w:t xml:space="preserve">Buller N, Thomas A and Barton M (2014) </w:t>
      </w:r>
      <w:r w:rsidR="00EE5406" w:rsidRPr="00D07FA7">
        <w:t>Antimicrobial Susceptibility Testing</w:t>
      </w:r>
      <w:r w:rsidR="00EE5406">
        <w:t>. L</w:t>
      </w:r>
      <w:r>
        <w:t xml:space="preserve">ast accessed: </w:t>
      </w:r>
      <w:r w:rsidR="00EE5406">
        <w:t xml:space="preserve">6 February 2024. </w:t>
      </w:r>
      <w:hyperlink r:id="rId61" w:history="1">
        <w:r w:rsidR="00EE5406" w:rsidRPr="003F5B60">
          <w:rPr>
            <w:rStyle w:val="Hyperlink"/>
          </w:rPr>
          <w:t>https://www.agriculture.gov.au/agriculture-land/animal/health/laboratories/procedures/anzsdp/antimicrobial-susceptibility-testing</w:t>
        </w:r>
      </w:hyperlink>
    </w:p>
    <w:p w14:paraId="2355CAA5" w14:textId="13E85579" w:rsidR="00EB2BC3" w:rsidRDefault="00EB2BC3" w:rsidP="00C43350">
      <w:pPr>
        <w:pStyle w:val="APVMAText"/>
      </w:pPr>
      <w:r>
        <w:t xml:space="preserve">COAG reforms (2010) </w:t>
      </w:r>
      <w:r w:rsidR="00EE5406" w:rsidRPr="00D07FA7">
        <w:t>A single national framework for the regulation of agricultural chemicals and veterinary medicines - regulatory model</w:t>
      </w:r>
      <w:r w:rsidR="00EE5406">
        <w:t>. L</w:t>
      </w:r>
      <w:r>
        <w:t xml:space="preserve">ast accessed: </w:t>
      </w:r>
      <w:r w:rsidR="00EE5406">
        <w:t xml:space="preserve">6 February 2024. </w:t>
      </w:r>
      <w:hyperlink r:id="rId62" w:history="1">
        <w:r w:rsidR="00EE5406" w:rsidRPr="003F5B60">
          <w:rPr>
            <w:rStyle w:val="Hyperlink"/>
          </w:rPr>
          <w:t>https://www.agriculture.gov.au/agriculture-land/farm-food-drought/ag-vet-chemicals/domestic-policy/history-of-coag-reforms/regulatory-model</w:t>
        </w:r>
      </w:hyperlink>
    </w:p>
    <w:p w14:paraId="40F17F76" w14:textId="5323B861" w:rsidR="008941B6" w:rsidRDefault="008941B6" w:rsidP="00C43350">
      <w:pPr>
        <w:pStyle w:val="APVMAText"/>
      </w:pPr>
      <w:r w:rsidRPr="008941B6">
        <w:t>Davis KG</w:t>
      </w:r>
      <w:r w:rsidR="00EE5406">
        <w:t xml:space="preserve"> and</w:t>
      </w:r>
      <w:r w:rsidRPr="008941B6">
        <w:t xml:space="preserve"> Hart G</w:t>
      </w:r>
      <w:r>
        <w:t xml:space="preserve"> (</w:t>
      </w:r>
      <w:r w:rsidRPr="008941B6">
        <w:t>1966</w:t>
      </w:r>
      <w:r>
        <w:t>) N</w:t>
      </w:r>
      <w:r w:rsidRPr="008941B6">
        <w:t xml:space="preserve">eomycin and </w:t>
      </w:r>
      <w:proofErr w:type="spellStart"/>
      <w:r w:rsidRPr="008941B6">
        <w:t>terramycin</w:t>
      </w:r>
      <w:proofErr w:type="spellEnd"/>
      <w:r w:rsidRPr="008941B6">
        <w:t xml:space="preserve"> in swine feed, tissue residue study</w:t>
      </w:r>
      <w:r>
        <w:t>. (Unpublished)</w:t>
      </w:r>
    </w:p>
    <w:p w14:paraId="4BD18146" w14:textId="75867E2E" w:rsidR="008941B6" w:rsidRDefault="008941B6" w:rsidP="00C43350">
      <w:pPr>
        <w:pStyle w:val="APVMAText"/>
      </w:pPr>
      <w:r w:rsidRPr="008941B6">
        <w:t>Davis KG</w:t>
      </w:r>
      <w:r w:rsidR="00EE5406">
        <w:t xml:space="preserve"> and</w:t>
      </w:r>
      <w:r w:rsidRPr="008941B6">
        <w:t xml:space="preserve"> Hart G</w:t>
      </w:r>
      <w:r>
        <w:t xml:space="preserve"> (</w:t>
      </w:r>
      <w:r w:rsidRPr="008941B6">
        <w:t>196</w:t>
      </w:r>
      <w:r>
        <w:t>7) N</w:t>
      </w:r>
      <w:r w:rsidRPr="008941B6">
        <w:t xml:space="preserve">eomycin and </w:t>
      </w:r>
      <w:proofErr w:type="spellStart"/>
      <w:r w:rsidRPr="008941B6">
        <w:t>terramycin</w:t>
      </w:r>
      <w:proofErr w:type="spellEnd"/>
      <w:r w:rsidRPr="008941B6">
        <w:t xml:space="preserve"> in swine feed, tissue residue study</w:t>
      </w:r>
      <w:r>
        <w:t>. (Unpublished)</w:t>
      </w:r>
    </w:p>
    <w:p w14:paraId="54520026" w14:textId="5F09FD8A" w:rsidR="00EB2BC3" w:rsidRDefault="00EB2BC3" w:rsidP="00C43350">
      <w:pPr>
        <w:pStyle w:val="APVMAText"/>
      </w:pPr>
      <w:r>
        <w:t xml:space="preserve">De </w:t>
      </w:r>
      <w:proofErr w:type="spellStart"/>
      <w:r>
        <w:t>Kleyne</w:t>
      </w:r>
      <w:proofErr w:type="spellEnd"/>
      <w:r>
        <w:t xml:space="preserve"> J (1989a). Residue study of </w:t>
      </w:r>
      <w:proofErr w:type="spellStart"/>
      <w:r>
        <w:t>neopen</w:t>
      </w:r>
      <w:proofErr w:type="spellEnd"/>
      <w:r>
        <w:t xml:space="preserve"> in calves after three intramuscular injections. (Unpublished)</w:t>
      </w:r>
    </w:p>
    <w:p w14:paraId="7186D7DC" w14:textId="4EBD97E1" w:rsidR="00EB2BC3" w:rsidRDefault="00EB2BC3" w:rsidP="00C43350">
      <w:pPr>
        <w:pStyle w:val="APVMAText"/>
      </w:pPr>
      <w:r>
        <w:t xml:space="preserve">De </w:t>
      </w:r>
      <w:proofErr w:type="spellStart"/>
      <w:r>
        <w:t>Kleyne</w:t>
      </w:r>
      <w:proofErr w:type="spellEnd"/>
      <w:r>
        <w:t xml:space="preserve"> J (1989b) Residue study of </w:t>
      </w:r>
      <w:proofErr w:type="spellStart"/>
      <w:r>
        <w:t>neopen</w:t>
      </w:r>
      <w:proofErr w:type="spellEnd"/>
      <w:r>
        <w:t xml:space="preserve"> in sheep after three intramuscular injections. (Unpublished)</w:t>
      </w:r>
    </w:p>
    <w:p w14:paraId="62CD4B5F" w14:textId="5240C6B1" w:rsidR="00EB2BC3" w:rsidRDefault="00EB2BC3" w:rsidP="00C43350">
      <w:pPr>
        <w:pStyle w:val="APVMAText"/>
      </w:pPr>
      <w:r>
        <w:t xml:space="preserve">De </w:t>
      </w:r>
      <w:proofErr w:type="spellStart"/>
      <w:r>
        <w:t>Kleyne</w:t>
      </w:r>
      <w:proofErr w:type="spellEnd"/>
      <w:r>
        <w:t xml:space="preserve"> J (1989c) Residue study of </w:t>
      </w:r>
      <w:proofErr w:type="spellStart"/>
      <w:r>
        <w:t>neopen</w:t>
      </w:r>
      <w:proofErr w:type="spellEnd"/>
      <w:r>
        <w:t xml:space="preserve"> in pigs after three intramuscular injections. (Unpublished)</w:t>
      </w:r>
    </w:p>
    <w:p w14:paraId="15B521FA" w14:textId="4E3082F5" w:rsidR="00EB2BC3" w:rsidRDefault="00EB2BC3" w:rsidP="00C43350">
      <w:pPr>
        <w:pStyle w:val="APVMAText"/>
      </w:pPr>
      <w:proofErr w:type="spellStart"/>
      <w:r>
        <w:lastRenderedPageBreak/>
        <w:t>Deluyker</w:t>
      </w:r>
      <w:proofErr w:type="spellEnd"/>
      <w:r>
        <w:t xml:space="preserve"> HA </w:t>
      </w:r>
      <w:r w:rsidRPr="00B102FF">
        <w:rPr>
          <w:i/>
          <w:iCs/>
        </w:rPr>
        <w:t>et al</w:t>
      </w:r>
      <w:r>
        <w:t>.</w:t>
      </w:r>
      <w:r w:rsidR="00155DDA">
        <w:t xml:space="preserve"> </w:t>
      </w:r>
      <w:r>
        <w:t xml:space="preserve">(1996) Tolerance, kinetics, and milk residue depletion study of </w:t>
      </w:r>
      <w:proofErr w:type="spellStart"/>
      <w:r>
        <w:t>lincocin</w:t>
      </w:r>
      <w:proofErr w:type="spellEnd"/>
      <w:r>
        <w:t xml:space="preserve"> fort sterile following intramammary infusions to dairy cows - part I. </w:t>
      </w:r>
      <w:r w:rsidR="00EE5406">
        <w:t>(Unpublished)</w:t>
      </w:r>
    </w:p>
    <w:p w14:paraId="53C50D66" w14:textId="6AD6F386" w:rsidR="00EB2BC3" w:rsidRDefault="00EB2BC3" w:rsidP="00C43350">
      <w:pPr>
        <w:pStyle w:val="APVMAText"/>
      </w:pPr>
      <w:r>
        <w:t>Deniaud M and Tee E (2023) Susceptibility pattern of bacterial isolates in equine ulcerative keratitis: Implications for empirical treatment at a university teaching hospital in Sydney. Aust Vet J. 2023; 101: 115–120.</w:t>
      </w:r>
      <w:r w:rsidR="00B102FF">
        <w:t xml:space="preserve"> </w:t>
      </w:r>
      <w:hyperlink r:id="rId63" w:history="1">
        <w:r w:rsidRPr="00EB2BC3">
          <w:rPr>
            <w:rStyle w:val="Hyperlink"/>
          </w:rPr>
          <w:t>https://onlinelibrary.wiley.com/doi/10.1111/avj.13221</w:t>
        </w:r>
      </w:hyperlink>
      <w:r>
        <w:t xml:space="preserve"> last accessed:17 January 2024. </w:t>
      </w:r>
    </w:p>
    <w:p w14:paraId="16841DB1" w14:textId="36EC1616" w:rsidR="00EB2BC3" w:rsidRDefault="00EB2BC3" w:rsidP="00C43350">
      <w:pPr>
        <w:pStyle w:val="APVMAText"/>
      </w:pPr>
      <w:r>
        <w:t>El-Adawy H</w:t>
      </w:r>
      <w:r w:rsidR="00EE5406">
        <w:t xml:space="preserve"> </w:t>
      </w:r>
      <w:r w:rsidR="00EE5406" w:rsidRPr="00B102FF">
        <w:rPr>
          <w:i/>
          <w:iCs/>
        </w:rPr>
        <w:t>et al</w:t>
      </w:r>
      <w:r w:rsidR="00EE5406">
        <w:t xml:space="preserve">. </w:t>
      </w:r>
      <w:r>
        <w:t xml:space="preserve">(2023) Genomic insight into Campylobacter </w:t>
      </w:r>
      <w:proofErr w:type="spellStart"/>
      <w:r>
        <w:t>jejuni</w:t>
      </w:r>
      <w:proofErr w:type="spellEnd"/>
      <w:r>
        <w:t xml:space="preserve"> isolated from commercial turkey flocks in Germany using whole-genome sequencing analysis. Front Vet Sci. 2023 Feb </w:t>
      </w:r>
      <w:proofErr w:type="gramStart"/>
      <w:r>
        <w:t>16;10:1092179</w:t>
      </w:r>
      <w:proofErr w:type="gramEnd"/>
      <w:r>
        <w:t xml:space="preserve">. </w:t>
      </w:r>
      <w:proofErr w:type="spellStart"/>
      <w:r>
        <w:t>doi</w:t>
      </w:r>
      <w:proofErr w:type="spellEnd"/>
      <w:r>
        <w:t xml:space="preserve">: 10.3389/fvets.2023.1092179. </w:t>
      </w:r>
    </w:p>
    <w:p w14:paraId="26574EB5" w14:textId="0225EA98" w:rsidR="00EB2BC3" w:rsidRDefault="00EB2BC3" w:rsidP="00C43350">
      <w:pPr>
        <w:pStyle w:val="APVMAText"/>
      </w:pPr>
      <w:r>
        <w:t xml:space="preserve">EMA (2002) </w:t>
      </w:r>
      <w:r w:rsidR="00EE5406" w:rsidRPr="00D07FA7">
        <w:t>Committee for Veterinary Medicinal Products: Neomycin summary report 3,</w:t>
      </w:r>
      <w:r>
        <w:t xml:space="preserve"> The European Agency for the Evaluation of Medicinal Products, London.</w:t>
      </w:r>
    </w:p>
    <w:p w14:paraId="24CD796A" w14:textId="5F41A08F" w:rsidR="00EB2BC3" w:rsidRDefault="00EB2BC3" w:rsidP="00C43350">
      <w:pPr>
        <w:pStyle w:val="APVMAText"/>
      </w:pPr>
      <w:r>
        <w:t xml:space="preserve">Freeman CD, Nicolau DP, Belliveau PP </w:t>
      </w:r>
      <w:r w:rsidR="00EE5406">
        <w:t>and</w:t>
      </w:r>
      <w:r>
        <w:t xml:space="preserve"> Nightingale CH (1997) Once-daily dosing of aminoglycosides: review and recommendations for clinical practice. The Journal of Antimicrobial Chemotherapy, vol. 39, pp. 677-86.</w:t>
      </w:r>
    </w:p>
    <w:p w14:paraId="0C4EDFA6" w14:textId="73B98708" w:rsidR="00B866F1" w:rsidRPr="00DC3D60" w:rsidRDefault="00B866F1" w:rsidP="00C43350">
      <w:pPr>
        <w:pStyle w:val="APVMAText"/>
      </w:pPr>
      <w:r w:rsidRPr="00DC3D60">
        <w:t>Hawbaker JA</w:t>
      </w:r>
      <w:r w:rsidR="00EE5406" w:rsidRPr="00DC3D60">
        <w:t xml:space="preserve"> and</w:t>
      </w:r>
      <w:r w:rsidRPr="00DC3D60">
        <w:t xml:space="preserve"> Hart G (1966). Oral neomycin residue studies in beef cattle. (Unpublished)</w:t>
      </w:r>
    </w:p>
    <w:p w14:paraId="3A192386" w14:textId="166FA8F6" w:rsidR="008941B6" w:rsidRPr="00DC3D60" w:rsidRDefault="008941B6" w:rsidP="00C43350">
      <w:pPr>
        <w:pStyle w:val="APVMAText"/>
      </w:pPr>
      <w:r w:rsidRPr="00DC3D60">
        <w:t xml:space="preserve">Hawbaker </w:t>
      </w:r>
      <w:r w:rsidR="00DC3D60" w:rsidRPr="00DC3D60">
        <w:t>J</w:t>
      </w:r>
      <w:r w:rsidRPr="00DC3D60">
        <w:t>A</w:t>
      </w:r>
      <w:r w:rsidR="00EE5406" w:rsidRPr="00DC3D60">
        <w:t xml:space="preserve"> and</w:t>
      </w:r>
      <w:r w:rsidRPr="00DC3D60">
        <w:t xml:space="preserve"> Hart G (1967</w:t>
      </w:r>
      <w:r w:rsidR="00DC3D60">
        <w:t>a</w:t>
      </w:r>
      <w:r w:rsidRPr="00DC3D60">
        <w:t>) Neo-</w:t>
      </w:r>
      <w:proofErr w:type="spellStart"/>
      <w:r w:rsidRPr="00DC3D60">
        <w:t>terramycin</w:t>
      </w:r>
      <w:proofErr w:type="spellEnd"/>
      <w:r w:rsidRPr="00DC3D60">
        <w:t xml:space="preserve"> residue study in calves-feed. (Unpublished)</w:t>
      </w:r>
    </w:p>
    <w:p w14:paraId="337E09EE" w14:textId="54B196F8" w:rsidR="00B866F1" w:rsidRPr="00DC3D60" w:rsidRDefault="00B866F1" w:rsidP="00C43350">
      <w:pPr>
        <w:pStyle w:val="APVMAText"/>
      </w:pPr>
      <w:r w:rsidRPr="00DC3D60">
        <w:t>Hawbaker JA</w:t>
      </w:r>
      <w:r w:rsidR="00EE5406" w:rsidRPr="00DC3D60">
        <w:t xml:space="preserve"> and</w:t>
      </w:r>
      <w:r w:rsidRPr="00DC3D60">
        <w:t xml:space="preserve"> Hart G (1967b). Neo-</w:t>
      </w:r>
      <w:proofErr w:type="spellStart"/>
      <w:r w:rsidRPr="00DC3D60">
        <w:t>terramycin</w:t>
      </w:r>
      <w:proofErr w:type="spellEnd"/>
      <w:r w:rsidRPr="00DC3D60">
        <w:t xml:space="preserve"> residue study in calves. (Unpublished)</w:t>
      </w:r>
    </w:p>
    <w:p w14:paraId="0EF52685" w14:textId="6F64AF33" w:rsidR="00B866F1" w:rsidRPr="00DC3D60" w:rsidRDefault="00B866F1" w:rsidP="00C43350">
      <w:pPr>
        <w:pStyle w:val="APVMAText"/>
      </w:pPr>
      <w:r w:rsidRPr="00DC3D60">
        <w:t xml:space="preserve">Hawbaker </w:t>
      </w:r>
      <w:r w:rsidR="00DC3D60" w:rsidRPr="00DC3D60">
        <w:t>J</w:t>
      </w:r>
      <w:r w:rsidRPr="00DC3D60">
        <w:t>A</w:t>
      </w:r>
      <w:r w:rsidR="00EE5406" w:rsidRPr="00DC3D60">
        <w:t xml:space="preserve"> and</w:t>
      </w:r>
      <w:r w:rsidRPr="00DC3D60">
        <w:t xml:space="preserve"> Hart G (1967c). Neomycin residue study in calves. (Unpublished)</w:t>
      </w:r>
    </w:p>
    <w:p w14:paraId="3D8FBE89" w14:textId="04A222C1" w:rsidR="00B866F1" w:rsidRDefault="00B866F1" w:rsidP="00C43350">
      <w:pPr>
        <w:pStyle w:val="APVMAText"/>
      </w:pPr>
      <w:r w:rsidRPr="00DC3D60">
        <w:t>Hawbaker JA</w:t>
      </w:r>
      <w:r w:rsidR="00EE5406" w:rsidRPr="00DC3D60">
        <w:t xml:space="preserve"> and</w:t>
      </w:r>
      <w:r w:rsidRPr="00DC3D60">
        <w:t xml:space="preserve"> Hart G (1967d</w:t>
      </w:r>
      <w:r>
        <w:t>). Oral neomycin residue studies in beef cattle.</w:t>
      </w:r>
      <w:r w:rsidRPr="00B866F1">
        <w:t xml:space="preserve"> </w:t>
      </w:r>
      <w:r>
        <w:t>(Unpublished)</w:t>
      </w:r>
      <w:r>
        <w:tab/>
      </w:r>
    </w:p>
    <w:p w14:paraId="15FC01F0" w14:textId="0ECD812B" w:rsidR="00EB2BC3" w:rsidRDefault="00EB2BC3" w:rsidP="00C43350">
      <w:pPr>
        <w:pStyle w:val="APVMAText"/>
      </w:pPr>
      <w:r>
        <w:t xml:space="preserve">Huth ME, Ricci </w:t>
      </w:r>
      <w:proofErr w:type="gramStart"/>
      <w:r>
        <w:t>AJ</w:t>
      </w:r>
      <w:proofErr w:type="gramEnd"/>
      <w:r>
        <w:t xml:space="preserve"> </w:t>
      </w:r>
      <w:r w:rsidR="00EE5406">
        <w:t>and</w:t>
      </w:r>
      <w:r>
        <w:t xml:space="preserve"> Cheng AG (2011) Mechanisms of aminoglycoside ototoxicity and targets of hair cell protection</w:t>
      </w:r>
      <w:r w:rsidR="00EE5406">
        <w:t>.</w:t>
      </w:r>
      <w:r>
        <w:t xml:space="preserve"> International Journal of Otolaryngology, vol. 2011, pp. 937861.</w:t>
      </w:r>
    </w:p>
    <w:p w14:paraId="47E2A5CE" w14:textId="7CE11294" w:rsidR="00EB2BC3" w:rsidRDefault="00EB2BC3" w:rsidP="00C43350">
      <w:pPr>
        <w:pStyle w:val="APVMAText"/>
      </w:pPr>
      <w:proofErr w:type="spellStart"/>
      <w:r>
        <w:t>Ibayashi</w:t>
      </w:r>
      <w:proofErr w:type="spellEnd"/>
      <w:r>
        <w:t xml:space="preserve"> T </w:t>
      </w:r>
      <w:r w:rsidRPr="00B102FF">
        <w:rPr>
          <w:i/>
          <w:iCs/>
        </w:rPr>
        <w:t>et al</w:t>
      </w:r>
      <w:r>
        <w:t xml:space="preserve">. (1994) Pharmacokinetics, safety and residues following oral administration of neomycin to broilers. </w:t>
      </w:r>
      <w:r w:rsidR="00EE5406">
        <w:t>(</w:t>
      </w:r>
      <w:r>
        <w:t>Unpublished</w:t>
      </w:r>
      <w:r w:rsidR="00EE5406">
        <w:t>)</w:t>
      </w:r>
    </w:p>
    <w:p w14:paraId="33CC1D03" w14:textId="5244FD11" w:rsidR="00EB2BC3" w:rsidRDefault="00EB2BC3" w:rsidP="00C43350">
      <w:pPr>
        <w:pStyle w:val="APVMAText"/>
      </w:pPr>
      <w:r>
        <w:t>Panzer</w:t>
      </w:r>
      <w:r w:rsidR="00EE5406">
        <w:t xml:space="preserve"> JD and </w:t>
      </w:r>
      <w:r>
        <w:t>Epstein</w:t>
      </w:r>
      <w:r w:rsidR="00EE5406">
        <w:t xml:space="preserve"> WL</w:t>
      </w:r>
      <w:r>
        <w:t xml:space="preserve"> (1970) Percutaneous Absorption Following Topical Application of Neomycin. Arch Dermatol. 1970;102(5):536-539. </w:t>
      </w:r>
    </w:p>
    <w:p w14:paraId="6646D0A9" w14:textId="3BAD61F9" w:rsidR="00EB2BC3" w:rsidRDefault="00EB2BC3" w:rsidP="00C43350">
      <w:pPr>
        <w:pStyle w:val="APVMAText"/>
      </w:pPr>
      <w:r>
        <w:t xml:space="preserve">Liu CK, Shih CH, Fan </w:t>
      </w:r>
      <w:proofErr w:type="gramStart"/>
      <w:r>
        <w:t>YK</w:t>
      </w:r>
      <w:proofErr w:type="gramEnd"/>
      <w:r w:rsidR="00EE5406">
        <w:t xml:space="preserve"> and</w:t>
      </w:r>
      <w:r>
        <w:t xml:space="preserve"> Fang FWS (1981) A study on tissue residue of antibiotics – </w:t>
      </w:r>
      <w:proofErr w:type="spellStart"/>
      <w:r>
        <w:t>Linomycin</w:t>
      </w:r>
      <w:proofErr w:type="spellEnd"/>
      <w:r>
        <w:t xml:space="preserve"> and neomycin combination in feed of swine. (Unpublished)</w:t>
      </w:r>
    </w:p>
    <w:p w14:paraId="68FF0AA1" w14:textId="56C71668" w:rsidR="00EB2BC3" w:rsidRDefault="00EB2BC3" w:rsidP="00C43350">
      <w:pPr>
        <w:pStyle w:val="APVMAText"/>
      </w:pPr>
      <w:r w:rsidRPr="00DC3D60">
        <w:t xml:space="preserve">Liu CK. </w:t>
      </w:r>
      <w:r w:rsidR="00EE5406" w:rsidRPr="00DC3D60">
        <w:t>(</w:t>
      </w:r>
      <w:r w:rsidR="00DC3D60" w:rsidRPr="00D07FA7">
        <w:t>1984</w:t>
      </w:r>
      <w:r w:rsidR="00EE5406" w:rsidRPr="00DC3D60">
        <w:t xml:space="preserve">) </w:t>
      </w:r>
      <w:r w:rsidRPr="00DC3D60">
        <w:t>Absorption and distribution of neomycin following oral medication in day-old broiler chicks. (Unpublished)</w:t>
      </w:r>
    </w:p>
    <w:p w14:paraId="7B2D19C4" w14:textId="63B087C2" w:rsidR="00B866F1" w:rsidRDefault="00B866F1" w:rsidP="00C43350">
      <w:pPr>
        <w:pStyle w:val="APVMAText"/>
      </w:pPr>
      <w:r>
        <w:t xml:space="preserve">Marren LE (1995). Tissue residue levels in turkeys medicated with neomycin </w:t>
      </w:r>
      <w:proofErr w:type="spellStart"/>
      <w:r>
        <w:t>sulfate</w:t>
      </w:r>
      <w:proofErr w:type="spellEnd"/>
      <w:r>
        <w:t xml:space="preserve"> by drinking water continuously for five days. (Unpublished)</w:t>
      </w:r>
    </w:p>
    <w:p w14:paraId="75AC02AF" w14:textId="63114551" w:rsidR="00B866F1" w:rsidRDefault="00B866F1" w:rsidP="00C43350">
      <w:pPr>
        <w:pStyle w:val="APVMAText"/>
      </w:pPr>
      <w:r>
        <w:t xml:space="preserve">Mercer MA (2022) </w:t>
      </w:r>
      <w:r w:rsidR="00EE5406" w:rsidRPr="00D07FA7">
        <w:t>Aminoglycosides Use in Animals</w:t>
      </w:r>
      <w:r w:rsidR="00EE5406">
        <w:t>.</w:t>
      </w:r>
      <w:r>
        <w:t xml:space="preserve"> </w:t>
      </w:r>
      <w:r w:rsidR="00EE5406">
        <w:t>L</w:t>
      </w:r>
      <w:r>
        <w:t>ast accessed: January 2024</w:t>
      </w:r>
      <w:r w:rsidR="00EE5406">
        <w:t xml:space="preserve">. </w:t>
      </w:r>
      <w:hyperlink r:id="rId64" w:history="1">
        <w:r w:rsidR="00EE5406" w:rsidRPr="003F5B60">
          <w:rPr>
            <w:rStyle w:val="Hyperlink"/>
          </w:rPr>
          <w:t>https://www.msdvetmanual.com/pharmacology/antibacterial-agents/aminoglycosides-use-in-animals</w:t>
        </w:r>
      </w:hyperlink>
    </w:p>
    <w:p w14:paraId="29CE4A28" w14:textId="0F07CA48" w:rsidR="008941B6" w:rsidRDefault="008941B6" w:rsidP="00C43350">
      <w:pPr>
        <w:pStyle w:val="APVMAText"/>
      </w:pPr>
      <w:r w:rsidRPr="008941B6">
        <w:lastRenderedPageBreak/>
        <w:t>Newkirk HL</w:t>
      </w:r>
      <w:r w:rsidR="00EE5406">
        <w:t xml:space="preserve"> and</w:t>
      </w:r>
      <w:r w:rsidRPr="008941B6">
        <w:t xml:space="preserve"> Hart G</w:t>
      </w:r>
      <w:r w:rsidR="00EE5406">
        <w:t xml:space="preserve"> </w:t>
      </w:r>
      <w:r>
        <w:t>(</w:t>
      </w:r>
      <w:r w:rsidRPr="008941B6">
        <w:t>1966</w:t>
      </w:r>
      <w:r>
        <w:t xml:space="preserve">a). </w:t>
      </w:r>
      <w:r w:rsidRPr="008941B6">
        <w:t>Neo-</w:t>
      </w:r>
      <w:proofErr w:type="spellStart"/>
      <w:r w:rsidRPr="008941B6">
        <w:t>terramycin</w:t>
      </w:r>
      <w:proofErr w:type="spellEnd"/>
      <w:r w:rsidRPr="008941B6">
        <w:t xml:space="preserve"> in laying hens (</w:t>
      </w:r>
      <w:proofErr w:type="gramStart"/>
      <w:r w:rsidRPr="008941B6">
        <w:t>oral-feed</w:t>
      </w:r>
      <w:proofErr w:type="gramEnd"/>
      <w:r w:rsidRPr="008941B6">
        <w:t>)</w:t>
      </w:r>
      <w:r>
        <w:t>. (Unpublished)</w:t>
      </w:r>
    </w:p>
    <w:p w14:paraId="4BBD9E53" w14:textId="5CD87608" w:rsidR="008941B6" w:rsidRDefault="008941B6" w:rsidP="00C43350">
      <w:pPr>
        <w:pStyle w:val="APVMAText"/>
      </w:pPr>
      <w:r w:rsidRPr="008941B6">
        <w:t>Newkirk HL</w:t>
      </w:r>
      <w:r w:rsidR="00EE5406">
        <w:t xml:space="preserve"> and</w:t>
      </w:r>
      <w:r w:rsidRPr="008941B6">
        <w:t xml:space="preserve"> Hart G</w:t>
      </w:r>
      <w:r w:rsidR="00EE5406">
        <w:t xml:space="preserve"> </w:t>
      </w:r>
      <w:r>
        <w:t>(</w:t>
      </w:r>
      <w:r w:rsidRPr="008941B6">
        <w:t>1966</w:t>
      </w:r>
      <w:r>
        <w:t xml:space="preserve">b). </w:t>
      </w:r>
      <w:r w:rsidRPr="008941B6">
        <w:t>Neo-</w:t>
      </w:r>
      <w:proofErr w:type="spellStart"/>
      <w:r w:rsidRPr="008941B6">
        <w:t>terramycin</w:t>
      </w:r>
      <w:proofErr w:type="spellEnd"/>
      <w:r w:rsidRPr="008941B6">
        <w:t xml:space="preserve"> in turkeys (feed)</w:t>
      </w:r>
      <w:r>
        <w:t>.</w:t>
      </w:r>
      <w:r w:rsidRPr="008941B6">
        <w:t xml:space="preserve"> </w:t>
      </w:r>
      <w:r>
        <w:t>(Unpublished)</w:t>
      </w:r>
    </w:p>
    <w:p w14:paraId="101B52F9" w14:textId="43BCB775" w:rsidR="008941B6" w:rsidRDefault="008941B6" w:rsidP="00C43350">
      <w:pPr>
        <w:pStyle w:val="APVMAText"/>
      </w:pPr>
      <w:r w:rsidRPr="008941B6">
        <w:t>Newkirk HL</w:t>
      </w:r>
      <w:r w:rsidR="00EE5406">
        <w:t xml:space="preserve"> and</w:t>
      </w:r>
      <w:r w:rsidRPr="008941B6">
        <w:t xml:space="preserve"> Hart G</w:t>
      </w:r>
      <w:r w:rsidR="00EE5406">
        <w:t xml:space="preserve"> </w:t>
      </w:r>
      <w:r>
        <w:t>(</w:t>
      </w:r>
      <w:r w:rsidRPr="008941B6">
        <w:t>1966</w:t>
      </w:r>
      <w:r>
        <w:t xml:space="preserve">c). </w:t>
      </w:r>
      <w:r w:rsidRPr="008941B6">
        <w:t>Neo-</w:t>
      </w:r>
      <w:proofErr w:type="spellStart"/>
      <w:r w:rsidRPr="008941B6">
        <w:t>terramycin</w:t>
      </w:r>
      <w:proofErr w:type="spellEnd"/>
      <w:r w:rsidRPr="008941B6">
        <w:t xml:space="preserve"> in laying hens (oral)</w:t>
      </w:r>
      <w:r>
        <w:t>.</w:t>
      </w:r>
      <w:r w:rsidRPr="008941B6">
        <w:t xml:space="preserve"> </w:t>
      </w:r>
      <w:r>
        <w:t>(Unpublished)</w:t>
      </w:r>
    </w:p>
    <w:p w14:paraId="6C7B1FF3" w14:textId="00E56271" w:rsidR="00B866F1" w:rsidRDefault="00B866F1" w:rsidP="00C43350">
      <w:pPr>
        <w:pStyle w:val="APVMAText"/>
      </w:pPr>
      <w:r w:rsidRPr="00B866F1">
        <w:t>Newkirk HL</w:t>
      </w:r>
      <w:r w:rsidR="00EE5406">
        <w:t xml:space="preserve"> and</w:t>
      </w:r>
      <w:r w:rsidRPr="00B866F1">
        <w:t xml:space="preserve"> Hart G </w:t>
      </w:r>
      <w:r>
        <w:t>(</w:t>
      </w:r>
      <w:r w:rsidRPr="00B866F1">
        <w:t>1966</w:t>
      </w:r>
      <w:r>
        <w:t xml:space="preserve">d). </w:t>
      </w:r>
      <w:r w:rsidRPr="00B866F1">
        <w:t>Oral neomycin residue study in calves</w:t>
      </w:r>
      <w:r>
        <w:t>.</w:t>
      </w:r>
      <w:r w:rsidRPr="008941B6">
        <w:t xml:space="preserve"> </w:t>
      </w:r>
      <w:r>
        <w:t>(Unpublished)</w:t>
      </w:r>
    </w:p>
    <w:p w14:paraId="74885C20" w14:textId="7AFE3315" w:rsidR="00B866F1" w:rsidRDefault="00B866F1" w:rsidP="00C43350">
      <w:pPr>
        <w:pStyle w:val="APVMAText"/>
      </w:pPr>
      <w:r w:rsidRPr="00B866F1">
        <w:t>Newkirk HL</w:t>
      </w:r>
      <w:r w:rsidR="00EE5406">
        <w:t xml:space="preserve"> and</w:t>
      </w:r>
      <w:r w:rsidRPr="00B866F1">
        <w:t xml:space="preserve"> Urban W </w:t>
      </w:r>
      <w:r>
        <w:t>(</w:t>
      </w:r>
      <w:r w:rsidRPr="00B866F1">
        <w:t>1966</w:t>
      </w:r>
      <w:r>
        <w:t xml:space="preserve">). </w:t>
      </w:r>
      <w:r w:rsidRPr="00B866F1">
        <w:t>Neomycin residue studies in ducks</w:t>
      </w:r>
      <w:r>
        <w:t>.</w:t>
      </w:r>
      <w:r w:rsidRPr="008941B6">
        <w:t xml:space="preserve"> </w:t>
      </w:r>
      <w:r>
        <w:t>(Unpublished)</w:t>
      </w:r>
    </w:p>
    <w:p w14:paraId="281C5378" w14:textId="4FC47809" w:rsidR="00EB2BC3" w:rsidRDefault="00EB2BC3" w:rsidP="00C43350">
      <w:pPr>
        <w:pStyle w:val="APVMAText"/>
      </w:pPr>
      <w:proofErr w:type="spellStart"/>
      <w:r>
        <w:t>Nouws</w:t>
      </w:r>
      <w:proofErr w:type="spellEnd"/>
      <w:r>
        <w:t xml:space="preserve"> JFM </w:t>
      </w:r>
      <w:r w:rsidRPr="00B102FF">
        <w:rPr>
          <w:i/>
          <w:iCs/>
        </w:rPr>
        <w:t>et al</w:t>
      </w:r>
      <w:r>
        <w:t>. (</w:t>
      </w:r>
      <w:r w:rsidR="00EE5406">
        <w:t>1994</w:t>
      </w:r>
      <w:r>
        <w:t xml:space="preserve">) Concentrations of neomycin and lincomycin in milk during and following three successive intramammary infusions of </w:t>
      </w:r>
      <w:proofErr w:type="spellStart"/>
      <w:r>
        <w:t>lincocin</w:t>
      </w:r>
      <w:proofErr w:type="spellEnd"/>
      <w:r>
        <w:t xml:space="preserve"> forte in normal lactating dairy cows. (Unpublished). </w:t>
      </w:r>
    </w:p>
    <w:p w14:paraId="5C5C2C8A" w14:textId="75DE14C5" w:rsidR="00EB2BC3" w:rsidRDefault="00EB2BC3" w:rsidP="00C43350">
      <w:pPr>
        <w:pStyle w:val="APVMAText"/>
      </w:pPr>
      <w:proofErr w:type="spellStart"/>
      <w:r>
        <w:t>Nouws</w:t>
      </w:r>
      <w:proofErr w:type="spellEnd"/>
      <w:r>
        <w:t xml:space="preserve"> JFM </w:t>
      </w:r>
      <w:r w:rsidRPr="00B102FF">
        <w:rPr>
          <w:i/>
          <w:iCs/>
        </w:rPr>
        <w:t>et al</w:t>
      </w:r>
      <w:r>
        <w:t xml:space="preserve">. (1997) Tissue residue depletion study of </w:t>
      </w:r>
      <w:proofErr w:type="spellStart"/>
      <w:r>
        <w:t>lincocin</w:t>
      </w:r>
      <w:proofErr w:type="spellEnd"/>
      <w:r>
        <w:t xml:space="preserve"> forte sterile following intramammary infusions to dairy cows. part </w:t>
      </w:r>
      <w:proofErr w:type="spellStart"/>
      <w:r>
        <w:t>i</w:t>
      </w:r>
      <w:proofErr w:type="spellEnd"/>
      <w:r>
        <w:t xml:space="preserve"> - neomycin assay validation, neomycin residues, and screening assay results. (Unpublished).</w:t>
      </w:r>
    </w:p>
    <w:p w14:paraId="579D7E19" w14:textId="33827313" w:rsidR="00EB2BC3" w:rsidRDefault="00EB2BC3" w:rsidP="00C43350">
      <w:pPr>
        <w:pStyle w:val="APVMAText"/>
      </w:pPr>
      <w:r>
        <w:t xml:space="preserve">OIE (2021) </w:t>
      </w:r>
      <w:r w:rsidR="00EE5406" w:rsidRPr="00D07FA7">
        <w:t>OIE list of antimicrobial agents of veterinary importance</w:t>
      </w:r>
      <w:r>
        <w:t>, last accessed:</w:t>
      </w:r>
      <w:r w:rsidR="00EE5406" w:rsidRPr="00EE5406">
        <w:t xml:space="preserve"> </w:t>
      </w:r>
      <w:r w:rsidR="00EE5406">
        <w:t xml:space="preserve">6 February 2024. </w:t>
      </w:r>
      <w:hyperlink r:id="rId65" w:history="1">
        <w:r w:rsidR="00EE5406" w:rsidRPr="003F5B60">
          <w:rPr>
            <w:rStyle w:val="Hyperlink"/>
          </w:rPr>
          <w:t>https://www.woah.org/app/uploads/2021/06/a-oie-list-antimicrobials-june2021.pdf</w:t>
        </w:r>
      </w:hyperlink>
    </w:p>
    <w:p w14:paraId="7C8BD1D7" w14:textId="2E857CAA" w:rsidR="00EB2BC3" w:rsidRDefault="00EB2BC3" w:rsidP="00C43350">
      <w:pPr>
        <w:pStyle w:val="APVMAText"/>
      </w:pPr>
      <w:r>
        <w:t>Plumb D (2002) Veterinary Drug Handbook, 4, Iowa State Press, Ames, Iowa.</w:t>
      </w:r>
    </w:p>
    <w:p w14:paraId="1FBC9DF9" w14:textId="520C5AA7" w:rsidR="00EB2BC3" w:rsidRDefault="00EB2BC3" w:rsidP="00C43350">
      <w:pPr>
        <w:pStyle w:val="APVMAText"/>
      </w:pPr>
      <w:r>
        <w:t xml:space="preserve">Reeves P (2011) Antibiotics: Groups and properties. Chemical analysis of antibiotic residues in food, John Wiley &amp; Sons, Inc., Hoboken, New Jersey </w:t>
      </w:r>
    </w:p>
    <w:p w14:paraId="01B3A29C" w14:textId="73B9BCFD" w:rsidR="00EE5406" w:rsidRDefault="00EB2BC3" w:rsidP="00C43350">
      <w:pPr>
        <w:pStyle w:val="APVMAText"/>
      </w:pPr>
      <w:r>
        <w:t xml:space="preserve">Renshaw D, Cerniglia C </w:t>
      </w:r>
      <w:r w:rsidR="00EE5406">
        <w:t>and</w:t>
      </w:r>
      <w:r>
        <w:t xml:space="preserve"> </w:t>
      </w:r>
      <w:proofErr w:type="spellStart"/>
      <w:r>
        <w:t>Kunitoshi</w:t>
      </w:r>
      <w:proofErr w:type="spellEnd"/>
      <w:r>
        <w:t xml:space="preserve"> M (2003) </w:t>
      </w:r>
      <w:r w:rsidR="00EE5406" w:rsidRPr="00D07FA7">
        <w:t>WHO food additive series 51: neomycin addendum</w:t>
      </w:r>
      <w:r>
        <w:t>, World Health Organisation, Geneva</w:t>
      </w:r>
      <w:r w:rsidR="00EE5406">
        <w:t>.</w:t>
      </w:r>
      <w:r>
        <w:t xml:space="preserve"> </w:t>
      </w:r>
      <w:r w:rsidR="00EE5406">
        <w:t>L</w:t>
      </w:r>
      <w:r>
        <w:t xml:space="preserve">ast accessed: </w:t>
      </w:r>
      <w:r w:rsidR="00EE5406">
        <w:t xml:space="preserve">6 February 2024. </w:t>
      </w:r>
      <w:hyperlink r:id="rId66" w:history="1">
        <w:r w:rsidR="00EE5406" w:rsidRPr="003F5B60">
          <w:rPr>
            <w:rStyle w:val="Hyperlink"/>
          </w:rPr>
          <w:t>https://inchem.org/documents/jecfa/jecmono/v51je02.htm</w:t>
        </w:r>
      </w:hyperlink>
    </w:p>
    <w:p w14:paraId="5FB08C9E" w14:textId="12EFE396" w:rsidR="00EB2BC3" w:rsidRDefault="00EB2BC3" w:rsidP="00C43350">
      <w:pPr>
        <w:pStyle w:val="APVMAText"/>
      </w:pPr>
      <w:r>
        <w:t>Ripon RK</w:t>
      </w:r>
      <w:r w:rsidR="00EE5406">
        <w:t xml:space="preserve"> </w:t>
      </w:r>
      <w:r w:rsidR="00EE5406" w:rsidRPr="00B102FF">
        <w:rPr>
          <w:i/>
          <w:iCs/>
        </w:rPr>
        <w:t>et al</w:t>
      </w:r>
      <w:r w:rsidR="00EE5406">
        <w:t xml:space="preserve">. </w:t>
      </w:r>
      <w:r>
        <w:t xml:space="preserve">(2023) Exploring the prevalence of antibiotic resistance patterns and drivers of antibiotics resistance of Salmonella in livestock and poultry-derived foods: a systematic review and meta-analysis in Bangladesh from 2000 to 2022. JAC </w:t>
      </w:r>
      <w:proofErr w:type="spellStart"/>
      <w:r>
        <w:t>Antimicrob</w:t>
      </w:r>
      <w:proofErr w:type="spellEnd"/>
      <w:r>
        <w:t xml:space="preserve"> Resist. 2023 May 31;5(3):dlad059. </w:t>
      </w:r>
      <w:proofErr w:type="spellStart"/>
      <w:r>
        <w:t>doi</w:t>
      </w:r>
      <w:proofErr w:type="spellEnd"/>
      <w:r>
        <w:t>: 10.1093/</w:t>
      </w:r>
      <w:proofErr w:type="spellStart"/>
      <w:r>
        <w:t>jacamr</w:t>
      </w:r>
      <w:proofErr w:type="spellEnd"/>
      <w:r>
        <w:t xml:space="preserve">/dlad059. </w:t>
      </w:r>
    </w:p>
    <w:p w14:paraId="527874A6" w14:textId="40128E83" w:rsidR="00EB2BC3" w:rsidRDefault="00EB2BC3" w:rsidP="00C43350">
      <w:pPr>
        <w:pStyle w:val="APVMAText"/>
      </w:pPr>
      <w:r>
        <w:t xml:space="preserve">Riviere J </w:t>
      </w:r>
      <w:r w:rsidR="00EE5406">
        <w:t>and</w:t>
      </w:r>
      <w:r>
        <w:t xml:space="preserve"> Spoo J (2001) Aminoglycoside antibiotics. Veterinary Pharmacology and Therapeutics, 8, Iowa State University Press, Ames, Iowa.</w:t>
      </w:r>
    </w:p>
    <w:p w14:paraId="4B0769B5" w14:textId="2911224A" w:rsidR="00EB2BC3" w:rsidRDefault="00EB2BC3" w:rsidP="00C43350">
      <w:pPr>
        <w:pStyle w:val="APVMAText"/>
      </w:pPr>
      <w:r>
        <w:t>Sahibzada S</w:t>
      </w:r>
      <w:r w:rsidR="00EE5406">
        <w:t xml:space="preserve"> </w:t>
      </w:r>
      <w:r w:rsidRPr="00B102FF">
        <w:rPr>
          <w:i/>
          <w:iCs/>
        </w:rPr>
        <w:t>et al</w:t>
      </w:r>
      <w:r>
        <w:t xml:space="preserve">. (2020) Prevalence and antimicrobial resistance of MRSA across different pig age groups in an intensive pig production system in Australia. Zoonoses Public Health. 2020; 67: 576–586. </w:t>
      </w:r>
    </w:p>
    <w:p w14:paraId="651884F9" w14:textId="115D2EDA" w:rsidR="00EB2BC3" w:rsidRDefault="00EB2BC3" w:rsidP="00C43350">
      <w:pPr>
        <w:pStyle w:val="APVMAText"/>
      </w:pPr>
      <w:r>
        <w:t xml:space="preserve">WHO (2018) </w:t>
      </w:r>
      <w:r w:rsidR="00EE5406" w:rsidRPr="00D07FA7">
        <w:t>Critically important antimicrobials for human medicine</w:t>
      </w:r>
      <w:r>
        <w:t xml:space="preserve"> 6th revision.</w:t>
      </w:r>
      <w:r w:rsidR="00EE5406">
        <w:t xml:space="preserve"> Last accessed: 6 February 2024. </w:t>
      </w:r>
      <w:hyperlink r:id="rId67" w:history="1">
        <w:r w:rsidR="00EE5406" w:rsidRPr="00EE5406">
          <w:rPr>
            <w:rStyle w:val="Hyperlink"/>
          </w:rPr>
          <w:t>https://www.who.int/publications/i/item/9789241515528</w:t>
        </w:r>
      </w:hyperlink>
    </w:p>
    <w:p w14:paraId="667A41AC" w14:textId="76F3EDCC" w:rsidR="00EB2BC3" w:rsidRDefault="00EB2BC3" w:rsidP="00C43350">
      <w:pPr>
        <w:pStyle w:val="APVMAText"/>
      </w:pPr>
      <w:proofErr w:type="spellStart"/>
      <w:r>
        <w:t>Wongtawan</w:t>
      </w:r>
      <w:proofErr w:type="spellEnd"/>
      <w:r>
        <w:t xml:space="preserve"> T</w:t>
      </w:r>
      <w:r w:rsidR="00EE5406">
        <w:t xml:space="preserve"> </w:t>
      </w:r>
      <w:r w:rsidR="00EE5406" w:rsidRPr="00B102FF">
        <w:rPr>
          <w:i/>
          <w:iCs/>
        </w:rPr>
        <w:t>et al</w:t>
      </w:r>
      <w:r>
        <w:t xml:space="preserve">. (2022) Characterizing the antimicrobial resistance profile of Escherichia coli found in sport animals (fighting cocks, fighting bulls, and sport horses) and soils from their environment. Vet World. 2022 Nov;15(11):2673-2680. </w:t>
      </w:r>
      <w:proofErr w:type="spellStart"/>
      <w:r>
        <w:t>doi</w:t>
      </w:r>
      <w:proofErr w:type="spellEnd"/>
      <w:r>
        <w:t xml:space="preserve">: 10.14202/vetworld.2022.2673-2680. </w:t>
      </w:r>
    </w:p>
    <w:p w14:paraId="0AA7FDCF" w14:textId="01BEC515" w:rsidR="005D5931" w:rsidRDefault="00EB2BC3" w:rsidP="00C43350">
      <w:pPr>
        <w:pStyle w:val="APVMAText"/>
      </w:pPr>
      <w:r>
        <w:lastRenderedPageBreak/>
        <w:t>Yang Y</w:t>
      </w:r>
      <w:r w:rsidR="00EE5406">
        <w:t xml:space="preserve"> </w:t>
      </w:r>
      <w:r w:rsidR="00EE5406" w:rsidRPr="00B102FF">
        <w:rPr>
          <w:i/>
          <w:iCs/>
        </w:rPr>
        <w:t>et al</w:t>
      </w:r>
      <w:r w:rsidR="00EE5406">
        <w:t>.</w:t>
      </w:r>
      <w:r>
        <w:t xml:space="preserve"> (2020) </w:t>
      </w:r>
      <w:proofErr w:type="spellStart"/>
      <w:r>
        <w:t>Etiology</w:t>
      </w:r>
      <w:proofErr w:type="spellEnd"/>
      <w:r>
        <w:t xml:space="preserve">, microbiological isolates, and antibiotic susceptibilities in culture-proven </w:t>
      </w:r>
      <w:proofErr w:type="spellStart"/>
      <w:r>
        <w:t>pediatric</w:t>
      </w:r>
      <w:proofErr w:type="spellEnd"/>
      <w:r>
        <w:t xml:space="preserve"> endophthalmitis: a 9-year review. </w:t>
      </w:r>
      <w:proofErr w:type="spellStart"/>
      <w:r>
        <w:t>Graefes</w:t>
      </w:r>
      <w:proofErr w:type="spellEnd"/>
      <w:r>
        <w:t xml:space="preserve"> Arch Clin Exp </w:t>
      </w:r>
      <w:proofErr w:type="spellStart"/>
      <w:r>
        <w:t>Ophthalmol</w:t>
      </w:r>
      <w:proofErr w:type="spellEnd"/>
      <w:r>
        <w:t xml:space="preserve">. 2021 Jan;259(1):197-204. </w:t>
      </w:r>
      <w:proofErr w:type="spellStart"/>
      <w:r>
        <w:t>doi</w:t>
      </w:r>
      <w:proofErr w:type="spellEnd"/>
      <w:r>
        <w:t xml:space="preserve">: 10.1007/s00417-020-04866-7. </w:t>
      </w:r>
    </w:p>
    <w:sectPr w:rsidR="005D5931">
      <w:headerReference w:type="even" r:id="rId68"/>
      <w:headerReference w:type="default" r:id="rId6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216D" w14:textId="77777777" w:rsidR="00DF3A52" w:rsidRDefault="00DF3A52">
      <w:r>
        <w:separator/>
      </w:r>
    </w:p>
    <w:p w14:paraId="43315CC4" w14:textId="77777777" w:rsidR="00DF3A52" w:rsidRDefault="00DF3A52"/>
    <w:p w14:paraId="57C0A2F1" w14:textId="77777777" w:rsidR="00DF3A52" w:rsidRDefault="00DF3A52"/>
  </w:endnote>
  <w:endnote w:type="continuationSeparator" w:id="0">
    <w:p w14:paraId="4070AC93" w14:textId="77777777" w:rsidR="00DF3A52" w:rsidRDefault="00DF3A52">
      <w:r>
        <w:continuationSeparator/>
      </w:r>
    </w:p>
    <w:p w14:paraId="3D994723" w14:textId="77777777" w:rsidR="00DF3A52" w:rsidRDefault="00DF3A52"/>
    <w:p w14:paraId="3C4AEB59" w14:textId="77777777" w:rsidR="00DF3A52" w:rsidRDefault="00DF3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6F070C46" w:rsidR="00D23D6A" w:rsidRPr="0026493F" w:rsidRDefault="00D23D6A" w:rsidP="008A3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9736" w14:textId="77777777" w:rsidR="00DF3A52" w:rsidRDefault="00DF3A52">
      <w:r>
        <w:separator/>
      </w:r>
    </w:p>
  </w:footnote>
  <w:footnote w:type="continuationSeparator" w:id="0">
    <w:p w14:paraId="1CECC0AB" w14:textId="77777777" w:rsidR="00DF3A52" w:rsidRDefault="00DF3A52">
      <w:pPr>
        <w:spacing w:line="180" w:lineRule="exact"/>
      </w:pPr>
      <w:r>
        <w:continuationSeparator/>
      </w:r>
    </w:p>
    <w:p w14:paraId="41A834B7" w14:textId="77777777" w:rsidR="00DF3A52" w:rsidRDefault="00DF3A52"/>
    <w:p w14:paraId="6CFB2D17" w14:textId="77777777" w:rsidR="00DF3A52" w:rsidRDefault="00DF3A52"/>
  </w:footnote>
  <w:footnote w:type="continuationNotice" w:id="1">
    <w:p w14:paraId="72A29F49" w14:textId="77777777" w:rsidR="00DF3A52" w:rsidRDefault="00DF3A52"/>
    <w:p w14:paraId="63C596A6" w14:textId="77777777" w:rsidR="00DF3A52" w:rsidRDefault="00DF3A52"/>
    <w:p w14:paraId="2E314422" w14:textId="77777777" w:rsidR="00DF3A52" w:rsidRDefault="00DF3A52"/>
  </w:footnote>
  <w:footnote w:id="2">
    <w:p w14:paraId="6A23F07D" w14:textId="54F91BBB" w:rsidR="00E043B4" w:rsidRDefault="00E043B4">
      <w:pPr>
        <w:pStyle w:val="FootnoteText"/>
      </w:pPr>
      <w:r>
        <w:rPr>
          <w:rStyle w:val="FootnoteReference"/>
        </w:rPr>
        <w:footnoteRef/>
      </w:r>
      <w:r>
        <w:t xml:space="preserve"> </w:t>
      </w:r>
      <w:r w:rsidRPr="00B102FF">
        <w:t xml:space="preserve">Food and Agriculture Organisation of the United Nations (FAO), 2024. </w:t>
      </w:r>
      <w:hyperlink r:id="rId1" w:history="1">
        <w:r w:rsidRPr="0057686F">
          <w:rPr>
            <w:rStyle w:val="Hyperlink"/>
            <w:i/>
            <w:iCs/>
          </w:rPr>
          <w:t>Codex online databases – CODEXALIMENTARIUS FAO-WHO</w:t>
        </w:r>
      </w:hyperlink>
      <w:r w:rsidRPr="00B102FF">
        <w:t>, FAO website.</w:t>
      </w:r>
    </w:p>
  </w:footnote>
  <w:footnote w:id="3">
    <w:p w14:paraId="4E6286C7" w14:textId="50EC8EBE" w:rsidR="00E043B4" w:rsidRDefault="00E043B4">
      <w:pPr>
        <w:pStyle w:val="FootnoteText"/>
      </w:pPr>
      <w:r>
        <w:rPr>
          <w:rStyle w:val="FootnoteReference"/>
        </w:rPr>
        <w:footnoteRef/>
      </w:r>
      <w:r>
        <w:t xml:space="preserve"> Electronic Code of Federal Regulations (eCFR), 2024. </w:t>
      </w:r>
      <w:hyperlink r:id="rId2" w:history="1">
        <w:r w:rsidRPr="0057686F">
          <w:rPr>
            <w:rStyle w:val="Hyperlink"/>
            <w:i/>
            <w:iCs/>
          </w:rPr>
          <w:t>Title 21, Chapter I, Subchapter E, Part 556, Subpart B – Specific Tolerances for Residues of Approved and Conditionally Approved New Animal Drugs</w:t>
        </w:r>
      </w:hyperlink>
      <w:r>
        <w:t>, eCFR website.</w:t>
      </w:r>
    </w:p>
  </w:footnote>
  <w:footnote w:id="4">
    <w:p w14:paraId="6FF79579" w14:textId="43EEF045" w:rsidR="00E043B4" w:rsidRDefault="00E043B4">
      <w:pPr>
        <w:pStyle w:val="FootnoteText"/>
      </w:pPr>
      <w:r>
        <w:rPr>
          <w:rStyle w:val="FootnoteReference"/>
        </w:rPr>
        <w:footnoteRef/>
      </w:r>
      <w:r>
        <w:t xml:space="preserve"> EUR-Lex, 2023. </w:t>
      </w:r>
      <w:hyperlink r:id="rId3" w:history="1">
        <w:r w:rsidRPr="00E043B4">
          <w:rPr>
            <w:rStyle w:val="Hyperlink"/>
            <w:i/>
            <w:iCs/>
          </w:rPr>
          <w:t>Commission Regulation (EU) No 37/2010 of 22 December 2009 on pharmacologically active substances and their classification regarding maximum residue limits in foodstuffs of animal origin</w:t>
        </w:r>
      </w:hyperlink>
      <w:r>
        <w:t>, EUR-Lex website.</w:t>
      </w:r>
    </w:p>
  </w:footnote>
  <w:footnote w:id="5">
    <w:p w14:paraId="16AF4399" w14:textId="294ACDCE" w:rsidR="00E043B4" w:rsidRDefault="00E043B4">
      <w:pPr>
        <w:pStyle w:val="FootnoteText"/>
      </w:pPr>
      <w:r>
        <w:rPr>
          <w:rStyle w:val="FootnoteReference"/>
        </w:rPr>
        <w:footnoteRef/>
      </w:r>
      <w:r>
        <w:t xml:space="preserve"> </w:t>
      </w:r>
      <w:r w:rsidRPr="00B102FF">
        <w:t>Japan Food Chemical Research Foundation</w:t>
      </w:r>
      <w:r>
        <w:t xml:space="preserve"> (JPCRF), 2024. </w:t>
      </w:r>
      <w:hyperlink r:id="rId4" w:history="1">
        <w:r w:rsidRPr="0057686F">
          <w:rPr>
            <w:rStyle w:val="Hyperlink"/>
            <w:i/>
            <w:iCs/>
          </w:rPr>
          <w:t>List of limit amounts of pesticides, veterinary drugs, and feed additives remaining in food</w:t>
        </w:r>
      </w:hyperlink>
      <w:r>
        <w:rPr>
          <w:i/>
          <w:iCs/>
        </w:rPr>
        <w:t>,</w:t>
      </w:r>
      <w:r w:rsidRPr="00B102FF">
        <w:t xml:space="preserve"> JPCRF website.</w:t>
      </w:r>
    </w:p>
  </w:footnote>
  <w:footnote w:id="6">
    <w:p w14:paraId="6F89DDF3" w14:textId="5CB92C46" w:rsidR="00E043B4" w:rsidRDefault="00E043B4">
      <w:pPr>
        <w:pStyle w:val="FootnoteText"/>
      </w:pPr>
      <w:r>
        <w:rPr>
          <w:rStyle w:val="FootnoteReference"/>
        </w:rPr>
        <w:footnoteRef/>
      </w:r>
      <w:r>
        <w:t xml:space="preserve"> Korean Ministry of Food and Drug Safety, 2024. </w:t>
      </w:r>
      <w:hyperlink r:id="rId5" w:history="1">
        <w:r w:rsidRPr="0057686F">
          <w:rPr>
            <w:rStyle w:val="Hyperlink"/>
            <w:i/>
            <w:iCs/>
          </w:rPr>
          <w:t>Veterinary Drugs MRLs</w:t>
        </w:r>
      </w:hyperlink>
      <w:r w:rsidRPr="00B102FF">
        <w:t>, Ministry of Food and Drug Safety website.</w:t>
      </w:r>
    </w:p>
  </w:footnote>
  <w:footnote w:id="7">
    <w:p w14:paraId="405842C7" w14:textId="30030B83" w:rsidR="00A77489" w:rsidRDefault="00A77489" w:rsidP="0057686F">
      <w:pPr>
        <w:pStyle w:val="FootnoteText"/>
        <w:ind w:left="0" w:firstLine="0"/>
      </w:pPr>
      <w:r>
        <w:rPr>
          <w:rStyle w:val="FootnoteReference"/>
        </w:rPr>
        <w:footnoteRef/>
      </w:r>
      <w:r>
        <w:t xml:space="preserve"> </w:t>
      </w:r>
      <w:r w:rsidR="00B102FF">
        <w:t xml:space="preserve">Food and Agriculture Organization of the United Nations and World Health Organization (FAO), 2011. </w:t>
      </w:r>
      <w:r w:rsidR="00B102FF" w:rsidRPr="00B102FF">
        <w:rPr>
          <w:i/>
          <w:iCs/>
        </w:rPr>
        <w:t>Environmental Health Criteria 240 – Principles and Methods for the Risk Assessment of Chemicals in Food</w:t>
      </w:r>
      <w:r w:rsidR="00B102F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05A79D5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194BF7">
      <w:t>Neomycin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F933" w14:textId="7F10DA7E" w:rsidR="00047811" w:rsidRPr="002F0423" w:rsidRDefault="002F0423" w:rsidP="002F042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9</w:t>
    </w:r>
    <w:r>
      <w:rPr>
        <w:rStyle w:val="PageNumber"/>
        <w:b w:val="0"/>
        <w:caps/>
        <w:szCs w:val="24"/>
      </w:rPr>
      <w:fldChar w:fldCharType="end"/>
    </w:r>
    <w:r>
      <w:tab/>
    </w:r>
    <w:r w:rsidR="008C2A4F" w:rsidRPr="008C2A4F">
      <w:t>Neomycin Review Technical Report</w: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E782" w14:textId="577542E6" w:rsidR="002F0423" w:rsidRPr="002F0423" w:rsidRDefault="002F0423" w:rsidP="002F0423">
    <w:pPr>
      <w:pStyle w:val="OddHeader"/>
    </w:pPr>
    <w:r>
      <w:tab/>
    </w:r>
    <w:r w:rsidR="008C2A4F">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C10F" w14:textId="6F86B8B9" w:rsidR="002F0423" w:rsidRPr="002F0423" w:rsidRDefault="002F0423" w:rsidP="002F0423">
    <w:pPr>
      <w:pStyle w:val="OddHeader"/>
    </w:pPr>
    <w:r>
      <w:tab/>
    </w:r>
    <w:r w:rsidR="008C2A4F">
      <w:t>Environmental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3882" w14:textId="7FAAA38C" w:rsidR="008C2A4F" w:rsidRPr="002F0423" w:rsidRDefault="008C2A4F" w:rsidP="002F0423">
    <w:pPr>
      <w:pStyle w:val="OddHeader"/>
    </w:pPr>
    <w:r>
      <w:tab/>
      <w:t>Efficacy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F9E8" w14:textId="400B53EB" w:rsidR="002F0423" w:rsidRPr="002F0423" w:rsidRDefault="002F0423" w:rsidP="002F0423">
    <w:pPr>
      <w:pStyle w:val="OddHeader"/>
    </w:pPr>
    <w:r>
      <w:tab/>
    </w:r>
    <w:r w:rsidR="008C2A4F">
      <w:t>Efficacy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C242" w14:textId="22883160" w:rsidR="008C2A4F" w:rsidRPr="002F0423" w:rsidRDefault="008C2A4F" w:rsidP="002F0423">
    <w:pPr>
      <w:pStyle w:val="OddHeader"/>
    </w:pPr>
    <w:r>
      <w:tab/>
    </w:r>
    <w:r w:rsidRPr="008C2A4F">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92CB" w14:textId="437BA1D7" w:rsidR="00D23D6A" w:rsidRPr="002F0423" w:rsidRDefault="002F0423" w:rsidP="002F0423">
    <w:pPr>
      <w:pStyle w:val="OddHeader"/>
    </w:pPr>
    <w:r>
      <w:tab/>
    </w:r>
    <w:r w:rsidR="008C2A4F" w:rsidRPr="008C2A4F">
      <w:t>Appendix A – Summary of proposed changes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46</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FD09" w14:textId="06080A69" w:rsidR="00D23D6A" w:rsidRPr="002F0423" w:rsidRDefault="002F0423" w:rsidP="002F042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47</w:t>
    </w:r>
    <w:r>
      <w:rPr>
        <w:rStyle w:val="PageNumber"/>
        <w:b w:val="0"/>
        <w:caps/>
        <w:szCs w:val="24"/>
      </w:rPr>
      <w:fldChar w:fldCharType="end"/>
    </w:r>
    <w:r>
      <w:tab/>
    </w:r>
    <w:r w:rsidR="008C2A4F" w:rsidRPr="008C2A4F">
      <w:t>Neomycin Review Technical Report</w:t>
    </w: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CDAA" w14:textId="14EA2545" w:rsidR="002F0423" w:rsidRPr="002F0423" w:rsidRDefault="002F0423" w:rsidP="002F0423">
    <w:pPr>
      <w:pStyle w:val="OddHeader"/>
    </w:pPr>
    <w:r>
      <w:tab/>
    </w:r>
    <w:r w:rsidR="00BE41FD" w:rsidRPr="00BE41FD">
      <w:t>Acronyms and abbreviations</w:t>
    </w:r>
    <w:r w:rsidR="00BE41FD" w:rsidRPr="00BE41FD" w:rsidDel="00BE41FD">
      <w:t xml:space="preserve"> </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46</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CC0D" w14:textId="44543FA0" w:rsidR="002F0423" w:rsidRPr="002F0423" w:rsidRDefault="002F0423" w:rsidP="002F0423">
    <w:pPr>
      <w:pStyle w:val="OddHeader"/>
    </w:pPr>
    <w:r>
      <w:tab/>
    </w:r>
    <w:r w:rsidR="008C2A4F">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46</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40C9501B" w:rsidR="00D23D6A" w:rsidRPr="002F0423" w:rsidRDefault="002F0423" w:rsidP="002F042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47</w:t>
    </w:r>
    <w:r>
      <w:rPr>
        <w:rStyle w:val="PageNumber"/>
        <w:b w:val="0"/>
        <w:caps/>
        <w:szCs w:val="24"/>
      </w:rPr>
      <w:fldChar w:fldCharType="end"/>
    </w:r>
    <w:r>
      <w:tab/>
    </w:r>
    <w:r w:rsidR="008C2A4F" w:rsidRPr="008C2A4F">
      <w:t>Neomycin Review Technical Report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7586" w14:textId="00E79FB4" w:rsidR="002F0423" w:rsidRPr="002F0423" w:rsidRDefault="002F0423" w:rsidP="002F0423">
    <w:pPr>
      <w:pStyle w:val="OddHeader"/>
    </w:pPr>
    <w:r>
      <w:tab/>
    </w:r>
    <w:r w:rsidR="008C2A4F" w:rsidRPr="008C2A4F">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104F" w14:textId="0F358412" w:rsidR="00D23D6A" w:rsidRPr="002F0423" w:rsidRDefault="002F0423" w:rsidP="002F042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008C2A4F" w:rsidRPr="008C2A4F">
      <w:t>Neomycin Review Technical Report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30F6" w14:textId="527D2171" w:rsidR="002F0423" w:rsidRPr="002F0423" w:rsidRDefault="002F0423" w:rsidP="002F0423">
    <w:pPr>
      <w:pStyle w:val="OddHeader"/>
    </w:pPr>
    <w:r>
      <w:tab/>
    </w:r>
    <w:r w:rsidR="008C2A4F" w:rsidRPr="008C2A4F">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095" w14:textId="14361DC7" w:rsidR="00D23D6A" w:rsidRPr="002F0423" w:rsidRDefault="002F0423" w:rsidP="002F042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1</w:t>
    </w:r>
    <w:r>
      <w:rPr>
        <w:rStyle w:val="PageNumber"/>
        <w:b w:val="0"/>
        <w:caps/>
        <w:szCs w:val="24"/>
      </w:rPr>
      <w:fldChar w:fldCharType="end"/>
    </w:r>
    <w:r>
      <w:tab/>
    </w:r>
    <w:r w:rsidR="008C2A4F" w:rsidRPr="008C2A4F">
      <w:t>Neomycin Review Technical Report</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FF2C" w14:textId="23035675" w:rsidR="002F0423" w:rsidRPr="002F0423" w:rsidRDefault="002F0423" w:rsidP="002F0423">
    <w:pPr>
      <w:pStyle w:val="OddHeader"/>
    </w:pPr>
    <w:r>
      <w:tab/>
    </w:r>
    <w:r w:rsidR="008C2A4F" w:rsidRPr="008C2A4F">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760A" w14:textId="60D28632" w:rsidR="00047811" w:rsidRPr="002F0423" w:rsidRDefault="002F0423" w:rsidP="002F042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5</w:t>
    </w:r>
    <w:r>
      <w:rPr>
        <w:rStyle w:val="PageNumber"/>
        <w:b w:val="0"/>
        <w:caps/>
        <w:szCs w:val="24"/>
      </w:rPr>
      <w:fldChar w:fldCharType="end"/>
    </w:r>
    <w:r>
      <w:tab/>
    </w:r>
    <w:r w:rsidR="008C2A4F" w:rsidRPr="008C2A4F">
      <w:t>Neomycin Review Technical Report</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CD45" w14:textId="398D9366" w:rsidR="002F0423" w:rsidRPr="002F0423" w:rsidRDefault="002F0423" w:rsidP="002F0423">
    <w:pPr>
      <w:pStyle w:val="OddHeader"/>
    </w:pPr>
    <w:r>
      <w:tab/>
    </w:r>
    <w:r w:rsidR="008C2A4F" w:rsidRPr="008C2A4F">
      <w:t>Human health</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4328"/>
        </w:tabs>
        <w:ind w:left="4328"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C6421"/>
    <w:multiLevelType w:val="hybridMultilevel"/>
    <w:tmpl w:val="25324B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1072F3"/>
    <w:multiLevelType w:val="hybridMultilevel"/>
    <w:tmpl w:val="6F50BA34"/>
    <w:lvl w:ilvl="0" w:tplc="CE6A52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6D6980"/>
    <w:multiLevelType w:val="hybridMultilevel"/>
    <w:tmpl w:val="DC403426"/>
    <w:lvl w:ilvl="0" w:tplc="5DDAD3A4">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5" w15:restartNumberingAfterBreak="0">
    <w:nsid w:val="06105609"/>
    <w:multiLevelType w:val="hybridMultilevel"/>
    <w:tmpl w:val="9BCC57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6BA4964"/>
    <w:multiLevelType w:val="hybridMultilevel"/>
    <w:tmpl w:val="3E36F678"/>
    <w:lvl w:ilvl="0" w:tplc="417485B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AD41C4C"/>
    <w:multiLevelType w:val="hybridMultilevel"/>
    <w:tmpl w:val="68C6C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E550120"/>
    <w:multiLevelType w:val="hybridMultilevel"/>
    <w:tmpl w:val="A25AC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E614860"/>
    <w:multiLevelType w:val="hybridMultilevel"/>
    <w:tmpl w:val="383E2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F6722A5"/>
    <w:multiLevelType w:val="hybridMultilevel"/>
    <w:tmpl w:val="7F66D6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1B02DCA"/>
    <w:multiLevelType w:val="multilevel"/>
    <w:tmpl w:val="E10C04E4"/>
    <w:lvl w:ilvl="0">
      <w:start w:val="10"/>
      <w:numFmt w:val="decimal"/>
      <w:lvlText w:val="%1."/>
      <w:lvlJc w:val="left"/>
      <w:pPr>
        <w:ind w:left="927" w:hanging="360"/>
      </w:pPr>
      <w:rPr>
        <w:rFonts w:hint="default"/>
      </w:rPr>
    </w:lvl>
    <w:lvl w:ilvl="1">
      <w:start w:val="1"/>
      <w:numFmt w:val="decimal"/>
      <w:isLgl/>
      <w:lvlText w:val="%1.%2"/>
      <w:lvlJc w:val="left"/>
      <w:pPr>
        <w:ind w:left="146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3348" w:hanging="144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82" w:hanging="180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25" w15:restartNumberingAfterBreak="0">
    <w:nsid w:val="151B6B2F"/>
    <w:multiLevelType w:val="hybridMultilevel"/>
    <w:tmpl w:val="7480EC18"/>
    <w:lvl w:ilvl="0" w:tplc="10AE2380">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6807114"/>
    <w:multiLevelType w:val="hybridMultilevel"/>
    <w:tmpl w:val="D6565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718211B"/>
    <w:multiLevelType w:val="hybridMultilevel"/>
    <w:tmpl w:val="289678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181104F9"/>
    <w:multiLevelType w:val="hybridMultilevel"/>
    <w:tmpl w:val="4C167662"/>
    <w:lvl w:ilvl="0" w:tplc="05FE5C4E">
      <w:start w:val="1"/>
      <w:numFmt w:val="decimal"/>
      <w:pStyle w:val="table"/>
      <w:lvlText w:val="Table %1:"/>
      <w:lvlJc w:val="left"/>
      <w:pPr>
        <w:tabs>
          <w:tab w:val="num" w:pos="2924"/>
        </w:tabs>
        <w:ind w:left="2354" w:hanging="510"/>
      </w:pPr>
      <w:rPr>
        <w:rFonts w:hint="default"/>
        <w:b/>
        <w:sz w:val="20"/>
        <w:szCs w:val="20"/>
      </w:rPr>
    </w:lvl>
    <w:lvl w:ilvl="1" w:tplc="04090019" w:tentative="1">
      <w:start w:val="1"/>
      <w:numFmt w:val="lowerLetter"/>
      <w:lvlText w:val="%2."/>
      <w:lvlJc w:val="left"/>
      <w:pPr>
        <w:tabs>
          <w:tab w:val="num" w:pos="3284"/>
        </w:tabs>
        <w:ind w:left="3284" w:hanging="360"/>
      </w:pPr>
    </w:lvl>
    <w:lvl w:ilvl="2" w:tplc="0409001B" w:tentative="1">
      <w:start w:val="1"/>
      <w:numFmt w:val="lowerRoman"/>
      <w:lvlText w:val="%3."/>
      <w:lvlJc w:val="right"/>
      <w:pPr>
        <w:tabs>
          <w:tab w:val="num" w:pos="4004"/>
        </w:tabs>
        <w:ind w:left="4004" w:hanging="180"/>
      </w:pPr>
    </w:lvl>
    <w:lvl w:ilvl="3" w:tplc="0409000F" w:tentative="1">
      <w:start w:val="1"/>
      <w:numFmt w:val="decimal"/>
      <w:lvlText w:val="%4."/>
      <w:lvlJc w:val="left"/>
      <w:pPr>
        <w:tabs>
          <w:tab w:val="num" w:pos="4724"/>
        </w:tabs>
        <w:ind w:left="4724" w:hanging="360"/>
      </w:pPr>
    </w:lvl>
    <w:lvl w:ilvl="4" w:tplc="04090019" w:tentative="1">
      <w:start w:val="1"/>
      <w:numFmt w:val="lowerLetter"/>
      <w:lvlText w:val="%5."/>
      <w:lvlJc w:val="left"/>
      <w:pPr>
        <w:tabs>
          <w:tab w:val="num" w:pos="5444"/>
        </w:tabs>
        <w:ind w:left="5444" w:hanging="360"/>
      </w:pPr>
    </w:lvl>
    <w:lvl w:ilvl="5" w:tplc="0409001B" w:tentative="1">
      <w:start w:val="1"/>
      <w:numFmt w:val="lowerRoman"/>
      <w:lvlText w:val="%6."/>
      <w:lvlJc w:val="right"/>
      <w:pPr>
        <w:tabs>
          <w:tab w:val="num" w:pos="6164"/>
        </w:tabs>
        <w:ind w:left="6164" w:hanging="180"/>
      </w:pPr>
    </w:lvl>
    <w:lvl w:ilvl="6" w:tplc="0409000F" w:tentative="1">
      <w:start w:val="1"/>
      <w:numFmt w:val="decimal"/>
      <w:lvlText w:val="%7."/>
      <w:lvlJc w:val="left"/>
      <w:pPr>
        <w:tabs>
          <w:tab w:val="num" w:pos="6884"/>
        </w:tabs>
        <w:ind w:left="6884" w:hanging="360"/>
      </w:pPr>
    </w:lvl>
    <w:lvl w:ilvl="7" w:tplc="04090019" w:tentative="1">
      <w:start w:val="1"/>
      <w:numFmt w:val="lowerLetter"/>
      <w:lvlText w:val="%8."/>
      <w:lvlJc w:val="left"/>
      <w:pPr>
        <w:tabs>
          <w:tab w:val="num" w:pos="7604"/>
        </w:tabs>
        <w:ind w:left="7604" w:hanging="360"/>
      </w:pPr>
    </w:lvl>
    <w:lvl w:ilvl="8" w:tplc="0409001B" w:tentative="1">
      <w:start w:val="1"/>
      <w:numFmt w:val="lowerRoman"/>
      <w:lvlText w:val="%9."/>
      <w:lvlJc w:val="right"/>
      <w:pPr>
        <w:tabs>
          <w:tab w:val="num" w:pos="8324"/>
        </w:tabs>
        <w:ind w:left="8324" w:hanging="180"/>
      </w:pPr>
    </w:lvl>
  </w:abstractNum>
  <w:abstractNum w:abstractNumId="29" w15:restartNumberingAfterBreak="0">
    <w:nsid w:val="19D24F0C"/>
    <w:multiLevelType w:val="hybridMultilevel"/>
    <w:tmpl w:val="C46A8B7A"/>
    <w:lvl w:ilvl="0" w:tplc="CE6A52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A921834"/>
    <w:multiLevelType w:val="hybridMultilevel"/>
    <w:tmpl w:val="2A9E4830"/>
    <w:lvl w:ilvl="0" w:tplc="10AE2380">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1D840DBF"/>
    <w:multiLevelType w:val="multilevel"/>
    <w:tmpl w:val="A0E29732"/>
    <w:lvl w:ilvl="0">
      <w:start w:val="9"/>
      <w:numFmt w:val="decimal"/>
      <w:lvlText w:val="%1."/>
      <w:lvlJc w:val="left"/>
      <w:pPr>
        <w:ind w:left="927" w:hanging="360"/>
      </w:pPr>
      <w:rPr>
        <w:rFonts w:hint="default"/>
      </w:rPr>
    </w:lvl>
    <w:lvl w:ilvl="1">
      <w:start w:val="1"/>
      <w:numFmt w:val="decimal"/>
      <w:lvlText w:val="%1.%2."/>
      <w:lvlJc w:val="left"/>
      <w:pPr>
        <w:ind w:left="1359" w:hanging="432"/>
      </w:pPr>
      <w:rPr>
        <w:rFonts w:hint="default"/>
        <w:b w:val="0"/>
        <w:bCs w:val="0"/>
        <w:i w:val="0"/>
        <w:iCs w:val="0"/>
        <w:caps w:val="0"/>
        <w:smallCaps w:val="0"/>
        <w:strike w:val="0"/>
        <w:dstrike w:val="0"/>
        <w:vanish w:val="0"/>
        <w:color w:val="000000"/>
        <w:spacing w:val="0"/>
        <w:kern w:val="0"/>
        <w:position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791" w:hanging="504"/>
      </w:pPr>
      <w:rPr>
        <w:rFonts w:hint="default"/>
        <w:b w:val="0"/>
        <w:bCs w:val="0"/>
        <w:i w:val="0"/>
        <w:iCs w:val="0"/>
        <w:caps w:val="0"/>
        <w:smallCaps w:val="0"/>
        <w:strike w:val="0"/>
        <w:dstrike w:val="0"/>
        <w:vanish w:val="0"/>
        <w:color w:val="000000"/>
        <w:spacing w:val="0"/>
        <w:kern w:val="0"/>
        <w:position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3" w15:restartNumberingAfterBreak="0">
    <w:nsid w:val="1D951159"/>
    <w:multiLevelType w:val="hybridMultilevel"/>
    <w:tmpl w:val="AB9C0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F8159C9"/>
    <w:multiLevelType w:val="hybridMultilevel"/>
    <w:tmpl w:val="68142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1D22BA3"/>
    <w:multiLevelType w:val="hybridMultilevel"/>
    <w:tmpl w:val="9294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0F4E18"/>
    <w:multiLevelType w:val="hybridMultilevel"/>
    <w:tmpl w:val="663EB6C6"/>
    <w:lvl w:ilvl="0" w:tplc="417485B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7300B9B"/>
    <w:multiLevelType w:val="hybridMultilevel"/>
    <w:tmpl w:val="C6928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7C265C1"/>
    <w:multiLevelType w:val="hybridMultilevel"/>
    <w:tmpl w:val="DD52376C"/>
    <w:lvl w:ilvl="0" w:tplc="280222E2">
      <w:numFmt w:val="bullet"/>
      <w:lvlText w:val="•"/>
      <w:lvlJc w:val="left"/>
      <w:pPr>
        <w:ind w:left="1137"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80D4813"/>
    <w:multiLevelType w:val="multilevel"/>
    <w:tmpl w:val="FA285B7E"/>
    <w:lvl w:ilvl="0">
      <w:start w:val="7"/>
      <w:numFmt w:val="decimal"/>
      <w:lvlText w:val="%1."/>
      <w:lvlJc w:val="left"/>
      <w:pPr>
        <w:ind w:left="927" w:hanging="360"/>
      </w:pPr>
      <w:rPr>
        <w:rFonts w:hint="default"/>
      </w:rPr>
    </w:lvl>
    <w:lvl w:ilvl="1">
      <w:start w:val="1"/>
      <w:numFmt w:val="decimal"/>
      <w:isLgl/>
      <w:lvlText w:val="%1.%2"/>
      <w:lvlJc w:val="left"/>
      <w:pPr>
        <w:ind w:left="146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3348" w:hanging="144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82" w:hanging="180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40" w15:restartNumberingAfterBreak="0">
    <w:nsid w:val="289B03E2"/>
    <w:multiLevelType w:val="hybridMultilevel"/>
    <w:tmpl w:val="3BD0E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9D926F7"/>
    <w:multiLevelType w:val="hybridMultilevel"/>
    <w:tmpl w:val="A906C502"/>
    <w:lvl w:ilvl="0" w:tplc="CD20C2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D153AF9"/>
    <w:multiLevelType w:val="hybridMultilevel"/>
    <w:tmpl w:val="964AFB48"/>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28221D"/>
    <w:multiLevelType w:val="hybridMultilevel"/>
    <w:tmpl w:val="E15AE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DB12A5D"/>
    <w:multiLevelType w:val="hybridMultilevel"/>
    <w:tmpl w:val="F4841D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2EF400DC"/>
    <w:multiLevelType w:val="hybridMultilevel"/>
    <w:tmpl w:val="3C341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0E57E52"/>
    <w:multiLevelType w:val="multilevel"/>
    <w:tmpl w:val="DB921D50"/>
    <w:lvl w:ilvl="0">
      <w:start w:val="1"/>
      <w:numFmt w:val="decimal"/>
      <w:lvlText w:val="%1."/>
      <w:lvlJc w:val="left"/>
      <w:pPr>
        <w:ind w:left="720" w:hanging="360"/>
      </w:pPr>
    </w:lvl>
    <w:lvl w:ilvl="1">
      <w:start w:val="6"/>
      <w:numFmt w:val="decimal"/>
      <w:isLgl/>
      <w:lvlText w:val="%1.%2"/>
      <w:lvlJc w:val="left"/>
      <w:pPr>
        <w:ind w:left="146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3348" w:hanging="144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82" w:hanging="180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48" w15:restartNumberingAfterBreak="0">
    <w:nsid w:val="31302D2F"/>
    <w:multiLevelType w:val="multilevel"/>
    <w:tmpl w:val="016E5B92"/>
    <w:lvl w:ilvl="0">
      <w:start w:val="7"/>
      <w:numFmt w:val="decimal"/>
      <w:lvlText w:val="%1."/>
      <w:lvlJc w:val="left"/>
      <w:pPr>
        <w:ind w:left="927" w:hanging="360"/>
      </w:pPr>
      <w:rPr>
        <w:rFonts w:hint="default"/>
      </w:rPr>
    </w:lvl>
    <w:lvl w:ilvl="1">
      <w:start w:val="1"/>
      <w:numFmt w:val="decimal"/>
      <w:isLgl/>
      <w:lvlText w:val="%1.%2"/>
      <w:lvlJc w:val="left"/>
      <w:pPr>
        <w:ind w:left="1467"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3348" w:hanging="144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82" w:hanging="180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49"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A76790"/>
    <w:multiLevelType w:val="hybridMultilevel"/>
    <w:tmpl w:val="4A66BB42"/>
    <w:lvl w:ilvl="0" w:tplc="8E0844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388741F8"/>
    <w:multiLevelType w:val="multilevel"/>
    <w:tmpl w:val="1F9E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B927F43"/>
    <w:multiLevelType w:val="hybridMultilevel"/>
    <w:tmpl w:val="FDECE5C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6" w15:restartNumberingAfterBreak="0">
    <w:nsid w:val="3CB816AF"/>
    <w:multiLevelType w:val="hybridMultilevel"/>
    <w:tmpl w:val="120E17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D477ABC"/>
    <w:multiLevelType w:val="multilevel"/>
    <w:tmpl w:val="016E5B92"/>
    <w:lvl w:ilvl="0">
      <w:start w:val="7"/>
      <w:numFmt w:val="decimal"/>
      <w:lvlText w:val="%1."/>
      <w:lvlJc w:val="left"/>
      <w:pPr>
        <w:ind w:left="927" w:hanging="360"/>
      </w:pPr>
      <w:rPr>
        <w:rFonts w:hint="default"/>
      </w:rPr>
    </w:lvl>
    <w:lvl w:ilvl="1">
      <w:start w:val="1"/>
      <w:numFmt w:val="decimal"/>
      <w:isLgl/>
      <w:lvlText w:val="%1.%2"/>
      <w:lvlJc w:val="left"/>
      <w:pPr>
        <w:ind w:left="146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3348" w:hanging="144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82" w:hanging="180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58" w15:restartNumberingAfterBreak="0">
    <w:nsid w:val="401C335F"/>
    <w:multiLevelType w:val="hybridMultilevel"/>
    <w:tmpl w:val="0BDEB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1E24364"/>
    <w:multiLevelType w:val="hybridMultilevel"/>
    <w:tmpl w:val="28DCF1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43321844"/>
    <w:multiLevelType w:val="hybridMultilevel"/>
    <w:tmpl w:val="4F6A1794"/>
    <w:lvl w:ilvl="0" w:tplc="EC5AD922">
      <w:numFmt w:val="bullet"/>
      <w:lvlText w:val=""/>
      <w:lvlJc w:val="left"/>
      <w:pPr>
        <w:ind w:left="494" w:hanging="360"/>
      </w:pPr>
      <w:rPr>
        <w:rFonts w:ascii="Symbol" w:eastAsia="Symbol" w:hAnsi="Symbol" w:cs="Symbol" w:hint="default"/>
        <w:b w:val="0"/>
        <w:bCs w:val="0"/>
        <w:i w:val="0"/>
        <w:iCs w:val="0"/>
        <w:color w:val="52284F"/>
        <w:w w:val="100"/>
        <w:sz w:val="20"/>
        <w:szCs w:val="20"/>
        <w:lang w:val="en-US" w:eastAsia="en-US" w:bidi="ar-SA"/>
      </w:rPr>
    </w:lvl>
    <w:lvl w:ilvl="1" w:tplc="6E54EB68">
      <w:numFmt w:val="bullet"/>
      <w:lvlText w:val="•"/>
      <w:lvlJc w:val="left"/>
      <w:pPr>
        <w:ind w:left="1440" w:hanging="360"/>
      </w:pPr>
      <w:rPr>
        <w:rFonts w:hint="default"/>
        <w:lang w:val="en-US" w:eastAsia="en-US" w:bidi="ar-SA"/>
      </w:rPr>
    </w:lvl>
    <w:lvl w:ilvl="2" w:tplc="B19EAFDE">
      <w:numFmt w:val="bullet"/>
      <w:lvlText w:val="•"/>
      <w:lvlJc w:val="left"/>
      <w:pPr>
        <w:ind w:left="2381" w:hanging="360"/>
      </w:pPr>
      <w:rPr>
        <w:rFonts w:hint="default"/>
        <w:lang w:val="en-US" w:eastAsia="en-US" w:bidi="ar-SA"/>
      </w:rPr>
    </w:lvl>
    <w:lvl w:ilvl="3" w:tplc="75EC7DC2">
      <w:numFmt w:val="bullet"/>
      <w:lvlText w:val="•"/>
      <w:lvlJc w:val="left"/>
      <w:pPr>
        <w:ind w:left="3321" w:hanging="360"/>
      </w:pPr>
      <w:rPr>
        <w:rFonts w:hint="default"/>
        <w:lang w:val="en-US" w:eastAsia="en-US" w:bidi="ar-SA"/>
      </w:rPr>
    </w:lvl>
    <w:lvl w:ilvl="4" w:tplc="2146E8C4">
      <w:numFmt w:val="bullet"/>
      <w:lvlText w:val="•"/>
      <w:lvlJc w:val="left"/>
      <w:pPr>
        <w:ind w:left="4262" w:hanging="360"/>
      </w:pPr>
      <w:rPr>
        <w:rFonts w:hint="default"/>
        <w:lang w:val="en-US" w:eastAsia="en-US" w:bidi="ar-SA"/>
      </w:rPr>
    </w:lvl>
    <w:lvl w:ilvl="5" w:tplc="36E41C54">
      <w:numFmt w:val="bullet"/>
      <w:lvlText w:val="•"/>
      <w:lvlJc w:val="left"/>
      <w:pPr>
        <w:ind w:left="5203" w:hanging="360"/>
      </w:pPr>
      <w:rPr>
        <w:rFonts w:hint="default"/>
        <w:lang w:val="en-US" w:eastAsia="en-US" w:bidi="ar-SA"/>
      </w:rPr>
    </w:lvl>
    <w:lvl w:ilvl="6" w:tplc="4C247596">
      <w:numFmt w:val="bullet"/>
      <w:lvlText w:val="•"/>
      <w:lvlJc w:val="left"/>
      <w:pPr>
        <w:ind w:left="6143" w:hanging="360"/>
      </w:pPr>
      <w:rPr>
        <w:rFonts w:hint="default"/>
        <w:lang w:val="en-US" w:eastAsia="en-US" w:bidi="ar-SA"/>
      </w:rPr>
    </w:lvl>
    <w:lvl w:ilvl="7" w:tplc="8F08A982">
      <w:numFmt w:val="bullet"/>
      <w:lvlText w:val="•"/>
      <w:lvlJc w:val="left"/>
      <w:pPr>
        <w:ind w:left="7084" w:hanging="360"/>
      </w:pPr>
      <w:rPr>
        <w:rFonts w:hint="default"/>
        <w:lang w:val="en-US" w:eastAsia="en-US" w:bidi="ar-SA"/>
      </w:rPr>
    </w:lvl>
    <w:lvl w:ilvl="8" w:tplc="7D28E4AC">
      <w:numFmt w:val="bullet"/>
      <w:lvlText w:val="•"/>
      <w:lvlJc w:val="left"/>
      <w:pPr>
        <w:ind w:left="8025" w:hanging="360"/>
      </w:pPr>
      <w:rPr>
        <w:rFonts w:hint="default"/>
        <w:lang w:val="en-US" w:eastAsia="en-US" w:bidi="ar-SA"/>
      </w:rPr>
    </w:lvl>
  </w:abstractNum>
  <w:abstractNum w:abstractNumId="61" w15:restartNumberingAfterBreak="0">
    <w:nsid w:val="442B7A62"/>
    <w:multiLevelType w:val="hybridMultilevel"/>
    <w:tmpl w:val="893AE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54F364D"/>
    <w:multiLevelType w:val="hybridMultilevel"/>
    <w:tmpl w:val="63CAA70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60857AA"/>
    <w:multiLevelType w:val="hybridMultilevel"/>
    <w:tmpl w:val="A40CC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7024B76"/>
    <w:multiLevelType w:val="hybridMultilevel"/>
    <w:tmpl w:val="E6943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BFF4775"/>
    <w:multiLevelType w:val="hybridMultilevel"/>
    <w:tmpl w:val="3E92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F5E1F01"/>
    <w:multiLevelType w:val="hybridMultilevel"/>
    <w:tmpl w:val="50A4125C"/>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7" w15:restartNumberingAfterBreak="0">
    <w:nsid w:val="51D51D0F"/>
    <w:multiLevelType w:val="multilevel"/>
    <w:tmpl w:val="016E5B92"/>
    <w:lvl w:ilvl="0">
      <w:start w:val="7"/>
      <w:numFmt w:val="decimal"/>
      <w:lvlText w:val="%1."/>
      <w:lvlJc w:val="left"/>
      <w:pPr>
        <w:ind w:left="927" w:hanging="360"/>
      </w:pPr>
      <w:rPr>
        <w:rFonts w:hint="default"/>
      </w:rPr>
    </w:lvl>
    <w:lvl w:ilvl="1">
      <w:start w:val="1"/>
      <w:numFmt w:val="decimal"/>
      <w:isLgl/>
      <w:lvlText w:val="%1.%2"/>
      <w:lvlJc w:val="left"/>
      <w:pPr>
        <w:ind w:left="146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3348" w:hanging="144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82" w:hanging="180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68" w15:restartNumberingAfterBreak="0">
    <w:nsid w:val="53AE09B7"/>
    <w:multiLevelType w:val="hybridMultilevel"/>
    <w:tmpl w:val="E35E2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46C0572"/>
    <w:multiLevelType w:val="hybridMultilevel"/>
    <w:tmpl w:val="271471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0" w15:restartNumberingAfterBreak="0">
    <w:nsid w:val="54D066D5"/>
    <w:multiLevelType w:val="hybridMultilevel"/>
    <w:tmpl w:val="7ADCC736"/>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71" w15:restartNumberingAfterBreak="0">
    <w:nsid w:val="56B5389A"/>
    <w:multiLevelType w:val="hybridMultilevel"/>
    <w:tmpl w:val="B6D0BFF2"/>
    <w:lvl w:ilvl="0" w:tplc="280222E2">
      <w:numFmt w:val="bullet"/>
      <w:lvlText w:val="•"/>
      <w:lvlJc w:val="left"/>
      <w:pPr>
        <w:ind w:left="1137"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78F44A7"/>
    <w:multiLevelType w:val="hybridMultilevel"/>
    <w:tmpl w:val="1D92A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9073A9F"/>
    <w:multiLevelType w:val="hybridMultilevel"/>
    <w:tmpl w:val="369C8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A390FF0"/>
    <w:multiLevelType w:val="hybridMultilevel"/>
    <w:tmpl w:val="8F70274A"/>
    <w:lvl w:ilvl="0" w:tplc="35B6EBFA">
      <w:numFmt w:val="bullet"/>
      <w:lvlText w:val="•"/>
      <w:lvlJc w:val="left"/>
      <w:pPr>
        <w:ind w:left="1260" w:hanging="90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A984E4B"/>
    <w:multiLevelType w:val="hybridMultilevel"/>
    <w:tmpl w:val="964AFB48"/>
    <w:lvl w:ilvl="0" w:tplc="43D260C4">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AE1381C"/>
    <w:multiLevelType w:val="multilevel"/>
    <w:tmpl w:val="FA285B7E"/>
    <w:lvl w:ilvl="0">
      <w:start w:val="7"/>
      <w:numFmt w:val="decimal"/>
      <w:lvlText w:val="%1."/>
      <w:lvlJc w:val="left"/>
      <w:pPr>
        <w:ind w:left="927" w:hanging="360"/>
      </w:pPr>
      <w:rPr>
        <w:rFonts w:hint="default"/>
      </w:rPr>
    </w:lvl>
    <w:lvl w:ilvl="1">
      <w:start w:val="1"/>
      <w:numFmt w:val="decimal"/>
      <w:isLgl/>
      <w:lvlText w:val="%1.%2"/>
      <w:lvlJc w:val="left"/>
      <w:pPr>
        <w:ind w:left="146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3348" w:hanging="144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82" w:hanging="180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77"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78" w15:restartNumberingAfterBreak="0">
    <w:nsid w:val="5C6F520B"/>
    <w:multiLevelType w:val="hybridMultilevel"/>
    <w:tmpl w:val="2D86C6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CBA10CF"/>
    <w:multiLevelType w:val="hybridMultilevel"/>
    <w:tmpl w:val="00C4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F3F4402"/>
    <w:multiLevelType w:val="hybridMultilevel"/>
    <w:tmpl w:val="FB02039C"/>
    <w:lvl w:ilvl="0" w:tplc="68AAC0A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2" w15:restartNumberingAfterBreak="0">
    <w:nsid w:val="652D3120"/>
    <w:multiLevelType w:val="hybridMultilevel"/>
    <w:tmpl w:val="CFEC1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84" w15:restartNumberingAfterBreak="0">
    <w:nsid w:val="6C997D1C"/>
    <w:multiLevelType w:val="hybridMultilevel"/>
    <w:tmpl w:val="964AFB48"/>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CB101B3"/>
    <w:multiLevelType w:val="hybridMultilevel"/>
    <w:tmpl w:val="8B2CA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EBF537B"/>
    <w:multiLevelType w:val="hybridMultilevel"/>
    <w:tmpl w:val="A5CCF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3107FE9"/>
    <w:multiLevelType w:val="hybridMultilevel"/>
    <w:tmpl w:val="52E690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3A563BE"/>
    <w:multiLevelType w:val="multilevel"/>
    <w:tmpl w:val="747A0A60"/>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color="000000"/>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color="000000"/>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BDE3FAA"/>
    <w:multiLevelType w:val="multilevel"/>
    <w:tmpl w:val="3A3ED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7ED91885"/>
    <w:multiLevelType w:val="hybridMultilevel"/>
    <w:tmpl w:val="A002FB44"/>
    <w:lvl w:ilvl="0" w:tplc="280222E2">
      <w:numFmt w:val="bullet"/>
      <w:lvlText w:val="•"/>
      <w:lvlJc w:val="left"/>
      <w:pPr>
        <w:ind w:left="1137" w:hanging="570"/>
      </w:pPr>
      <w:rPr>
        <w:rFonts w:ascii="Arial" w:eastAsia="Times New Roman"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1" w15:restartNumberingAfterBreak="0">
    <w:nsid w:val="7EE440C0"/>
    <w:multiLevelType w:val="hybridMultilevel"/>
    <w:tmpl w:val="D16CC644"/>
    <w:lvl w:ilvl="0" w:tplc="0C090001">
      <w:start w:val="1"/>
      <w:numFmt w:val="bullet"/>
      <w:lvlText w:val=""/>
      <w:lvlJc w:val="left"/>
      <w:pPr>
        <w:tabs>
          <w:tab w:val="num" w:pos="1021"/>
        </w:tabs>
        <w:ind w:left="1021" w:hanging="341"/>
      </w:pPr>
      <w:rPr>
        <w:rFonts w:ascii="Symbol" w:hAnsi="Symbol" w:hint="default"/>
        <w:b/>
        <w:i w:val="0"/>
        <w:color w:val="385860"/>
        <w:sz w:val="20"/>
        <w:szCs w:val="1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79915991">
    <w:abstractNumId w:val="54"/>
  </w:num>
  <w:num w:numId="2" w16cid:durableId="1250195658">
    <w:abstractNumId w:val="54"/>
  </w:num>
  <w:num w:numId="3" w16cid:durableId="970331678">
    <w:abstractNumId w:val="49"/>
  </w:num>
  <w:num w:numId="4" w16cid:durableId="1139961449">
    <w:abstractNumId w:val="50"/>
  </w:num>
  <w:num w:numId="5" w16cid:durableId="1287195516">
    <w:abstractNumId w:val="49"/>
  </w:num>
  <w:num w:numId="6" w16cid:durableId="595360487">
    <w:abstractNumId w:val="77"/>
  </w:num>
  <w:num w:numId="7" w16cid:durableId="168184807">
    <w:abstractNumId w:val="52"/>
  </w:num>
  <w:num w:numId="8" w16cid:durableId="335302058">
    <w:abstractNumId w:val="17"/>
  </w:num>
  <w:num w:numId="9" w16cid:durableId="1151363089">
    <w:abstractNumId w:val="11"/>
  </w:num>
  <w:num w:numId="10" w16cid:durableId="1905488232">
    <w:abstractNumId w:val="19"/>
  </w:num>
  <w:num w:numId="11" w16cid:durableId="1458797406">
    <w:abstractNumId w:val="42"/>
  </w:num>
  <w:num w:numId="12" w16cid:durableId="1774547164">
    <w:abstractNumId w:val="77"/>
  </w:num>
  <w:num w:numId="13" w16cid:durableId="211576392">
    <w:abstractNumId w:val="77"/>
  </w:num>
  <w:num w:numId="14" w16cid:durableId="741297798">
    <w:abstractNumId w:val="49"/>
  </w:num>
  <w:num w:numId="15" w16cid:durableId="1971395528">
    <w:abstractNumId w:val="17"/>
  </w:num>
  <w:num w:numId="16" w16cid:durableId="491216777">
    <w:abstractNumId w:val="50"/>
  </w:num>
  <w:num w:numId="17" w16cid:durableId="1143350196">
    <w:abstractNumId w:val="11"/>
  </w:num>
  <w:num w:numId="18" w16cid:durableId="507911398">
    <w:abstractNumId w:val="19"/>
  </w:num>
  <w:num w:numId="19" w16cid:durableId="195391456">
    <w:abstractNumId w:val="54"/>
  </w:num>
  <w:num w:numId="20" w16cid:durableId="209610050">
    <w:abstractNumId w:val="83"/>
  </w:num>
  <w:num w:numId="21" w16cid:durableId="6300715">
    <w:abstractNumId w:val="18"/>
  </w:num>
  <w:num w:numId="22" w16cid:durableId="999503747">
    <w:abstractNumId w:val="77"/>
  </w:num>
  <w:num w:numId="23" w16cid:durableId="2136679703">
    <w:abstractNumId w:val="77"/>
  </w:num>
  <w:num w:numId="24" w16cid:durableId="1673606266">
    <w:abstractNumId w:val="77"/>
  </w:num>
  <w:num w:numId="25" w16cid:durableId="1612786442">
    <w:abstractNumId w:val="77"/>
  </w:num>
  <w:num w:numId="26" w16cid:durableId="1634365545">
    <w:abstractNumId w:val="77"/>
  </w:num>
  <w:num w:numId="27" w16cid:durableId="104275157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31"/>
    <w:lvlOverride w:ilvl="0">
      <w:startOverride w:val="1"/>
    </w:lvlOverride>
    <w:lvlOverride w:ilvl="1"/>
    <w:lvlOverride w:ilvl="2"/>
    <w:lvlOverride w:ilvl="3"/>
    <w:lvlOverride w:ilvl="4"/>
    <w:lvlOverride w:ilvl="5"/>
    <w:lvlOverride w:ilvl="6"/>
    <w:lvlOverride w:ilvl="7"/>
    <w:lvlOverride w:ilvl="8"/>
  </w:num>
  <w:num w:numId="39" w16cid:durableId="1220097315">
    <w:abstractNumId w:val="31"/>
  </w:num>
  <w:num w:numId="40" w16cid:durableId="646785712">
    <w:abstractNumId w:val="81"/>
  </w:num>
  <w:num w:numId="41" w16cid:durableId="1023943942">
    <w:abstractNumId w:val="10"/>
  </w:num>
  <w:num w:numId="42" w16cid:durableId="103382475">
    <w:abstractNumId w:val="44"/>
  </w:num>
  <w:num w:numId="43" w16cid:durableId="391389182">
    <w:abstractNumId w:val="74"/>
  </w:num>
  <w:num w:numId="44" w16cid:durableId="585454593">
    <w:abstractNumId w:val="45"/>
  </w:num>
  <w:num w:numId="45" w16cid:durableId="559026262">
    <w:abstractNumId w:val="73"/>
  </w:num>
  <w:num w:numId="46" w16cid:durableId="186873102">
    <w:abstractNumId w:val="60"/>
  </w:num>
  <w:num w:numId="47" w16cid:durableId="1886914222">
    <w:abstractNumId w:val="66"/>
  </w:num>
  <w:num w:numId="48" w16cid:durableId="74058765">
    <w:abstractNumId w:val="80"/>
  </w:num>
  <w:num w:numId="49" w16cid:durableId="950356882">
    <w:abstractNumId w:val="63"/>
  </w:num>
  <w:num w:numId="50" w16cid:durableId="1667661099">
    <w:abstractNumId w:val="51"/>
  </w:num>
  <w:num w:numId="51" w16cid:durableId="215170275">
    <w:abstractNumId w:val="24"/>
  </w:num>
  <w:num w:numId="52" w16cid:durableId="814878437">
    <w:abstractNumId w:val="43"/>
  </w:num>
  <w:num w:numId="53" w16cid:durableId="1834106428">
    <w:abstractNumId w:val="47"/>
  </w:num>
  <w:num w:numId="54" w16cid:durableId="111168912">
    <w:abstractNumId w:val="48"/>
  </w:num>
  <w:num w:numId="55" w16cid:durableId="938415723">
    <w:abstractNumId w:val="46"/>
  </w:num>
  <w:num w:numId="56" w16cid:durableId="171145593">
    <w:abstractNumId w:val="29"/>
  </w:num>
  <w:num w:numId="57" w16cid:durableId="752123598">
    <w:abstractNumId w:val="32"/>
  </w:num>
  <w:num w:numId="58" w16cid:durableId="777794184">
    <w:abstractNumId w:val="88"/>
  </w:num>
  <w:num w:numId="59" w16cid:durableId="1619023997">
    <w:abstractNumId w:val="62"/>
  </w:num>
  <w:num w:numId="60" w16cid:durableId="812675275">
    <w:abstractNumId w:val="61"/>
  </w:num>
  <w:num w:numId="61" w16cid:durableId="1067151021">
    <w:abstractNumId w:val="65"/>
  </w:num>
  <w:num w:numId="62" w16cid:durableId="1025138858">
    <w:abstractNumId w:val="41"/>
  </w:num>
  <w:num w:numId="63" w16cid:durableId="1392266731">
    <w:abstractNumId w:val="89"/>
  </w:num>
  <w:num w:numId="64" w16cid:durableId="22999712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7780704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961686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23967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92054424">
    <w:abstractNumId w:val="76"/>
  </w:num>
  <w:num w:numId="69" w16cid:durableId="82536326">
    <w:abstractNumId w:val="28"/>
  </w:num>
  <w:num w:numId="70" w16cid:durableId="1080256051">
    <w:abstractNumId w:val="23"/>
  </w:num>
  <w:num w:numId="71" w16cid:durableId="1661612227">
    <w:abstractNumId w:val="39"/>
  </w:num>
  <w:num w:numId="72" w16cid:durableId="1378045313">
    <w:abstractNumId w:val="53"/>
  </w:num>
  <w:num w:numId="73" w16cid:durableId="789668790">
    <w:abstractNumId w:val="78"/>
  </w:num>
  <w:num w:numId="74" w16cid:durableId="907115237">
    <w:abstractNumId w:val="56"/>
  </w:num>
  <w:num w:numId="75" w16cid:durableId="761410067">
    <w:abstractNumId w:val="87"/>
  </w:num>
  <w:num w:numId="76" w16cid:durableId="1523202881">
    <w:abstractNumId w:val="13"/>
  </w:num>
  <w:num w:numId="77" w16cid:durableId="1423456128">
    <w:abstractNumId w:val="22"/>
  </w:num>
  <w:num w:numId="78" w16cid:durableId="1157917511">
    <w:abstractNumId w:val="57"/>
  </w:num>
  <w:num w:numId="79" w16cid:durableId="1347249441">
    <w:abstractNumId w:val="79"/>
  </w:num>
  <w:num w:numId="80" w16cid:durableId="1634676004">
    <w:abstractNumId w:val="85"/>
  </w:num>
  <w:num w:numId="81" w16cid:durableId="40793348">
    <w:abstractNumId w:val="86"/>
  </w:num>
  <w:num w:numId="82" w16cid:durableId="1063480126">
    <w:abstractNumId w:val="20"/>
  </w:num>
  <w:num w:numId="83" w16cid:durableId="1991519881">
    <w:abstractNumId w:val="67"/>
  </w:num>
  <w:num w:numId="84" w16cid:durableId="513154605">
    <w:abstractNumId w:val="72"/>
  </w:num>
  <w:num w:numId="85" w16cid:durableId="1209756262">
    <w:abstractNumId w:val="34"/>
  </w:num>
  <w:num w:numId="86" w16cid:durableId="723410029">
    <w:abstractNumId w:val="69"/>
  </w:num>
  <w:num w:numId="87" w16cid:durableId="482698097">
    <w:abstractNumId w:val="33"/>
  </w:num>
  <w:num w:numId="88" w16cid:durableId="1000277762">
    <w:abstractNumId w:val="64"/>
  </w:num>
  <w:num w:numId="89" w16cid:durableId="1115322094">
    <w:abstractNumId w:val="70"/>
  </w:num>
  <w:num w:numId="90" w16cid:durableId="351760012">
    <w:abstractNumId w:val="27"/>
  </w:num>
  <w:num w:numId="91" w16cid:durableId="436146591">
    <w:abstractNumId w:val="35"/>
  </w:num>
  <w:num w:numId="92" w16cid:durableId="1271549190">
    <w:abstractNumId w:val="40"/>
  </w:num>
  <w:num w:numId="93" w16cid:durableId="253366728">
    <w:abstractNumId w:val="68"/>
  </w:num>
  <w:num w:numId="94" w16cid:durableId="573973767">
    <w:abstractNumId w:val="37"/>
  </w:num>
  <w:num w:numId="95" w16cid:durableId="713579510">
    <w:abstractNumId w:val="58"/>
  </w:num>
  <w:num w:numId="96" w16cid:durableId="1506164609">
    <w:abstractNumId w:val="30"/>
  </w:num>
  <w:num w:numId="97" w16cid:durableId="1375424787">
    <w:abstractNumId w:val="25"/>
  </w:num>
  <w:num w:numId="98" w16cid:durableId="1632394942">
    <w:abstractNumId w:val="82"/>
  </w:num>
  <w:num w:numId="99" w16cid:durableId="604506278">
    <w:abstractNumId w:val="12"/>
  </w:num>
  <w:num w:numId="100" w16cid:durableId="44716257">
    <w:abstractNumId w:val="16"/>
  </w:num>
  <w:num w:numId="101" w16cid:durableId="810178002">
    <w:abstractNumId w:val="36"/>
  </w:num>
  <w:num w:numId="102" w16cid:durableId="1595702147">
    <w:abstractNumId w:val="75"/>
  </w:num>
  <w:num w:numId="103" w16cid:durableId="1555772891">
    <w:abstractNumId w:val="84"/>
  </w:num>
  <w:num w:numId="104" w16cid:durableId="1295676863">
    <w:abstractNumId w:val="91"/>
  </w:num>
  <w:num w:numId="105" w16cid:durableId="474101767">
    <w:abstractNumId w:val="14"/>
  </w:num>
  <w:num w:numId="106" w16cid:durableId="302472041">
    <w:abstractNumId w:val="15"/>
  </w:num>
  <w:num w:numId="107" w16cid:durableId="410002688">
    <w:abstractNumId w:val="49"/>
  </w:num>
  <w:num w:numId="108" w16cid:durableId="695812720">
    <w:abstractNumId w:val="17"/>
  </w:num>
  <w:num w:numId="109" w16cid:durableId="1713724340">
    <w:abstractNumId w:val="49"/>
  </w:num>
  <w:num w:numId="110" w16cid:durableId="2058701295">
    <w:abstractNumId w:val="17"/>
  </w:num>
  <w:num w:numId="111" w16cid:durableId="1049496436">
    <w:abstractNumId w:val="21"/>
  </w:num>
  <w:num w:numId="112" w16cid:durableId="1785686207">
    <w:abstractNumId w:val="55"/>
  </w:num>
  <w:num w:numId="113" w16cid:durableId="345324347">
    <w:abstractNumId w:val="90"/>
  </w:num>
  <w:num w:numId="114" w16cid:durableId="1270241066">
    <w:abstractNumId w:val="38"/>
  </w:num>
  <w:num w:numId="115" w16cid:durableId="1331372592">
    <w:abstractNumId w:val="71"/>
  </w:num>
  <w:num w:numId="116" w16cid:durableId="299307110">
    <w:abstractNumId w:val="59"/>
  </w:num>
  <w:num w:numId="117" w16cid:durableId="5765973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en-AU" w:vendorID="6" w:dllVersion="2"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24FC3"/>
    <w:rsid w:val="00026468"/>
    <w:rsid w:val="00031F04"/>
    <w:rsid w:val="00032E34"/>
    <w:rsid w:val="000346E1"/>
    <w:rsid w:val="000379B0"/>
    <w:rsid w:val="00047811"/>
    <w:rsid w:val="00053BAB"/>
    <w:rsid w:val="00056750"/>
    <w:rsid w:val="00062558"/>
    <w:rsid w:val="000627A8"/>
    <w:rsid w:val="000654D7"/>
    <w:rsid w:val="00067828"/>
    <w:rsid w:val="00071F6A"/>
    <w:rsid w:val="000765C1"/>
    <w:rsid w:val="000811F6"/>
    <w:rsid w:val="0008350E"/>
    <w:rsid w:val="00083DA3"/>
    <w:rsid w:val="00085C5F"/>
    <w:rsid w:val="00092592"/>
    <w:rsid w:val="000949A1"/>
    <w:rsid w:val="00096163"/>
    <w:rsid w:val="00096360"/>
    <w:rsid w:val="000A762C"/>
    <w:rsid w:val="000A7EF6"/>
    <w:rsid w:val="000B477D"/>
    <w:rsid w:val="000C2C1B"/>
    <w:rsid w:val="000D045A"/>
    <w:rsid w:val="000D4284"/>
    <w:rsid w:val="000D49ED"/>
    <w:rsid w:val="000E0323"/>
    <w:rsid w:val="000E372E"/>
    <w:rsid w:val="000F6987"/>
    <w:rsid w:val="001116A2"/>
    <w:rsid w:val="00120E00"/>
    <w:rsid w:val="001534D8"/>
    <w:rsid w:val="00155DDA"/>
    <w:rsid w:val="00162F18"/>
    <w:rsid w:val="00167BB3"/>
    <w:rsid w:val="00172424"/>
    <w:rsid w:val="001744DB"/>
    <w:rsid w:val="00174E15"/>
    <w:rsid w:val="001760CA"/>
    <w:rsid w:val="001834D2"/>
    <w:rsid w:val="00184190"/>
    <w:rsid w:val="00186FA8"/>
    <w:rsid w:val="00190139"/>
    <w:rsid w:val="00191526"/>
    <w:rsid w:val="00193533"/>
    <w:rsid w:val="00194BF7"/>
    <w:rsid w:val="001954D8"/>
    <w:rsid w:val="001A31B6"/>
    <w:rsid w:val="001B335C"/>
    <w:rsid w:val="001B3EE3"/>
    <w:rsid w:val="001B3FBB"/>
    <w:rsid w:val="001C6607"/>
    <w:rsid w:val="001D3257"/>
    <w:rsid w:val="001D5148"/>
    <w:rsid w:val="001E6111"/>
    <w:rsid w:val="001E7154"/>
    <w:rsid w:val="001F3A26"/>
    <w:rsid w:val="002037B3"/>
    <w:rsid w:val="002212AA"/>
    <w:rsid w:val="002222C1"/>
    <w:rsid w:val="00225153"/>
    <w:rsid w:val="00237144"/>
    <w:rsid w:val="00244EDB"/>
    <w:rsid w:val="002531D0"/>
    <w:rsid w:val="0025418F"/>
    <w:rsid w:val="00263639"/>
    <w:rsid w:val="0026493F"/>
    <w:rsid w:val="00266EBF"/>
    <w:rsid w:val="00272DCD"/>
    <w:rsid w:val="00280720"/>
    <w:rsid w:val="00280856"/>
    <w:rsid w:val="00282A32"/>
    <w:rsid w:val="002924AC"/>
    <w:rsid w:val="0029446E"/>
    <w:rsid w:val="00297939"/>
    <w:rsid w:val="002A3239"/>
    <w:rsid w:val="002A394F"/>
    <w:rsid w:val="002A48CB"/>
    <w:rsid w:val="002A69DD"/>
    <w:rsid w:val="002B1761"/>
    <w:rsid w:val="002B366E"/>
    <w:rsid w:val="002B4121"/>
    <w:rsid w:val="002B5703"/>
    <w:rsid w:val="002C1082"/>
    <w:rsid w:val="002C451F"/>
    <w:rsid w:val="002D767D"/>
    <w:rsid w:val="002D7779"/>
    <w:rsid w:val="002E20AC"/>
    <w:rsid w:val="002F0423"/>
    <w:rsid w:val="002F1FAB"/>
    <w:rsid w:val="002F2A04"/>
    <w:rsid w:val="002F4591"/>
    <w:rsid w:val="00301CDC"/>
    <w:rsid w:val="0030255E"/>
    <w:rsid w:val="0030530C"/>
    <w:rsid w:val="00314512"/>
    <w:rsid w:val="0031487D"/>
    <w:rsid w:val="00320511"/>
    <w:rsid w:val="00346134"/>
    <w:rsid w:val="00347883"/>
    <w:rsid w:val="003506C5"/>
    <w:rsid w:val="00356187"/>
    <w:rsid w:val="00362DDE"/>
    <w:rsid w:val="00370938"/>
    <w:rsid w:val="00371E6B"/>
    <w:rsid w:val="00381544"/>
    <w:rsid w:val="00393E2F"/>
    <w:rsid w:val="003A1D49"/>
    <w:rsid w:val="003A558F"/>
    <w:rsid w:val="003C0891"/>
    <w:rsid w:val="003C3E4A"/>
    <w:rsid w:val="003C4CDD"/>
    <w:rsid w:val="003E2EBC"/>
    <w:rsid w:val="003E3702"/>
    <w:rsid w:val="003E3BD9"/>
    <w:rsid w:val="003E45FF"/>
    <w:rsid w:val="003E4F0A"/>
    <w:rsid w:val="003E712D"/>
    <w:rsid w:val="003E7367"/>
    <w:rsid w:val="003F7D2E"/>
    <w:rsid w:val="00401C70"/>
    <w:rsid w:val="004053B9"/>
    <w:rsid w:val="00406788"/>
    <w:rsid w:val="004070E1"/>
    <w:rsid w:val="0041228F"/>
    <w:rsid w:val="00412703"/>
    <w:rsid w:val="00412F87"/>
    <w:rsid w:val="0041559F"/>
    <w:rsid w:val="004158CA"/>
    <w:rsid w:val="00422919"/>
    <w:rsid w:val="004251FD"/>
    <w:rsid w:val="00425B71"/>
    <w:rsid w:val="00427791"/>
    <w:rsid w:val="00432BF1"/>
    <w:rsid w:val="0043387F"/>
    <w:rsid w:val="00444045"/>
    <w:rsid w:val="00444FF1"/>
    <w:rsid w:val="00445455"/>
    <w:rsid w:val="0045671C"/>
    <w:rsid w:val="004616C8"/>
    <w:rsid w:val="00461D26"/>
    <w:rsid w:val="00464283"/>
    <w:rsid w:val="00470304"/>
    <w:rsid w:val="00473575"/>
    <w:rsid w:val="00475F24"/>
    <w:rsid w:val="00477B5F"/>
    <w:rsid w:val="00483E4F"/>
    <w:rsid w:val="00487874"/>
    <w:rsid w:val="0049603E"/>
    <w:rsid w:val="004C6884"/>
    <w:rsid w:val="004D2C4F"/>
    <w:rsid w:val="004D54AD"/>
    <w:rsid w:val="004E3F7F"/>
    <w:rsid w:val="004F5AC1"/>
    <w:rsid w:val="004F712A"/>
    <w:rsid w:val="00504212"/>
    <w:rsid w:val="005064D5"/>
    <w:rsid w:val="00515F30"/>
    <w:rsid w:val="00520128"/>
    <w:rsid w:val="00520963"/>
    <w:rsid w:val="00522E27"/>
    <w:rsid w:val="00544F56"/>
    <w:rsid w:val="00550809"/>
    <w:rsid w:val="005527B9"/>
    <w:rsid w:val="00556804"/>
    <w:rsid w:val="00560E83"/>
    <w:rsid w:val="00563297"/>
    <w:rsid w:val="00566590"/>
    <w:rsid w:val="00571389"/>
    <w:rsid w:val="00572131"/>
    <w:rsid w:val="00572D44"/>
    <w:rsid w:val="00574F56"/>
    <w:rsid w:val="00575407"/>
    <w:rsid w:val="0057686F"/>
    <w:rsid w:val="0058391D"/>
    <w:rsid w:val="00585BD6"/>
    <w:rsid w:val="00593DBF"/>
    <w:rsid w:val="005B7C8A"/>
    <w:rsid w:val="005C5959"/>
    <w:rsid w:val="005D079F"/>
    <w:rsid w:val="005D1A47"/>
    <w:rsid w:val="005D5931"/>
    <w:rsid w:val="005E5754"/>
    <w:rsid w:val="005F07A7"/>
    <w:rsid w:val="005F30EE"/>
    <w:rsid w:val="005F775C"/>
    <w:rsid w:val="006110AE"/>
    <w:rsid w:val="006160CE"/>
    <w:rsid w:val="0062466B"/>
    <w:rsid w:val="0062653F"/>
    <w:rsid w:val="00633E5F"/>
    <w:rsid w:val="006349E1"/>
    <w:rsid w:val="006352D5"/>
    <w:rsid w:val="00643052"/>
    <w:rsid w:val="00644AD6"/>
    <w:rsid w:val="0064579C"/>
    <w:rsid w:val="006547A3"/>
    <w:rsid w:val="00654AFB"/>
    <w:rsid w:val="00655AED"/>
    <w:rsid w:val="00657A28"/>
    <w:rsid w:val="0066368B"/>
    <w:rsid w:val="006720DE"/>
    <w:rsid w:val="00673659"/>
    <w:rsid w:val="006865A3"/>
    <w:rsid w:val="00691EDE"/>
    <w:rsid w:val="00694C33"/>
    <w:rsid w:val="006955F2"/>
    <w:rsid w:val="00696BD7"/>
    <w:rsid w:val="00696D9B"/>
    <w:rsid w:val="006A0D5C"/>
    <w:rsid w:val="006A3E6F"/>
    <w:rsid w:val="006B484A"/>
    <w:rsid w:val="006C08BC"/>
    <w:rsid w:val="006E2753"/>
    <w:rsid w:val="006E33F7"/>
    <w:rsid w:val="006E3697"/>
    <w:rsid w:val="006F7C06"/>
    <w:rsid w:val="00700C27"/>
    <w:rsid w:val="00702B7D"/>
    <w:rsid w:val="00702CE0"/>
    <w:rsid w:val="0070626B"/>
    <w:rsid w:val="0071687D"/>
    <w:rsid w:val="00716B22"/>
    <w:rsid w:val="00721BB9"/>
    <w:rsid w:val="007275CF"/>
    <w:rsid w:val="00731401"/>
    <w:rsid w:val="00731B5A"/>
    <w:rsid w:val="00734103"/>
    <w:rsid w:val="007374A9"/>
    <w:rsid w:val="00743941"/>
    <w:rsid w:val="00763D05"/>
    <w:rsid w:val="00770A03"/>
    <w:rsid w:val="00770B96"/>
    <w:rsid w:val="00794B71"/>
    <w:rsid w:val="007963D0"/>
    <w:rsid w:val="0079772A"/>
    <w:rsid w:val="007A27EB"/>
    <w:rsid w:val="007B0B57"/>
    <w:rsid w:val="007C1D17"/>
    <w:rsid w:val="007D2FA8"/>
    <w:rsid w:val="007D57EF"/>
    <w:rsid w:val="007D676E"/>
    <w:rsid w:val="007D6865"/>
    <w:rsid w:val="007E13F3"/>
    <w:rsid w:val="007E420B"/>
    <w:rsid w:val="007F0146"/>
    <w:rsid w:val="007F192D"/>
    <w:rsid w:val="00801280"/>
    <w:rsid w:val="00803F56"/>
    <w:rsid w:val="008117C5"/>
    <w:rsid w:val="0081226E"/>
    <w:rsid w:val="0081463A"/>
    <w:rsid w:val="00815AC3"/>
    <w:rsid w:val="008255EA"/>
    <w:rsid w:val="00827CD2"/>
    <w:rsid w:val="00832D38"/>
    <w:rsid w:val="008362F6"/>
    <w:rsid w:val="008366A3"/>
    <w:rsid w:val="0083752F"/>
    <w:rsid w:val="00840465"/>
    <w:rsid w:val="008467AA"/>
    <w:rsid w:val="00847050"/>
    <w:rsid w:val="00853764"/>
    <w:rsid w:val="008545E1"/>
    <w:rsid w:val="00860B66"/>
    <w:rsid w:val="00862E63"/>
    <w:rsid w:val="00872D8E"/>
    <w:rsid w:val="00880337"/>
    <w:rsid w:val="00882AE6"/>
    <w:rsid w:val="00892292"/>
    <w:rsid w:val="008941B6"/>
    <w:rsid w:val="00894C71"/>
    <w:rsid w:val="008A3F33"/>
    <w:rsid w:val="008B550C"/>
    <w:rsid w:val="008C2A4F"/>
    <w:rsid w:val="008C5C0D"/>
    <w:rsid w:val="008C6B9D"/>
    <w:rsid w:val="008D7E36"/>
    <w:rsid w:val="008E179A"/>
    <w:rsid w:val="008E3A9D"/>
    <w:rsid w:val="008E3E02"/>
    <w:rsid w:val="008E4ED4"/>
    <w:rsid w:val="008E4FCF"/>
    <w:rsid w:val="008F14C4"/>
    <w:rsid w:val="008F2DF7"/>
    <w:rsid w:val="008F747E"/>
    <w:rsid w:val="00904761"/>
    <w:rsid w:val="00921AAE"/>
    <w:rsid w:val="0092787A"/>
    <w:rsid w:val="009401E3"/>
    <w:rsid w:val="00940FB6"/>
    <w:rsid w:val="00945909"/>
    <w:rsid w:val="009529F9"/>
    <w:rsid w:val="00953E29"/>
    <w:rsid w:val="0095647E"/>
    <w:rsid w:val="00971896"/>
    <w:rsid w:val="00972247"/>
    <w:rsid w:val="00976264"/>
    <w:rsid w:val="00994708"/>
    <w:rsid w:val="009A0008"/>
    <w:rsid w:val="009A0814"/>
    <w:rsid w:val="009A2650"/>
    <w:rsid w:val="009A4448"/>
    <w:rsid w:val="009A6D14"/>
    <w:rsid w:val="009A7614"/>
    <w:rsid w:val="009B6ACE"/>
    <w:rsid w:val="009B7DF5"/>
    <w:rsid w:val="009C3C7F"/>
    <w:rsid w:val="009D0E59"/>
    <w:rsid w:val="009D15B0"/>
    <w:rsid w:val="009D452E"/>
    <w:rsid w:val="009E0FE9"/>
    <w:rsid w:val="009E2AD6"/>
    <w:rsid w:val="009F077C"/>
    <w:rsid w:val="009F16FF"/>
    <w:rsid w:val="00A02669"/>
    <w:rsid w:val="00A0371E"/>
    <w:rsid w:val="00A04528"/>
    <w:rsid w:val="00A0526E"/>
    <w:rsid w:val="00A12AAA"/>
    <w:rsid w:val="00A12F3E"/>
    <w:rsid w:val="00A23729"/>
    <w:rsid w:val="00A2448D"/>
    <w:rsid w:val="00A300C3"/>
    <w:rsid w:val="00A35765"/>
    <w:rsid w:val="00A4379A"/>
    <w:rsid w:val="00A447BC"/>
    <w:rsid w:val="00A502B8"/>
    <w:rsid w:val="00A549DD"/>
    <w:rsid w:val="00A6283D"/>
    <w:rsid w:val="00A64572"/>
    <w:rsid w:val="00A66116"/>
    <w:rsid w:val="00A75CD4"/>
    <w:rsid w:val="00A77489"/>
    <w:rsid w:val="00A77CE7"/>
    <w:rsid w:val="00A80584"/>
    <w:rsid w:val="00A87101"/>
    <w:rsid w:val="00A9025F"/>
    <w:rsid w:val="00A95466"/>
    <w:rsid w:val="00A97119"/>
    <w:rsid w:val="00AA0A14"/>
    <w:rsid w:val="00AA5DC7"/>
    <w:rsid w:val="00AB659C"/>
    <w:rsid w:val="00AC3640"/>
    <w:rsid w:val="00AC4883"/>
    <w:rsid w:val="00AC52D8"/>
    <w:rsid w:val="00AD008A"/>
    <w:rsid w:val="00AE7AF1"/>
    <w:rsid w:val="00AF232A"/>
    <w:rsid w:val="00AF4A94"/>
    <w:rsid w:val="00B002CE"/>
    <w:rsid w:val="00B05454"/>
    <w:rsid w:val="00B102FF"/>
    <w:rsid w:val="00B13753"/>
    <w:rsid w:val="00B13ADD"/>
    <w:rsid w:val="00B13CB9"/>
    <w:rsid w:val="00B147A2"/>
    <w:rsid w:val="00B15647"/>
    <w:rsid w:val="00B27675"/>
    <w:rsid w:val="00B370A9"/>
    <w:rsid w:val="00B42365"/>
    <w:rsid w:val="00B50074"/>
    <w:rsid w:val="00B71269"/>
    <w:rsid w:val="00B85D75"/>
    <w:rsid w:val="00B866F1"/>
    <w:rsid w:val="00BA3F71"/>
    <w:rsid w:val="00BB023F"/>
    <w:rsid w:val="00BC43D4"/>
    <w:rsid w:val="00BC5423"/>
    <w:rsid w:val="00BC561A"/>
    <w:rsid w:val="00BD021C"/>
    <w:rsid w:val="00BD2289"/>
    <w:rsid w:val="00BD2809"/>
    <w:rsid w:val="00BD4B70"/>
    <w:rsid w:val="00BD55DB"/>
    <w:rsid w:val="00BD70E8"/>
    <w:rsid w:val="00BE41FD"/>
    <w:rsid w:val="00BE6139"/>
    <w:rsid w:val="00BF44D8"/>
    <w:rsid w:val="00C03554"/>
    <w:rsid w:val="00C06F44"/>
    <w:rsid w:val="00C14E14"/>
    <w:rsid w:val="00C1672F"/>
    <w:rsid w:val="00C200E5"/>
    <w:rsid w:val="00C27EB4"/>
    <w:rsid w:val="00C345C0"/>
    <w:rsid w:val="00C36537"/>
    <w:rsid w:val="00C37D31"/>
    <w:rsid w:val="00C42432"/>
    <w:rsid w:val="00C43350"/>
    <w:rsid w:val="00C476AD"/>
    <w:rsid w:val="00C501FF"/>
    <w:rsid w:val="00C52825"/>
    <w:rsid w:val="00C53912"/>
    <w:rsid w:val="00C53C96"/>
    <w:rsid w:val="00C71843"/>
    <w:rsid w:val="00C73D24"/>
    <w:rsid w:val="00C95323"/>
    <w:rsid w:val="00C9656F"/>
    <w:rsid w:val="00CA17DC"/>
    <w:rsid w:val="00CA44DB"/>
    <w:rsid w:val="00CB6306"/>
    <w:rsid w:val="00CC1827"/>
    <w:rsid w:val="00CC6A6F"/>
    <w:rsid w:val="00CD47AB"/>
    <w:rsid w:val="00CD5220"/>
    <w:rsid w:val="00CD6650"/>
    <w:rsid w:val="00CE456A"/>
    <w:rsid w:val="00CE7F45"/>
    <w:rsid w:val="00CF04E4"/>
    <w:rsid w:val="00CF0504"/>
    <w:rsid w:val="00CF7594"/>
    <w:rsid w:val="00D07FA7"/>
    <w:rsid w:val="00D10F59"/>
    <w:rsid w:val="00D15EA8"/>
    <w:rsid w:val="00D16FF0"/>
    <w:rsid w:val="00D23D6A"/>
    <w:rsid w:val="00D250DE"/>
    <w:rsid w:val="00D26EE1"/>
    <w:rsid w:val="00D3020A"/>
    <w:rsid w:val="00D32FE1"/>
    <w:rsid w:val="00D3519B"/>
    <w:rsid w:val="00D4143D"/>
    <w:rsid w:val="00D505AD"/>
    <w:rsid w:val="00D507B6"/>
    <w:rsid w:val="00D527E2"/>
    <w:rsid w:val="00D5281B"/>
    <w:rsid w:val="00D63012"/>
    <w:rsid w:val="00D67788"/>
    <w:rsid w:val="00D75501"/>
    <w:rsid w:val="00D76256"/>
    <w:rsid w:val="00D85B6D"/>
    <w:rsid w:val="00D86C44"/>
    <w:rsid w:val="00D874AA"/>
    <w:rsid w:val="00D92B8B"/>
    <w:rsid w:val="00D9318E"/>
    <w:rsid w:val="00D942C8"/>
    <w:rsid w:val="00DA0BBE"/>
    <w:rsid w:val="00DA18C6"/>
    <w:rsid w:val="00DA460D"/>
    <w:rsid w:val="00DB0C5A"/>
    <w:rsid w:val="00DB1FCE"/>
    <w:rsid w:val="00DB3BF5"/>
    <w:rsid w:val="00DB7FA5"/>
    <w:rsid w:val="00DC0AD7"/>
    <w:rsid w:val="00DC181B"/>
    <w:rsid w:val="00DC3D60"/>
    <w:rsid w:val="00DD08E2"/>
    <w:rsid w:val="00DE3ED6"/>
    <w:rsid w:val="00DE7D16"/>
    <w:rsid w:val="00DF3A52"/>
    <w:rsid w:val="00E04329"/>
    <w:rsid w:val="00E043B4"/>
    <w:rsid w:val="00E04E51"/>
    <w:rsid w:val="00E226F3"/>
    <w:rsid w:val="00E26E9D"/>
    <w:rsid w:val="00E30533"/>
    <w:rsid w:val="00E318E3"/>
    <w:rsid w:val="00E33D53"/>
    <w:rsid w:val="00E35DE7"/>
    <w:rsid w:val="00E36E26"/>
    <w:rsid w:val="00E41FED"/>
    <w:rsid w:val="00E4250D"/>
    <w:rsid w:val="00E52FC6"/>
    <w:rsid w:val="00E70840"/>
    <w:rsid w:val="00E7101A"/>
    <w:rsid w:val="00E71851"/>
    <w:rsid w:val="00E753B3"/>
    <w:rsid w:val="00E9120B"/>
    <w:rsid w:val="00E957C5"/>
    <w:rsid w:val="00E97570"/>
    <w:rsid w:val="00EA3572"/>
    <w:rsid w:val="00EA4176"/>
    <w:rsid w:val="00EA511C"/>
    <w:rsid w:val="00EA6D67"/>
    <w:rsid w:val="00EB2BC3"/>
    <w:rsid w:val="00EB76DC"/>
    <w:rsid w:val="00EC0C56"/>
    <w:rsid w:val="00EC76F8"/>
    <w:rsid w:val="00EE297E"/>
    <w:rsid w:val="00EE5406"/>
    <w:rsid w:val="00EE5B09"/>
    <w:rsid w:val="00EF5D4C"/>
    <w:rsid w:val="00F01FF0"/>
    <w:rsid w:val="00F0383D"/>
    <w:rsid w:val="00F30B77"/>
    <w:rsid w:val="00F30BDA"/>
    <w:rsid w:val="00F41448"/>
    <w:rsid w:val="00F51AA7"/>
    <w:rsid w:val="00F56C76"/>
    <w:rsid w:val="00F66F39"/>
    <w:rsid w:val="00F6733A"/>
    <w:rsid w:val="00F851E5"/>
    <w:rsid w:val="00F916A0"/>
    <w:rsid w:val="00F92A4A"/>
    <w:rsid w:val="00FA259B"/>
    <w:rsid w:val="00FA67B2"/>
    <w:rsid w:val="00FA7B49"/>
    <w:rsid w:val="00FB0015"/>
    <w:rsid w:val="00FB0F48"/>
    <w:rsid w:val="00FB19C6"/>
    <w:rsid w:val="00FB29BC"/>
    <w:rsid w:val="00FB41D3"/>
    <w:rsid w:val="00FC09D2"/>
    <w:rsid w:val="00FC198C"/>
    <w:rsid w:val="00FC5AE3"/>
    <w:rsid w:val="00FC5C1B"/>
    <w:rsid w:val="00FD07CF"/>
    <w:rsid w:val="00FD344F"/>
    <w:rsid w:val="00FD6B72"/>
    <w:rsid w:val="00FE38CA"/>
    <w:rsid w:val="00FE54CA"/>
    <w:rsid w:val="00FE6AAC"/>
    <w:rsid w:val="00FF1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C43350"/>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9"/>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9"/>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qFormat/>
    <w:rsid w:val="008B550C"/>
    <w:pPr>
      <w:numPr>
        <w:ilvl w:val="4"/>
      </w:numPr>
      <w:tabs>
        <w:tab w:val="num" w:pos="907"/>
      </w:tabs>
      <w:spacing w:before="260"/>
      <w:outlineLvl w:val="4"/>
    </w:pPr>
    <w:rPr>
      <w:sz w:val="21"/>
      <w:szCs w:val="26"/>
    </w:rPr>
  </w:style>
  <w:style w:type="paragraph" w:styleId="Heading6">
    <w:name w:val="heading 6"/>
    <w:basedOn w:val="Normal"/>
    <w:next w:val="Normal"/>
    <w:qFormat/>
    <w:rsid w:val="00047811"/>
    <w:pPr>
      <w:spacing w:before="240" w:after="60"/>
      <w:outlineLvl w:val="5"/>
    </w:pPr>
    <w:rPr>
      <w:rFonts w:ascii="Franklin Gothic Medium" w:hAnsi="Franklin Gothic Medium"/>
      <w:i/>
      <w:iCs/>
      <w:color w:val="5C2946"/>
      <w:sz w:val="20"/>
      <w:szCs w:val="20"/>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CoverSubtitle"/>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pPr>
      <w:numPr>
        <w:numId w:val="16"/>
      </w:numPr>
      <w:spacing w:before="120"/>
      <w:ind w:left="1020" w:hanging="340"/>
    </w:pPr>
  </w:style>
  <w:style w:type="paragraph" w:customStyle="1" w:styleId="APVMASectionTitle">
    <w:name w:val="APVMA_Section_Title"/>
    <w:basedOn w:val="Normal"/>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basedOn w:val="TableNormal"/>
    <w:uiPriority w:val="39"/>
    <w:rsid w:val="008A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5DC7"/>
    <w:rPr>
      <w:color w:val="605E5C"/>
      <w:shd w:val="clear" w:color="auto" w:fill="E1DFDD"/>
    </w:rPr>
  </w:style>
  <w:style w:type="paragraph" w:styleId="ListParagraph">
    <w:name w:val="List Paragraph"/>
    <w:basedOn w:val="Normal"/>
    <w:uiPriority w:val="34"/>
    <w:qFormat/>
    <w:rsid w:val="00A80584"/>
    <w:pPr>
      <w:widowControl w:val="0"/>
      <w:autoSpaceDE w:val="0"/>
      <w:autoSpaceDN w:val="0"/>
      <w:spacing w:before="0" w:after="0" w:line="240" w:lineRule="auto"/>
      <w:ind w:left="494" w:hanging="360"/>
    </w:pPr>
    <w:rPr>
      <w:rFonts w:eastAsia="Arial" w:cs="Arial"/>
      <w:color w:val="auto"/>
      <w:sz w:val="22"/>
      <w:szCs w:val="22"/>
      <w:lang w:val="en-US"/>
    </w:rPr>
  </w:style>
  <w:style w:type="paragraph" w:customStyle="1" w:styleId="APVMATableText">
    <w:name w:val="APVMA_TableText"/>
    <w:basedOn w:val="NormalText"/>
    <w:link w:val="APVMATableTextChar"/>
    <w:qFormat/>
    <w:rsid w:val="000379B0"/>
    <w:pPr>
      <w:spacing w:before="120" w:after="120" w:line="210" w:lineRule="exact"/>
    </w:pPr>
    <w:rPr>
      <w:color w:val="auto"/>
      <w:spacing w:val="6"/>
      <w:sz w:val="17"/>
    </w:rPr>
  </w:style>
  <w:style w:type="character" w:customStyle="1" w:styleId="APVMATableTextChar">
    <w:name w:val="APVMA_TableText Char"/>
    <w:link w:val="APVMATableText"/>
    <w:uiPriority w:val="4"/>
    <w:rsid w:val="000379B0"/>
    <w:rPr>
      <w:rFonts w:ascii="Arial" w:hAnsi="Arial" w:cs="Arial"/>
      <w:spacing w:val="6"/>
      <w:kern w:val="20"/>
      <w:sz w:val="17"/>
      <w:szCs w:val="24"/>
      <w:u w:color="000000"/>
      <w:lang w:eastAsia="en-US"/>
    </w:rPr>
  </w:style>
  <w:style w:type="paragraph" w:styleId="BodyText">
    <w:name w:val="Body Text"/>
    <w:basedOn w:val="Normal"/>
    <w:link w:val="BodyTextChar"/>
    <w:qFormat/>
    <w:rsid w:val="0043387F"/>
    <w:pPr>
      <w:widowControl w:val="0"/>
      <w:autoSpaceDE w:val="0"/>
      <w:autoSpaceDN w:val="0"/>
      <w:spacing w:before="0" w:after="0" w:line="240" w:lineRule="auto"/>
    </w:pPr>
    <w:rPr>
      <w:rFonts w:ascii="Arial Unicode MS" w:eastAsia="Arial Unicode MS" w:hAnsi="Arial Unicode MS" w:cs="Arial Unicode MS"/>
      <w:color w:val="auto"/>
      <w:sz w:val="20"/>
      <w:szCs w:val="20"/>
      <w:lang w:val="en-US"/>
    </w:rPr>
  </w:style>
  <w:style w:type="character" w:customStyle="1" w:styleId="BodyTextChar">
    <w:name w:val="Body Text Char"/>
    <w:basedOn w:val="DefaultParagraphFont"/>
    <w:link w:val="BodyText"/>
    <w:rsid w:val="0043387F"/>
    <w:rPr>
      <w:rFonts w:ascii="Arial Unicode MS" w:eastAsia="Arial Unicode MS" w:hAnsi="Arial Unicode MS" w:cs="Arial Unicode MS"/>
      <w:lang w:val="en-US" w:eastAsia="en-US"/>
    </w:rPr>
  </w:style>
  <w:style w:type="table" w:customStyle="1" w:styleId="TableGrid1">
    <w:name w:val="Table Grid1"/>
    <w:basedOn w:val="TableNormal"/>
    <w:next w:val="TableGrid"/>
    <w:uiPriority w:val="39"/>
    <w:rsid w:val="0043387F"/>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387F"/>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387F"/>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Text">
    <w:name w:val="APVMA_Text"/>
    <w:basedOn w:val="Normal"/>
    <w:link w:val="APVMATextChar"/>
    <w:qFormat/>
    <w:rsid w:val="00A77489"/>
    <w:pPr>
      <w:suppressAutoHyphens/>
      <w:spacing w:before="240" w:after="240" w:line="280" w:lineRule="exact"/>
    </w:pPr>
    <w:rPr>
      <w:rFonts w:cs="Arial"/>
      <w:color w:val="auto"/>
      <w:sz w:val="20"/>
      <w:u w:color="000000"/>
    </w:rPr>
  </w:style>
  <w:style w:type="character" w:customStyle="1" w:styleId="FootnoteTextChar">
    <w:name w:val="Footnote Text Char"/>
    <w:aliases w:val="APVMA_Footnote Char,DAR001 Char,Tabellenanmerkung Char"/>
    <w:basedOn w:val="DefaultParagraphFont"/>
    <w:link w:val="FootnoteText"/>
    <w:uiPriority w:val="99"/>
    <w:rsid w:val="00A77489"/>
    <w:rPr>
      <w:rFonts w:ascii="Arial" w:hAnsi="Arial" w:cs="Arial"/>
      <w:color w:val="1A1B1A" w:themeColor="text1" w:themeShade="80"/>
      <w:spacing w:val="6"/>
      <w:kern w:val="20"/>
      <w:sz w:val="16"/>
      <w:u w:color="000000"/>
      <w:lang w:eastAsia="en-US"/>
    </w:rPr>
  </w:style>
  <w:style w:type="character" w:customStyle="1" w:styleId="APVMATextChar">
    <w:name w:val="APVMA_Text Char"/>
    <w:basedOn w:val="DefaultParagraphFont"/>
    <w:link w:val="APVMAText"/>
    <w:locked/>
    <w:rsid w:val="00A77489"/>
    <w:rPr>
      <w:rFonts w:ascii="Arial" w:hAnsi="Arial" w:cs="Arial"/>
      <w:szCs w:val="24"/>
      <w:u w:color="000000"/>
      <w:lang w:eastAsia="en-US"/>
    </w:rPr>
  </w:style>
  <w:style w:type="paragraph" w:customStyle="1" w:styleId="APVMATableHead">
    <w:name w:val="APVMA_TableHead"/>
    <w:basedOn w:val="APVMATableText"/>
    <w:qFormat/>
    <w:rsid w:val="00A77489"/>
    <w:pPr>
      <w:keepNext/>
      <w:keepLines/>
      <w:spacing w:before="60" w:after="60" w:line="240" w:lineRule="exact"/>
    </w:pPr>
    <w:rPr>
      <w:rFonts w:ascii="Trebuchet MS" w:hAnsi="Trebuchet MS"/>
      <w:b/>
      <w:bCs/>
      <w:caps/>
      <w:color w:val="365860"/>
      <w:kern w:val="0"/>
      <w:sz w:val="18"/>
    </w:rPr>
  </w:style>
  <w:style w:type="paragraph" w:customStyle="1" w:styleId="APVMATableTextRight">
    <w:name w:val="APVMA_TableText_Right"/>
    <w:basedOn w:val="APVMATableText"/>
    <w:rsid w:val="00A77489"/>
    <w:pPr>
      <w:jc w:val="right"/>
    </w:pPr>
    <w:rPr>
      <w:kern w:val="0"/>
    </w:rPr>
  </w:style>
  <w:style w:type="paragraph" w:customStyle="1" w:styleId="APVMATableHeadRight">
    <w:name w:val="APVMA_TableHead_Right"/>
    <w:basedOn w:val="APVMATableHead"/>
    <w:rsid w:val="00A77489"/>
    <w:pPr>
      <w:jc w:val="right"/>
    </w:pPr>
  </w:style>
  <w:style w:type="character" w:customStyle="1" w:styleId="FooterChar">
    <w:name w:val="Footer Char"/>
    <w:basedOn w:val="DefaultParagraphFont"/>
    <w:link w:val="Footer"/>
    <w:uiPriority w:val="4"/>
    <w:semiHidden/>
    <w:rsid w:val="00A77489"/>
    <w:rPr>
      <w:rFonts w:ascii="Arial" w:hAnsi="Arial"/>
      <w:color w:val="1A1B1A" w:themeColor="text1" w:themeShade="80"/>
      <w:sz w:val="16"/>
      <w:szCs w:val="24"/>
      <w:lang w:eastAsia="en-US"/>
    </w:rPr>
  </w:style>
  <w:style w:type="table" w:customStyle="1" w:styleId="TableGrid4">
    <w:name w:val="Table Grid4"/>
    <w:basedOn w:val="TableNormal"/>
    <w:next w:val="TableGrid"/>
    <w:uiPriority w:val="39"/>
    <w:rsid w:val="00A7748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rsid w:val="00A77489"/>
    <w:rPr>
      <w:sz w:val="24"/>
      <w:lang w:eastAsia="en-US"/>
    </w:rPr>
  </w:style>
  <w:style w:type="paragraph" w:customStyle="1" w:styleId="APVMATableBullet">
    <w:name w:val="APVMA_TableBullet"/>
    <w:basedOn w:val="APVMATableText"/>
    <w:rsid w:val="00872D8E"/>
    <w:pPr>
      <w:tabs>
        <w:tab w:val="num" w:pos="227"/>
      </w:tabs>
      <w:spacing w:after="60"/>
      <w:ind w:left="227" w:hanging="227"/>
    </w:pPr>
    <w:rPr>
      <w:kern w:val="0"/>
    </w:rPr>
  </w:style>
  <w:style w:type="paragraph" w:customStyle="1" w:styleId="APVMAListNumbered">
    <w:name w:val="APVMA_List_Numbered"/>
    <w:basedOn w:val="APVMAText"/>
    <w:rsid w:val="00872D8E"/>
    <w:pPr>
      <w:tabs>
        <w:tab w:val="num" w:pos="340"/>
      </w:tabs>
      <w:spacing w:before="120" w:after="120"/>
      <w:ind w:left="340" w:hanging="340"/>
    </w:pPr>
  </w:style>
  <w:style w:type="paragraph" w:customStyle="1" w:styleId="APVMASourceTableNote">
    <w:name w:val="APVMA_Source/TableNote"/>
    <w:basedOn w:val="APVMAText"/>
    <w:rsid w:val="00872D8E"/>
    <w:pPr>
      <w:spacing w:before="0" w:after="0" w:line="280" w:lineRule="atLeast"/>
    </w:pPr>
    <w:rPr>
      <w:i/>
      <w:spacing w:val="6"/>
      <w:sz w:val="16"/>
    </w:rPr>
  </w:style>
  <w:style w:type="paragraph" w:customStyle="1" w:styleId="APVMAEvenHeader">
    <w:name w:val="APVMA_Even_Header"/>
    <w:basedOn w:val="APVMAOddHeader"/>
    <w:rsid w:val="00872D8E"/>
    <w:pPr>
      <w:tabs>
        <w:tab w:val="clear" w:pos="9072"/>
        <w:tab w:val="left" w:pos="567"/>
      </w:tabs>
      <w:ind w:left="567" w:hanging="567"/>
    </w:pPr>
  </w:style>
  <w:style w:type="paragraph" w:customStyle="1" w:styleId="APVMAOddHeader">
    <w:name w:val="APVMA_Odd_Header"/>
    <w:basedOn w:val="APVMAText"/>
    <w:uiPriority w:val="4"/>
    <w:rsid w:val="00872D8E"/>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qFormat/>
    <w:rsid w:val="00872D8E"/>
    <w:pPr>
      <w:tabs>
        <w:tab w:val="num" w:pos="340"/>
      </w:tabs>
      <w:spacing w:before="120" w:after="120"/>
      <w:ind w:left="340" w:hanging="340"/>
    </w:pPr>
  </w:style>
  <w:style w:type="paragraph" w:customStyle="1" w:styleId="APVMABullet2">
    <w:name w:val="APVMA_Bullet2"/>
    <w:basedOn w:val="APVMABullet1"/>
    <w:rsid w:val="00872D8E"/>
    <w:pPr>
      <w:tabs>
        <w:tab w:val="clear" w:pos="340"/>
        <w:tab w:val="num" w:pos="680"/>
      </w:tabs>
      <w:spacing w:before="60"/>
      <w:ind w:left="680"/>
    </w:pPr>
  </w:style>
  <w:style w:type="paragraph" w:customStyle="1" w:styleId="APVMAQuote">
    <w:name w:val="APVMA_Quote"/>
    <w:basedOn w:val="APVMAText"/>
    <w:rsid w:val="00872D8E"/>
    <w:pPr>
      <w:ind w:left="567" w:right="567"/>
    </w:pPr>
  </w:style>
  <w:style w:type="paragraph" w:customStyle="1" w:styleId="APVMATitle1">
    <w:name w:val="APVMA_Title1"/>
    <w:basedOn w:val="Normal"/>
    <w:rsid w:val="00872D8E"/>
    <w:pPr>
      <w:suppressAutoHyphens/>
      <w:spacing w:before="840" w:after="240" w:line="440" w:lineRule="exact"/>
      <w:jc w:val="right"/>
    </w:pPr>
    <w:rPr>
      <w:rFonts w:ascii="Trebuchet MS" w:hAnsi="Trebuchet MS" w:cs="Arial"/>
      <w:bCs/>
      <w:caps/>
      <w:color w:val="666666"/>
      <w:kern w:val="28"/>
      <w:sz w:val="50"/>
      <w:szCs w:val="32"/>
      <w:u w:color="000000"/>
    </w:rPr>
  </w:style>
  <w:style w:type="paragraph" w:customStyle="1" w:styleId="APVMATitle2">
    <w:name w:val="APVMA_Title2"/>
    <w:basedOn w:val="Normal"/>
    <w:rsid w:val="00872D8E"/>
    <w:pPr>
      <w:suppressAutoHyphens/>
      <w:spacing w:before="280" w:after="240" w:line="340" w:lineRule="exact"/>
      <w:jc w:val="right"/>
    </w:pPr>
    <w:rPr>
      <w:rFonts w:ascii="Trebuchet MS" w:hAnsi="Trebuchet MS" w:cs="Arial"/>
      <w:color w:val="365860"/>
      <w:sz w:val="30"/>
      <w:u w:color="000000"/>
    </w:rPr>
  </w:style>
  <w:style w:type="paragraph" w:customStyle="1" w:styleId="APVMAFooter">
    <w:name w:val="APVMA_Footer"/>
    <w:basedOn w:val="Normal"/>
    <w:rsid w:val="00872D8E"/>
    <w:pPr>
      <w:suppressAutoHyphens/>
      <w:spacing w:before="240" w:after="240" w:line="280" w:lineRule="exact"/>
    </w:pPr>
    <w:rPr>
      <w:rFonts w:ascii="Arial Bold" w:hAnsi="Arial Bold" w:cs="Arial"/>
      <w:b/>
      <w:color w:val="365860"/>
      <w:sz w:val="20"/>
      <w:u w:color="000000"/>
    </w:rPr>
  </w:style>
  <w:style w:type="paragraph" w:customStyle="1" w:styleId="APVMAPreliminariesH1">
    <w:name w:val="APVMA_Preliminaries_H1"/>
    <w:basedOn w:val="Heading1"/>
    <w:next w:val="APVMAText"/>
    <w:uiPriority w:val="4"/>
    <w:rsid w:val="00872D8E"/>
    <w:pPr>
      <w:pageBreakBefore w:val="0"/>
      <w:spacing w:before="240"/>
    </w:pPr>
    <w:rPr>
      <w:rFonts w:ascii="Trebuchet MS" w:hAnsi="Trebuchet MS"/>
      <w:b/>
      <w:bCs/>
      <w:caps/>
      <w:color w:val="365860"/>
      <w:kern w:val="0"/>
      <w:szCs w:val="30"/>
    </w:rPr>
  </w:style>
  <w:style w:type="paragraph" w:customStyle="1" w:styleId="APVMAPreliminariesH2">
    <w:name w:val="APVMA_Preliminaries_H2"/>
    <w:basedOn w:val="Heading2"/>
    <w:next w:val="APVMAText"/>
    <w:uiPriority w:val="4"/>
    <w:rsid w:val="00872D8E"/>
    <w:pPr>
      <w:numPr>
        <w:ilvl w:val="0"/>
      </w:numPr>
      <w:tabs>
        <w:tab w:val="num" w:pos="907"/>
      </w:tabs>
    </w:pPr>
    <w:rPr>
      <w:rFonts w:ascii="Trebuchet MS" w:hAnsi="Trebuchet MS"/>
      <w:b/>
      <w:color w:val="365860"/>
    </w:rPr>
  </w:style>
  <w:style w:type="paragraph" w:customStyle="1" w:styleId="APVMAPreliminariesH3">
    <w:name w:val="APVMA_Preliminaries_H3"/>
    <w:basedOn w:val="Heading3"/>
    <w:uiPriority w:val="4"/>
    <w:rsid w:val="00872D8E"/>
    <w:pPr>
      <w:numPr>
        <w:ilvl w:val="0"/>
      </w:numPr>
      <w:tabs>
        <w:tab w:val="num" w:pos="907"/>
      </w:tabs>
    </w:pPr>
    <w:rPr>
      <w:rFonts w:ascii="Trebuchet MS" w:hAnsi="Trebuchet MS"/>
      <w:b/>
      <w:color w:val="365860"/>
    </w:rPr>
  </w:style>
  <w:style w:type="paragraph" w:customStyle="1" w:styleId="APVMAAppendices">
    <w:name w:val="APVMA_Appendices"/>
    <w:basedOn w:val="Heading1"/>
    <w:next w:val="APVMAText"/>
    <w:rsid w:val="00872D8E"/>
    <w:pPr>
      <w:pageBreakBefore w:val="0"/>
      <w:tabs>
        <w:tab w:val="left" w:pos="1361"/>
      </w:tabs>
      <w:spacing w:before="240"/>
    </w:pPr>
    <w:rPr>
      <w:rFonts w:ascii="Trebuchet MS" w:hAnsi="Trebuchet MS"/>
      <w:b/>
      <w:caps/>
      <w:color w:val="365860"/>
      <w:kern w:val="0"/>
    </w:rPr>
  </w:style>
  <w:style w:type="paragraph" w:customStyle="1" w:styleId="APVMAAppendicesH1">
    <w:name w:val="APVMA_Appendices_H1"/>
    <w:basedOn w:val="APVMAPreliminariesH2"/>
    <w:next w:val="APVMAText"/>
    <w:rsid w:val="00872D8E"/>
    <w:pPr>
      <w:tabs>
        <w:tab w:val="left" w:pos="1361"/>
      </w:tabs>
    </w:pPr>
  </w:style>
  <w:style w:type="paragraph" w:customStyle="1" w:styleId="APVMAListAlpha">
    <w:name w:val="APVMA_List_Alpha"/>
    <w:basedOn w:val="APVMAText"/>
    <w:rsid w:val="00872D8E"/>
    <w:pPr>
      <w:tabs>
        <w:tab w:val="num" w:pos="340"/>
      </w:tabs>
      <w:spacing w:before="120" w:after="120"/>
      <w:ind w:left="340" w:hanging="340"/>
    </w:pPr>
  </w:style>
  <w:style w:type="paragraph" w:customStyle="1" w:styleId="APVMAAppendixH1">
    <w:name w:val="APVMA_Appendix_H1"/>
    <w:basedOn w:val="APVMAPreliminariesH1"/>
    <w:next w:val="APVMAText"/>
    <w:rsid w:val="00872D8E"/>
    <w:pPr>
      <w:tabs>
        <w:tab w:val="left" w:pos="2058"/>
      </w:tabs>
      <w:ind w:left="2044" w:hanging="2044"/>
    </w:pPr>
  </w:style>
  <w:style w:type="paragraph" w:customStyle="1" w:styleId="InstructionalText">
    <w:name w:val="Instructional Text"/>
    <w:basedOn w:val="Normal"/>
    <w:rsid w:val="00872D8E"/>
    <w:pPr>
      <w:suppressAutoHyphens/>
      <w:spacing w:before="240" w:after="240" w:line="280" w:lineRule="exact"/>
    </w:pPr>
    <w:rPr>
      <w:rFonts w:cs="Arial"/>
      <w:color w:val="3366FF"/>
      <w:sz w:val="18"/>
      <w:u w:color="000000"/>
    </w:rPr>
  </w:style>
  <w:style w:type="paragraph" w:customStyle="1" w:styleId="APVMAAppendixH2">
    <w:name w:val="APVMA_Appendix_H2"/>
    <w:basedOn w:val="APVMAPreliminariesH2"/>
    <w:next w:val="APVMAText"/>
    <w:rsid w:val="00872D8E"/>
    <w:rPr>
      <w:bCs/>
    </w:rPr>
  </w:style>
  <w:style w:type="paragraph" w:customStyle="1" w:styleId="MRLTableHeading">
    <w:name w:val="MRL Table Heading"/>
    <w:basedOn w:val="Normal"/>
    <w:rsid w:val="00872D8E"/>
    <w:pPr>
      <w:suppressAutoHyphens/>
      <w:spacing w:before="60" w:after="60" w:line="280" w:lineRule="exact"/>
    </w:pPr>
    <w:rPr>
      <w:rFonts w:ascii="Trebuchet MS" w:hAnsi="Trebuchet MS" w:cs="Arial"/>
      <w:b/>
      <w:caps/>
      <w:color w:val="385860"/>
      <w:sz w:val="18"/>
      <w:u w:color="000000"/>
    </w:rPr>
  </w:style>
  <w:style w:type="paragraph" w:customStyle="1" w:styleId="MRLActiveName">
    <w:name w:val="MRL Active Name"/>
    <w:basedOn w:val="Normal"/>
    <w:rsid w:val="00C43350"/>
    <w:pPr>
      <w:tabs>
        <w:tab w:val="num" w:pos="340"/>
      </w:tabs>
      <w:suppressAutoHyphens/>
      <w:spacing w:before="120" w:after="120" w:line="280" w:lineRule="exact"/>
      <w:ind w:left="340" w:hanging="340"/>
    </w:pPr>
    <w:rPr>
      <w:rFonts w:ascii="Trebuchet MS" w:hAnsi="Trebuchet MS" w:cs="Arial"/>
      <w:bCs/>
      <w:color w:val="53284F" w:themeColor="accent5"/>
      <w:sz w:val="18"/>
      <w:u w:color="000000"/>
    </w:rPr>
  </w:style>
  <w:style w:type="paragraph" w:customStyle="1" w:styleId="MRLTableText">
    <w:name w:val="MRL Table Text"/>
    <w:basedOn w:val="Normal"/>
    <w:rsid w:val="00872D8E"/>
    <w:pPr>
      <w:suppressAutoHyphens/>
      <w:spacing w:before="60" w:after="60" w:line="280" w:lineRule="exact"/>
    </w:pPr>
    <w:rPr>
      <w:rFonts w:cs="Arial"/>
      <w:color w:val="auto"/>
      <w:u w:color="000000"/>
    </w:rPr>
  </w:style>
  <w:style w:type="paragraph" w:customStyle="1" w:styleId="MRLCompound">
    <w:name w:val="MRL Compound"/>
    <w:basedOn w:val="MRLTableText"/>
    <w:rsid w:val="00872D8E"/>
    <w:pPr>
      <w:tabs>
        <w:tab w:val="left" w:pos="972"/>
      </w:tabs>
      <w:ind w:left="432"/>
    </w:pPr>
  </w:style>
  <w:style w:type="paragraph" w:customStyle="1" w:styleId="MRLValue">
    <w:name w:val="MRL Value"/>
    <w:basedOn w:val="MRLTableText"/>
    <w:rsid w:val="00872D8E"/>
    <w:pPr>
      <w:tabs>
        <w:tab w:val="decimal" w:pos="612"/>
      </w:tabs>
    </w:pPr>
  </w:style>
  <w:style w:type="paragraph" w:customStyle="1" w:styleId="APVMAAppendixH3">
    <w:name w:val="APVMA_Appendix_H3"/>
    <w:basedOn w:val="APVMAPreliminariesH3"/>
    <w:next w:val="APVMAText"/>
    <w:rsid w:val="00872D8E"/>
  </w:style>
  <w:style w:type="paragraph" w:customStyle="1" w:styleId="APVMAGlossaryRefH1">
    <w:name w:val="APVMA_Glossary/Ref_H1"/>
    <w:basedOn w:val="APVMAPreliminariesH1"/>
    <w:rsid w:val="00872D8E"/>
  </w:style>
  <w:style w:type="paragraph" w:customStyle="1" w:styleId="APVMATableSubHead">
    <w:name w:val="APVMA_Table_SubHead"/>
    <w:basedOn w:val="APVMATableHead"/>
    <w:uiPriority w:val="4"/>
    <w:rsid w:val="00872D8E"/>
    <w:rPr>
      <w:b w:val="0"/>
    </w:rPr>
  </w:style>
  <w:style w:type="paragraph" w:styleId="BodyText2">
    <w:name w:val="Body Text 2"/>
    <w:basedOn w:val="Normal"/>
    <w:link w:val="BodyText2Char"/>
    <w:semiHidden/>
    <w:rsid w:val="00872D8E"/>
    <w:pPr>
      <w:suppressAutoHyphens/>
      <w:spacing w:before="240" w:after="240" w:line="280" w:lineRule="exact"/>
      <w:ind w:right="282"/>
      <w:jc w:val="both"/>
    </w:pPr>
    <w:rPr>
      <w:rFonts w:ascii="Times New Roman" w:hAnsi="Times New Roman" w:cs="Arial"/>
      <w:color w:val="auto"/>
      <w:sz w:val="24"/>
      <w:szCs w:val="20"/>
      <w:u w:color="000000"/>
    </w:rPr>
  </w:style>
  <w:style w:type="character" w:customStyle="1" w:styleId="BodyText2Char">
    <w:name w:val="Body Text 2 Char"/>
    <w:basedOn w:val="DefaultParagraphFont"/>
    <w:link w:val="BodyText2"/>
    <w:semiHidden/>
    <w:rsid w:val="00872D8E"/>
    <w:rPr>
      <w:rFonts w:cs="Arial"/>
      <w:sz w:val="24"/>
      <w:u w:color="000000"/>
      <w:lang w:eastAsia="en-US"/>
    </w:rPr>
  </w:style>
  <w:style w:type="paragraph" w:customStyle="1" w:styleId="bold">
    <w:name w:val="bold"/>
    <w:basedOn w:val="Normal"/>
    <w:next w:val="Normal"/>
    <w:rsid w:val="00872D8E"/>
    <w:pPr>
      <w:tabs>
        <w:tab w:val="left" w:pos="170"/>
        <w:tab w:val="left" w:pos="222"/>
        <w:tab w:val="left" w:pos="567"/>
        <w:tab w:val="left" w:pos="624"/>
        <w:tab w:val="left" w:pos="1416"/>
        <w:tab w:val="left" w:pos="1588"/>
        <w:tab w:val="decimal" w:pos="6379"/>
        <w:tab w:val="decimal" w:pos="7655"/>
      </w:tabs>
      <w:suppressAutoHyphens/>
      <w:spacing w:after="240" w:line="220" w:lineRule="exact"/>
    </w:pPr>
    <w:rPr>
      <w:rFonts w:ascii="Helvetica" w:hAnsi="Helvetica" w:cs="Arial"/>
      <w:b/>
      <w:color w:val="auto"/>
      <w:sz w:val="18"/>
      <w:szCs w:val="20"/>
      <w:u w:color="000000"/>
      <w:lang w:val="en-US"/>
    </w:rPr>
  </w:style>
  <w:style w:type="paragraph" w:styleId="BodyText3">
    <w:name w:val="Body Text 3"/>
    <w:basedOn w:val="Normal"/>
    <w:link w:val="BodyText3Char"/>
    <w:semiHidden/>
    <w:rsid w:val="00872D8E"/>
    <w:pPr>
      <w:suppressAutoHyphens/>
      <w:spacing w:before="240" w:after="240" w:line="280" w:lineRule="exact"/>
    </w:pPr>
    <w:rPr>
      <w:rFonts w:ascii="Times New Roman" w:hAnsi="Times New Roman" w:cs="Arial"/>
      <w:color w:val="auto"/>
      <w:sz w:val="24"/>
      <w:szCs w:val="20"/>
      <w:u w:color="000000"/>
    </w:rPr>
  </w:style>
  <w:style w:type="character" w:customStyle="1" w:styleId="BodyText3Char">
    <w:name w:val="Body Text 3 Char"/>
    <w:basedOn w:val="DefaultParagraphFont"/>
    <w:link w:val="BodyText3"/>
    <w:semiHidden/>
    <w:rsid w:val="00872D8E"/>
    <w:rPr>
      <w:rFonts w:cs="Arial"/>
      <w:sz w:val="24"/>
      <w:u w:color="000000"/>
      <w:lang w:eastAsia="en-US"/>
    </w:rPr>
  </w:style>
  <w:style w:type="paragraph" w:styleId="ListBullet">
    <w:name w:val="List Bullet"/>
    <w:basedOn w:val="Normal"/>
    <w:uiPriority w:val="99"/>
    <w:unhideWhenUsed/>
    <w:rsid w:val="00872D8E"/>
    <w:pPr>
      <w:tabs>
        <w:tab w:val="num" w:pos="360"/>
      </w:tabs>
      <w:suppressAutoHyphens/>
      <w:spacing w:before="240" w:after="240" w:line="280" w:lineRule="exact"/>
      <w:ind w:left="360" w:hanging="360"/>
      <w:contextualSpacing/>
    </w:pPr>
    <w:rPr>
      <w:rFonts w:cs="Arial"/>
      <w:color w:val="auto"/>
      <w:sz w:val="20"/>
      <w:u w:color="000000"/>
    </w:rPr>
  </w:style>
  <w:style w:type="character" w:customStyle="1" w:styleId="HeaderChar">
    <w:name w:val="Header Char"/>
    <w:basedOn w:val="DefaultParagraphFont"/>
    <w:link w:val="Header"/>
    <w:rsid w:val="00872D8E"/>
    <w:rPr>
      <w:rFonts w:ascii="Arial" w:hAnsi="Arial"/>
      <w:color w:val="1A1B1A" w:themeColor="text1" w:themeShade="80"/>
      <w:sz w:val="16"/>
      <w:szCs w:val="24"/>
      <w:lang w:eastAsia="en-US"/>
    </w:rPr>
  </w:style>
  <w:style w:type="paragraph" w:styleId="TOCHeading">
    <w:name w:val="TOC Heading"/>
    <w:basedOn w:val="Heading1"/>
    <w:next w:val="Normal"/>
    <w:uiPriority w:val="39"/>
    <w:unhideWhenUsed/>
    <w:qFormat/>
    <w:rsid w:val="00872D8E"/>
    <w:pPr>
      <w:pageBreakBefore w:val="0"/>
      <w:suppressAutoHyphens w:val="0"/>
      <w:spacing w:before="480" w:after="0" w:line="276" w:lineRule="auto"/>
      <w:outlineLvl w:val="9"/>
    </w:pPr>
    <w:rPr>
      <w:rFonts w:asciiTheme="majorHAnsi" w:eastAsiaTheme="majorEastAsia" w:hAnsiTheme="majorHAnsi" w:cstheme="majorBidi"/>
      <w:b/>
      <w:bCs/>
      <w:color w:val="7E9BA8" w:themeColor="accent1" w:themeShade="BF"/>
      <w:kern w:val="0"/>
      <w:sz w:val="28"/>
      <w:szCs w:val="28"/>
      <w:lang w:val="en-US" w:eastAsia="ja-JP"/>
    </w:rPr>
  </w:style>
  <w:style w:type="character" w:customStyle="1" w:styleId="Heading3Char">
    <w:name w:val="Heading 3 Char"/>
    <w:aliases w:val="APVMA_H3 Char,H3 Char,bro Titre 3 Char,h3 Char"/>
    <w:basedOn w:val="DefaultParagraphFont"/>
    <w:link w:val="Heading3"/>
    <w:uiPriority w:val="9"/>
    <w:rsid w:val="00872D8E"/>
    <w:rPr>
      <w:rFonts w:ascii="Franklin Gothic Medium" w:hAnsi="Franklin Gothic Medium" w:cs="Arial"/>
      <w:color w:val="5C2946"/>
      <w:sz w:val="24"/>
      <w:szCs w:val="26"/>
      <w:u w:color="000000"/>
      <w:lang w:eastAsia="en-US"/>
    </w:rPr>
  </w:style>
  <w:style w:type="paragraph" w:styleId="BodyTextIndent2">
    <w:name w:val="Body Text Indent 2"/>
    <w:basedOn w:val="Normal"/>
    <w:link w:val="BodyTextIndent2Char"/>
    <w:uiPriority w:val="99"/>
    <w:semiHidden/>
    <w:unhideWhenUsed/>
    <w:rsid w:val="00872D8E"/>
    <w:pPr>
      <w:suppressAutoHyphens/>
      <w:spacing w:before="240" w:after="120" w:line="480" w:lineRule="auto"/>
      <w:ind w:left="283"/>
    </w:pPr>
    <w:rPr>
      <w:rFonts w:cs="Arial"/>
      <w:color w:val="auto"/>
      <w:sz w:val="20"/>
      <w:u w:color="000000"/>
    </w:rPr>
  </w:style>
  <w:style w:type="character" w:customStyle="1" w:styleId="BodyTextIndent2Char">
    <w:name w:val="Body Text Indent 2 Char"/>
    <w:basedOn w:val="DefaultParagraphFont"/>
    <w:link w:val="BodyTextIndent2"/>
    <w:uiPriority w:val="99"/>
    <w:semiHidden/>
    <w:rsid w:val="00872D8E"/>
    <w:rPr>
      <w:rFonts w:ascii="Arial" w:hAnsi="Arial" w:cs="Arial"/>
      <w:szCs w:val="24"/>
      <w:u w:color="000000"/>
      <w:lang w:eastAsia="en-US"/>
    </w:rPr>
  </w:style>
  <w:style w:type="paragraph" w:styleId="BodyTextIndent">
    <w:name w:val="Body Text Indent"/>
    <w:basedOn w:val="Normal"/>
    <w:link w:val="BodyTextIndentChar"/>
    <w:uiPriority w:val="99"/>
    <w:semiHidden/>
    <w:unhideWhenUsed/>
    <w:rsid w:val="00872D8E"/>
    <w:pPr>
      <w:suppressAutoHyphens/>
      <w:spacing w:before="240" w:after="120" w:line="280" w:lineRule="exact"/>
      <w:ind w:left="283"/>
    </w:pPr>
    <w:rPr>
      <w:rFonts w:cs="Arial"/>
      <w:color w:val="auto"/>
      <w:sz w:val="20"/>
      <w:u w:color="000000"/>
    </w:rPr>
  </w:style>
  <w:style w:type="character" w:customStyle="1" w:styleId="BodyTextIndentChar">
    <w:name w:val="Body Text Indent Char"/>
    <w:basedOn w:val="DefaultParagraphFont"/>
    <w:link w:val="BodyTextIndent"/>
    <w:uiPriority w:val="99"/>
    <w:semiHidden/>
    <w:rsid w:val="00872D8E"/>
    <w:rPr>
      <w:rFonts w:ascii="Arial" w:hAnsi="Arial" w:cs="Arial"/>
      <w:szCs w:val="24"/>
      <w:u w:color="000000"/>
      <w:lang w:eastAsia="en-US"/>
    </w:rPr>
  </w:style>
  <w:style w:type="paragraph" w:customStyle="1" w:styleId="Paragraph">
    <w:name w:val="Paragraph"/>
    <w:basedOn w:val="ListNumber"/>
    <w:rsid w:val="00872D8E"/>
    <w:pPr>
      <w:spacing w:before="240" w:after="0"/>
    </w:pPr>
  </w:style>
  <w:style w:type="paragraph" w:styleId="ListNumber">
    <w:name w:val="List Number"/>
    <w:basedOn w:val="Normal"/>
    <w:semiHidden/>
    <w:rsid w:val="00872D8E"/>
    <w:pPr>
      <w:tabs>
        <w:tab w:val="num" w:pos="567"/>
      </w:tabs>
      <w:spacing w:before="0" w:after="240" w:line="240" w:lineRule="auto"/>
      <w:ind w:left="567" w:hanging="567"/>
      <w:jc w:val="both"/>
    </w:pPr>
    <w:rPr>
      <w:rFonts w:ascii="Times New Roman" w:hAnsi="Times New Roman"/>
      <w:color w:val="auto"/>
      <w:sz w:val="24"/>
      <w:szCs w:val="20"/>
      <w:u w:color="000000"/>
    </w:rPr>
  </w:style>
  <w:style w:type="paragraph" w:styleId="ListNumber3">
    <w:name w:val="List Number 3"/>
    <w:basedOn w:val="Normal"/>
    <w:semiHidden/>
    <w:rsid w:val="00872D8E"/>
    <w:pPr>
      <w:tabs>
        <w:tab w:val="num" w:pos="926"/>
      </w:tabs>
      <w:spacing w:before="0" w:after="0" w:line="240" w:lineRule="auto"/>
      <w:ind w:left="926" w:hanging="360"/>
    </w:pPr>
    <w:rPr>
      <w:rFonts w:ascii="Times New Roman" w:hAnsi="Times New Roman"/>
      <w:color w:val="auto"/>
      <w:sz w:val="24"/>
      <w:szCs w:val="20"/>
      <w:u w:color="000000"/>
    </w:rPr>
  </w:style>
  <w:style w:type="paragraph" w:customStyle="1" w:styleId="APVMACoverTitle">
    <w:name w:val="APVMA_Cover_Title"/>
    <w:basedOn w:val="Normal"/>
    <w:uiPriority w:val="4"/>
    <w:qFormat/>
    <w:rsid w:val="00872D8E"/>
    <w:pPr>
      <w:spacing w:before="0" w:after="0" w:line="440" w:lineRule="exact"/>
      <w:jc w:val="right"/>
    </w:pPr>
    <w:rPr>
      <w:rFonts w:ascii="Franklin Gothic Demi" w:hAnsi="Franklin Gothic Demi" w:cs="Arial"/>
      <w:bCs/>
      <w:color w:val="353735"/>
      <w:kern w:val="28"/>
      <w:sz w:val="36"/>
      <w:szCs w:val="32"/>
      <w:u w:color="000000"/>
    </w:rPr>
  </w:style>
  <w:style w:type="paragraph" w:customStyle="1" w:styleId="APVMACoverSubtitle">
    <w:name w:val="APVMA_Cover_Subtitle"/>
    <w:basedOn w:val="Normal"/>
    <w:uiPriority w:val="4"/>
    <w:qFormat/>
    <w:rsid w:val="00872D8E"/>
    <w:pPr>
      <w:spacing w:before="120" w:after="0" w:line="340" w:lineRule="exact"/>
      <w:jc w:val="right"/>
    </w:pPr>
    <w:rPr>
      <w:rFonts w:ascii="Franklin Gothic Book" w:hAnsi="Franklin Gothic Book"/>
      <w:color w:val="353735" w:themeColor="text1"/>
      <w:sz w:val="28"/>
      <w:u w:color="000000"/>
    </w:rPr>
  </w:style>
  <w:style w:type="character" w:customStyle="1" w:styleId="Heading2Char">
    <w:name w:val="Heading 2 Char"/>
    <w:aliases w:val="APVMA_H2 Char"/>
    <w:basedOn w:val="DefaultParagraphFont"/>
    <w:link w:val="Heading2"/>
    <w:rsid w:val="00872D8E"/>
    <w:rPr>
      <w:rFonts w:ascii="Franklin Gothic Medium" w:hAnsi="Franklin Gothic Medium" w:cs="Arial"/>
      <w:color w:val="5C2946"/>
      <w:sz w:val="28"/>
      <w:szCs w:val="28"/>
      <w:u w:color="000000"/>
      <w:lang w:eastAsia="en-US"/>
    </w:rPr>
  </w:style>
  <w:style w:type="character" w:customStyle="1" w:styleId="Heading1Char">
    <w:name w:val="Heading 1 Char"/>
    <w:aliases w:val="APVMA_H1 Char"/>
    <w:basedOn w:val="DefaultParagraphFont"/>
    <w:link w:val="Heading1"/>
    <w:uiPriority w:val="9"/>
    <w:rsid w:val="00872D8E"/>
    <w:rPr>
      <w:rFonts w:ascii="Franklin Gothic Medium" w:hAnsi="Franklin Gothic Medium" w:cs="Arial"/>
      <w:color w:val="5C2946"/>
      <w:kern w:val="20"/>
      <w:sz w:val="32"/>
      <w:szCs w:val="32"/>
      <w:u w:color="000000"/>
      <w:lang w:eastAsia="en-US"/>
    </w:rPr>
  </w:style>
  <w:style w:type="paragraph" w:customStyle="1" w:styleId="table">
    <w:name w:val="table"/>
    <w:basedOn w:val="BODYTEXT0"/>
    <w:rsid w:val="00872D8E"/>
    <w:pPr>
      <w:numPr>
        <w:numId w:val="69"/>
      </w:numPr>
    </w:pPr>
  </w:style>
  <w:style w:type="paragraph" w:customStyle="1" w:styleId="MRLTableCaption">
    <w:name w:val="MRL Table Caption"/>
    <w:basedOn w:val="Normal"/>
    <w:next w:val="BodyText"/>
    <w:rsid w:val="00872D8E"/>
    <w:pPr>
      <w:keepNext/>
      <w:spacing w:before="120" w:after="120" w:line="280" w:lineRule="atLeast"/>
      <w:ind w:left="1134" w:hanging="1134"/>
    </w:pPr>
    <w:rPr>
      <w:rFonts w:ascii="Times New Roman" w:hAnsi="Times New Roman"/>
      <w:b/>
      <w:color w:val="auto"/>
      <w:spacing w:val="6"/>
      <w:sz w:val="24"/>
      <w:u w:color="000000"/>
    </w:rPr>
  </w:style>
  <w:style w:type="paragraph" w:customStyle="1" w:styleId="labelling-text">
    <w:name w:val="labelling-text"/>
    <w:basedOn w:val="Normal"/>
    <w:rsid w:val="00872D8E"/>
    <w:pPr>
      <w:spacing w:beforeAutospacing="1" w:afterAutospacing="1" w:line="240" w:lineRule="auto"/>
    </w:pPr>
    <w:rPr>
      <w:rFonts w:ascii="Times New Roman" w:hAnsi="Times New Roman"/>
      <w:color w:val="auto"/>
      <w:sz w:val="24"/>
      <w:u w:color="000000"/>
      <w:lang w:eastAsia="en-AU"/>
    </w:rPr>
  </w:style>
  <w:style w:type="paragraph" w:styleId="NormalWeb">
    <w:name w:val="Normal (Web)"/>
    <w:basedOn w:val="Normal"/>
    <w:uiPriority w:val="99"/>
    <w:semiHidden/>
    <w:unhideWhenUsed/>
    <w:rsid w:val="00872D8E"/>
    <w:pPr>
      <w:spacing w:beforeAutospacing="1" w:afterAutospacing="1" w:line="240" w:lineRule="auto"/>
    </w:pPr>
    <w:rPr>
      <w:rFonts w:ascii="Times New Roman" w:hAnsi="Times New Roman"/>
      <w:color w:val="auto"/>
      <w:sz w:val="24"/>
      <w:u w:color="000000"/>
      <w:lang w:eastAsia="en-AU"/>
    </w:rPr>
  </w:style>
  <w:style w:type="paragraph" w:styleId="NoSpacing">
    <w:name w:val="No Spacing"/>
    <w:uiPriority w:val="1"/>
    <w:qFormat/>
    <w:rsid w:val="00872D8E"/>
    <w:rPr>
      <w:rFonts w:asciiTheme="minorHAnsi" w:eastAsiaTheme="minorHAnsi" w:hAnsiTheme="minorHAnsi" w:cstheme="minorBidi"/>
      <w:sz w:val="22"/>
      <w:szCs w:val="22"/>
      <w:lang w:eastAsia="en-US"/>
    </w:rPr>
  </w:style>
  <w:style w:type="character" w:customStyle="1" w:styleId="CharacterStyle2">
    <w:name w:val="Character Style 2"/>
    <w:uiPriority w:val="99"/>
    <w:rsid w:val="00872D8E"/>
    <w:rPr>
      <w:sz w:val="20"/>
      <w:szCs w:val="20"/>
    </w:rPr>
  </w:style>
  <w:style w:type="character" w:customStyle="1" w:styleId="CharacterStyle1">
    <w:name w:val="Character Style 1"/>
    <w:uiPriority w:val="99"/>
    <w:rsid w:val="00872D8E"/>
    <w:rPr>
      <w:sz w:val="18"/>
      <w:szCs w:val="18"/>
    </w:rPr>
  </w:style>
  <w:style w:type="numbering" w:customStyle="1" w:styleId="NoList1">
    <w:name w:val="No List1"/>
    <w:next w:val="NoList"/>
    <w:uiPriority w:val="99"/>
    <w:semiHidden/>
    <w:unhideWhenUsed/>
    <w:rsid w:val="00872D8E"/>
  </w:style>
  <w:style w:type="numbering" w:customStyle="1" w:styleId="NoList2">
    <w:name w:val="No List2"/>
    <w:next w:val="NoList"/>
    <w:uiPriority w:val="99"/>
    <w:semiHidden/>
    <w:unhideWhenUsed/>
    <w:rsid w:val="00872D8E"/>
  </w:style>
  <w:style w:type="table" w:styleId="PlainTable3">
    <w:name w:val="Plain Table 3"/>
    <w:basedOn w:val="TableNormal"/>
    <w:uiPriority w:val="43"/>
    <w:rsid w:val="00E71851"/>
    <w:tblPr>
      <w:tblStyleRowBandSize w:val="1"/>
      <w:tblStyleColBandSize w:val="1"/>
    </w:tblPr>
    <w:tblStylePr w:type="firstRow">
      <w:rPr>
        <w:b/>
        <w:bCs/>
        <w:caps/>
      </w:rPr>
      <w:tblPr/>
      <w:tcPr>
        <w:tcBorders>
          <w:bottom w:val="single" w:sz="4" w:space="0" w:color="989C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C98" w:themeColor="text1" w:themeTint="80"/>
        </w:tcBorders>
      </w:tcPr>
    </w:tblStylePr>
    <w:tblStylePr w:type="lastCol">
      <w:rPr>
        <w:b/>
        <w:bCs/>
        <w:caps/>
      </w:rPr>
      <w:tblPr/>
      <w:tcPr>
        <w:tcBorders>
          <w:left w:val="nil"/>
        </w:tcBorders>
      </w:tc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GazetteHeading1">
    <w:name w:val="Gazette Heading 1"/>
    <w:basedOn w:val="Heading1"/>
    <w:link w:val="GazetteHeading1Char"/>
    <w:qFormat/>
    <w:rsid w:val="00E9120B"/>
    <w:pPr>
      <w:pageBreakBefore w:val="0"/>
      <w:suppressAutoHyphens w:val="0"/>
      <w:spacing w:before="240" w:after="240" w:line="280" w:lineRule="exact"/>
    </w:pPr>
    <w:rPr>
      <w:rFonts w:eastAsiaTheme="majorEastAsia" w:cstheme="majorBidi"/>
      <w:sz w:val="28"/>
    </w:rPr>
  </w:style>
  <w:style w:type="paragraph" w:customStyle="1" w:styleId="GazetteTableText">
    <w:name w:val="Gazette Table Text"/>
    <w:basedOn w:val="Normal"/>
    <w:qFormat/>
    <w:rsid w:val="00E9120B"/>
    <w:pPr>
      <w:pBdr>
        <w:top w:val="nil"/>
        <w:left w:val="nil"/>
        <w:bottom w:val="nil"/>
        <w:right w:val="nil"/>
        <w:between w:val="nil"/>
        <w:bar w:val="nil"/>
      </w:pBdr>
      <w:spacing w:before="120" w:after="120" w:line="210" w:lineRule="exact"/>
    </w:pPr>
    <w:rPr>
      <w:rFonts w:eastAsia="Arial Unicode MS" w:hAnsi="Arial Unicode MS" w:cs="Arial Unicode MS"/>
      <w:color w:val="000000"/>
      <w:szCs w:val="18"/>
      <w:u w:color="000000"/>
      <w:bdr w:val="nil"/>
      <w:lang w:val="en-GB" w:eastAsia="en-AU"/>
    </w:rPr>
  </w:style>
  <w:style w:type="paragraph" w:customStyle="1" w:styleId="GazetteTableHeading">
    <w:name w:val="Gazette Table Heading"/>
    <w:basedOn w:val="GazetteTableText"/>
    <w:qFormat/>
    <w:rsid w:val="00E9120B"/>
    <w:pPr>
      <w:tabs>
        <w:tab w:val="left" w:pos="2699"/>
      </w:tabs>
    </w:pPr>
    <w:rPr>
      <w:rFonts w:ascii="Franklin Gothic Medium" w:hAnsi="Franklin Gothic Medium"/>
      <w:sz w:val="18"/>
    </w:rPr>
  </w:style>
  <w:style w:type="character" w:customStyle="1" w:styleId="GazetteHeading1Char">
    <w:name w:val="Gazette Heading 1 Char"/>
    <w:basedOn w:val="Heading1Char"/>
    <w:link w:val="GazetteHeading1"/>
    <w:rsid w:val="00E9120B"/>
    <w:rPr>
      <w:rFonts w:ascii="Franklin Gothic Medium" w:eastAsiaTheme="majorEastAsia" w:hAnsi="Franklin Gothic Medium" w:cstheme="majorBidi"/>
      <w:color w:val="5C2946"/>
      <w:kern w:val="20"/>
      <w:sz w:val="28"/>
      <w:szCs w:val="32"/>
      <w:u w:color="000000"/>
      <w:lang w:eastAsia="en-US"/>
    </w:rPr>
  </w:style>
  <w:style w:type="paragraph" w:styleId="EndnoteText">
    <w:name w:val="endnote text"/>
    <w:basedOn w:val="Normal"/>
    <w:link w:val="EndnoteTextChar"/>
    <w:uiPriority w:val="99"/>
    <w:semiHidden/>
    <w:unhideWhenUsed/>
    <w:rsid w:val="007963D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963D0"/>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7963D0"/>
    <w:rPr>
      <w:vertAlign w:val="superscript"/>
    </w:rPr>
  </w:style>
  <w:style w:type="paragraph" w:customStyle="1" w:styleId="TableNumberLevel1">
    <w:name w:val="Table: Number Level 1"/>
    <w:aliases w:val="Table N1"/>
    <w:basedOn w:val="Normal"/>
    <w:uiPriority w:val="12"/>
    <w:qFormat/>
    <w:rsid w:val="000E0323"/>
    <w:pPr>
      <w:numPr>
        <w:numId w:val="105"/>
      </w:numPr>
      <w:spacing w:before="60" w:after="60"/>
    </w:pPr>
    <w:rPr>
      <w:rFonts w:cs="Arial"/>
      <w:color w:val="auto"/>
      <w:sz w:val="20"/>
      <w:szCs w:val="22"/>
      <w:lang w:eastAsia="en-AU"/>
    </w:rPr>
  </w:style>
  <w:style w:type="paragraph" w:customStyle="1" w:styleId="TableNumberLevel2">
    <w:name w:val="Table: Number Level 2"/>
    <w:basedOn w:val="Normal"/>
    <w:uiPriority w:val="12"/>
    <w:rsid w:val="000E0323"/>
    <w:pPr>
      <w:numPr>
        <w:ilvl w:val="1"/>
        <w:numId w:val="105"/>
      </w:numPr>
      <w:tabs>
        <w:tab w:val="clear" w:pos="567"/>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0E0323"/>
    <w:pPr>
      <w:numPr>
        <w:ilvl w:val="2"/>
        <w:numId w:val="105"/>
      </w:numPr>
      <w:tabs>
        <w:tab w:val="clear" w:pos="567"/>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0E0323"/>
    <w:pPr>
      <w:numPr>
        <w:ilvl w:val="3"/>
        <w:numId w:val="105"/>
      </w:numPr>
      <w:tabs>
        <w:tab w:val="clear" w:pos="850"/>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0E0323"/>
    <w:pPr>
      <w:numPr>
        <w:ilvl w:val="4"/>
        <w:numId w:val="105"/>
      </w:numPr>
      <w:tabs>
        <w:tab w:val="clear" w:pos="1134"/>
        <w:tab w:val="num" w:pos="360"/>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0E0323"/>
    <w:pPr>
      <w:numPr>
        <w:ilvl w:val="5"/>
        <w:numId w:val="105"/>
      </w:numPr>
      <w:tabs>
        <w:tab w:val="clear" w:pos="1417"/>
        <w:tab w:val="num" w:pos="360"/>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0E0323"/>
    <w:pPr>
      <w:numPr>
        <w:ilvl w:val="6"/>
        <w:numId w:val="105"/>
      </w:numPr>
      <w:tabs>
        <w:tab w:val="clear" w:pos="1701"/>
        <w:tab w:val="num" w:pos="360"/>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0E0323"/>
    <w:pPr>
      <w:numPr>
        <w:ilvl w:val="7"/>
        <w:numId w:val="105"/>
      </w:numPr>
      <w:tabs>
        <w:tab w:val="clear" w:pos="1984"/>
        <w:tab w:val="num" w:pos="360"/>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0E0323"/>
    <w:pPr>
      <w:numPr>
        <w:ilvl w:val="8"/>
        <w:numId w:val="105"/>
      </w:numPr>
      <w:tabs>
        <w:tab w:val="clear" w:pos="2268"/>
        <w:tab w:val="num" w:pos="360"/>
        <w:tab w:val="num" w:pos="6480"/>
      </w:tabs>
      <w:spacing w:before="0" w:after="60"/>
      <w:ind w:left="6480" w:hanging="180"/>
    </w:pPr>
    <w:rPr>
      <w:rFonts w:cs="Arial"/>
      <w:color w:val="auto"/>
      <w:sz w:val="2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5172">
      <w:bodyDiv w:val="1"/>
      <w:marLeft w:val="0"/>
      <w:marRight w:val="0"/>
      <w:marTop w:val="0"/>
      <w:marBottom w:val="0"/>
      <w:divBdr>
        <w:top w:val="none" w:sz="0" w:space="0" w:color="auto"/>
        <w:left w:val="none" w:sz="0" w:space="0" w:color="auto"/>
        <w:bottom w:val="none" w:sz="0" w:space="0" w:color="auto"/>
        <w:right w:val="none" w:sz="0" w:space="0" w:color="auto"/>
      </w:divBdr>
    </w:div>
    <w:div w:id="368461134">
      <w:bodyDiv w:val="1"/>
      <w:marLeft w:val="0"/>
      <w:marRight w:val="0"/>
      <w:marTop w:val="0"/>
      <w:marBottom w:val="0"/>
      <w:divBdr>
        <w:top w:val="none" w:sz="0" w:space="0" w:color="auto"/>
        <w:left w:val="none" w:sz="0" w:space="0" w:color="auto"/>
        <w:bottom w:val="none" w:sz="0" w:space="0" w:color="auto"/>
        <w:right w:val="none" w:sz="0" w:space="0" w:color="auto"/>
      </w:divBdr>
    </w:div>
    <w:div w:id="519323251">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277250186">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5.xml" Id="rId26" /><Relationship Type="http://schemas.openxmlformats.org/officeDocument/2006/relationships/hyperlink" Target="http://www.apvma.gov.au" TargetMode="External" Id="rId21" /><Relationship Type="http://schemas.openxmlformats.org/officeDocument/2006/relationships/header" Target="header12.xml" Id="rId42" /><Relationship Type="http://schemas.openxmlformats.org/officeDocument/2006/relationships/hyperlink" Target="https://www.amr.gov.au/resources/importance-ratings-and-summary-antibacterial-uses-human-and-animal-health-australia" TargetMode="External" Id="rId47" /><Relationship Type="http://schemas.openxmlformats.org/officeDocument/2006/relationships/hyperlink" Target="https://onlinelibrary.wiley.com/doi/10.1111/avj.13221" TargetMode="External" Id="rId63" /><Relationship Type="http://schemas.openxmlformats.org/officeDocument/2006/relationships/header" Target="header19.xml" Id="rId68" /><Relationship Type="http://schemas.openxmlformats.org/officeDocument/2006/relationships/footnotes" Target="footnotes.xml" Id="rId7" /><Relationship Type="http://schemas.openxmlformats.org/officeDocument/2006/relationships/theme" Target="theme/theme1.xml" Id="rId71"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image" Target="media/image5.png" Id="rId29" /><Relationship Type="http://schemas.openxmlformats.org/officeDocument/2006/relationships/image" Target="media/image3.png" Id="rId11" /><Relationship Type="http://schemas.openxmlformats.org/officeDocument/2006/relationships/hyperlink" Target="mailto:chemicalreview@apvma.gov.au" TargetMode="External" Id="rId24" /><Relationship Type="http://schemas.openxmlformats.org/officeDocument/2006/relationships/hyperlink" Target="https://www.apvma.gov.au/chemicals-and-products/health-based-guidance-values/ADI/adi-dec-2023" TargetMode="External" Id="rId32" /><Relationship Type="http://schemas.openxmlformats.org/officeDocument/2006/relationships/hyperlink" Target="https://www.fda.gov/regulatory-information/search-fda-guidance-documents/cvm-gfi-207-vich-gl48-studies-evaluate-metabolism-and-residue-kinetics-veterinary-drugs-food" TargetMode="External" Id="rId37" /><Relationship Type="http://schemas.openxmlformats.org/officeDocument/2006/relationships/header" Target="header11.xml" Id="rId40" /><Relationship Type="http://schemas.openxmlformats.org/officeDocument/2006/relationships/hyperlink" Target="https://www.woah.org/app/uploads/2021/06/a-oie-list-antimicrobials-june2021.pdf" TargetMode="External" Id="rId45" /><Relationship Type="http://schemas.openxmlformats.org/officeDocument/2006/relationships/header" Target="header16.xml" Id="rId53" /><Relationship Type="http://schemas.openxmlformats.org/officeDocument/2006/relationships/hyperlink" Target="https://www.amr.gov.au/resources/importance-ratings-and-summary-antibacterial-uses-human-and-animal-health-australia" TargetMode="External" Id="rId58" /><Relationship Type="http://schemas.openxmlformats.org/officeDocument/2006/relationships/hyperlink" Target="https://inchem.org/documents/jecfa/jecmono/v51je02.htm" TargetMode="External" Id="rId66" /><Relationship Type="http://schemas.openxmlformats.org/officeDocument/2006/relationships/settings" Target="settings.xml" Id="rId5" /><Relationship Type="http://schemas.openxmlformats.org/officeDocument/2006/relationships/hyperlink" Target="https://www.agriculture.gov.au/agriculture-land/animal/health/laboratories/procedures/anzsdp/antimicrobial-susceptibility-testing" TargetMode="External" Id="rId61"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eader" Target="header3.xml" Id="rId22" /><Relationship Type="http://schemas.openxmlformats.org/officeDocument/2006/relationships/header" Target="header6.xml" Id="rId27" /><Relationship Type="http://schemas.openxmlformats.org/officeDocument/2006/relationships/header" Target="header7.xml" Id="rId30" /><Relationship Type="http://schemas.openxmlformats.org/officeDocument/2006/relationships/hyperlink" Target="https://www.legislation.gov.au/Series/F2023L01350" TargetMode="External" Id="rId35" /><Relationship Type="http://schemas.openxmlformats.org/officeDocument/2006/relationships/header" Target="header13.xml" Id="rId43" /><Relationship Type="http://schemas.openxmlformats.org/officeDocument/2006/relationships/hyperlink" Target="https://www.amr.gov.au/resources/importance-ratings-and-summary-antibacterial-uses-human-and-animal-health-australia" TargetMode="External" Id="rId48" /><Relationship Type="http://schemas.openxmlformats.org/officeDocument/2006/relationships/hyperlink" Target="https://www.apvma.gov.au/chemicals-and-products/health-based-guidance-values/ADI" TargetMode="External" Id="rId56" /><Relationship Type="http://schemas.openxmlformats.org/officeDocument/2006/relationships/hyperlink" Target="https://www.msdvetmanual.com/pharmacology/antibacterial-agents/aminoglycosides-use-in-animals" TargetMode="External" Id="rId64" /><Relationship Type="http://schemas.openxmlformats.org/officeDocument/2006/relationships/header" Target="header20.xml" Id="rId69" /><Relationship Type="http://schemas.openxmlformats.org/officeDocument/2006/relationships/endnotes" Target="endnotes.xml" Id="rId8" /><Relationship Type="http://schemas.openxmlformats.org/officeDocument/2006/relationships/image" Target="media/image6.png" Id="rId51"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s://apvma.gov.au/taxonomy/term/18561" TargetMode="External" Id="rId25" /><Relationship Type="http://schemas.openxmlformats.org/officeDocument/2006/relationships/header" Target="header9.xml" Id="rId33" /><Relationship Type="http://schemas.openxmlformats.org/officeDocument/2006/relationships/hyperlink" Target="https://www.apvma.gov.au/registrations-and-permits/data-requirements/agricultural-data-guidelines/overseas-trade-part-5b" TargetMode="External" Id="rId38" /><Relationship Type="http://schemas.openxmlformats.org/officeDocument/2006/relationships/hyperlink" Target="https://www.amr.gov.au/australias-response/objective-1-clear-governance-antimicrobial-resistance-initiatives/australian-strategic-and-technical-advisory-group-amr-astag" TargetMode="External" Id="rId46" /><Relationship Type="http://schemas.openxmlformats.org/officeDocument/2006/relationships/hyperlink" Target="https://www.ava.com.au/siteassets/resources/fighting-antimicrobial-resistance/veterinary-use-of-antibiotics-critical-to-human-health.pdf" TargetMode="External" Id="rId59" /><Relationship Type="http://schemas.openxmlformats.org/officeDocument/2006/relationships/hyperlink" Target="https://www.who.int/publications/i/item/9789241515528" TargetMode="External" Id="rId67" /><Relationship Type="http://schemas.openxmlformats.org/officeDocument/2006/relationships/footer" Target="footer1.xml" Id="rId20" /><Relationship Type="http://schemas.openxmlformats.org/officeDocument/2006/relationships/hyperlink" Target="https://www.apvma.gov.au/node/26381" TargetMode="External" Id="rId41" /><Relationship Type="http://schemas.openxmlformats.org/officeDocument/2006/relationships/header" Target="header17.xml" Id="rId54" /><Relationship Type="http://schemas.openxmlformats.org/officeDocument/2006/relationships/hyperlink" Target="https://www.agriculture.gov.au/agriculture-land/farm-food-drought/ag-vet-chemicals/domestic-policy/history-of-coag-reforms/regulatory-model" TargetMode="External" Id="rId62" /><Relationship Type="http://schemas.openxmlformats.org/officeDocument/2006/relationships/fontTable" Target="fontTable.xml" Id="rId70"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eader" Target="header4.xml" Id="rId23" /><Relationship Type="http://schemas.openxmlformats.org/officeDocument/2006/relationships/footer" Target="footer2.xml" Id="rId28" /><Relationship Type="http://schemas.openxmlformats.org/officeDocument/2006/relationships/hyperlink" Target="https://apvma.gov.au/node/746" TargetMode="External" Id="rId36" /><Relationship Type="http://schemas.openxmlformats.org/officeDocument/2006/relationships/hyperlink" Target="https://www.amr.gov.au/resources/australias-national-antimicrobial-resistance-strategy-2020-and-beyond" TargetMode="External" Id="rId49" /><Relationship Type="http://schemas.openxmlformats.org/officeDocument/2006/relationships/hyperlink" Target="https://www.apvma.gov.au/registrations-and-permits/apvma-labelling-codes/VLC" TargetMode="External" Id="rId57" /><Relationship Type="http://schemas.openxmlformats.org/officeDocument/2006/relationships/image" Target="media/image2.png" Id="rId10" /><Relationship Type="http://schemas.openxmlformats.org/officeDocument/2006/relationships/header" Target="header8.xml" Id="rId31" /><Relationship Type="http://schemas.openxmlformats.org/officeDocument/2006/relationships/hyperlink" Target="https://www.who.int/publications/i/item/9789241515528" TargetMode="External" Id="rId44" /><Relationship Type="http://schemas.openxmlformats.org/officeDocument/2006/relationships/header" Target="header15.xml" Id="rId52" /><Relationship Type="http://schemas.openxmlformats.org/officeDocument/2006/relationships/hyperlink" Target="https://www.ava.com.au/siteassets/resources/prescribing-guidelines/guidelines-for-prescribing-authorising-and-dispensing-veterinary-medicines-october-2023.pdf" TargetMode="External" Id="rId60" /><Relationship Type="http://schemas.openxmlformats.org/officeDocument/2006/relationships/hyperlink" Target="https://www.woah.org/app/uploads/2021/06/a-oie-list-antimicrobials-june2021.pdf" TargetMode="External" Id="rId6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https://www.apvma.gov.au/chemicals-and-products/health-based-guidance-values/ADI" TargetMode="External" Id="rId39" /><Relationship Type="http://schemas.openxmlformats.org/officeDocument/2006/relationships/header" Target="header10.xml" Id="rId34" /><Relationship Type="http://schemas.openxmlformats.org/officeDocument/2006/relationships/header" Target="header14.xml" Id="rId50" /><Relationship Type="http://schemas.openxmlformats.org/officeDocument/2006/relationships/header" Target="header18.xml" Id="rId55" /><Relationship Type="http://schemas.openxmlformats.org/officeDocument/2006/relationships/customXml" Target="/customXML/item3.xml" Id="R544615886fb24e5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02010R0037-20201207" TargetMode="External"/><Relationship Id="rId2" Type="http://schemas.openxmlformats.org/officeDocument/2006/relationships/hyperlink" Target="https://www.ecfr.gov/current/title-21/chapter-I/subchapter-E/part-556/subpart-B" TargetMode="External"/><Relationship Id="rId1" Type="http://schemas.openxmlformats.org/officeDocument/2006/relationships/hyperlink" Target="https://www.fao.org/fao-who-codexalimentarius/codex-texts/dbs/en/" TargetMode="External"/><Relationship Id="rId5" Type="http://schemas.openxmlformats.org/officeDocument/2006/relationships/hyperlink" Target="https://residue.foodsafetykorea.go.kr/vd/mrl" TargetMode="External"/><Relationship Id="rId4" Type="http://schemas.openxmlformats.org/officeDocument/2006/relationships/hyperlink" Target="https://db.ffcr.or.jp/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A1786882</value>
    </field>
    <field name="Objective-Title">
      <value order="0">2024 - Neomycin - RTR</value>
    </field>
    <field name="Objective-Description">
      <value order="0">RTR Template  2020 - Neomycin</value>
    </field>
    <field name="Objective-CreationStamp">
      <value order="0">2020-05-13T02:56:55Z</value>
    </field>
    <field name="Objective-IsApproved">
      <value order="0">false</value>
    </field>
    <field name="Objective-IsPublished">
      <value order="0">false</value>
    </field>
    <field name="Objective-DatePublished">
      <value order="0"/>
    </field>
    <field name="Objective-ModificationStamp">
      <value order="0">2024-02-20T06:05:05Z</value>
    </field>
    <field name="Objective-Owner">
      <value order="0">Sally Connah</value>
    </field>
    <field name="Objective-Path">
      <value order="0">APVMA:SCIENTIFIC ASSESSMENT:Scientific Assessment - Chemical Review:Scientific Assessment - Chemical Review - Products and Actives:Scientific Assessment - Chemical Review - Products and Actives - N:Chemical Review - Neomycin:05-Assessment</value>
    </field>
    <field name="Objective-Parent">
      <value order="0">05-Assessment</value>
    </field>
    <field name="Objective-State">
      <value order="0">Being Drafted</value>
    </field>
    <field name="Objective-VersionId">
      <value order="0">vA4788074</value>
    </field>
    <field name="Objective-Version">
      <value order="0">0.169</value>
    </field>
    <field name="Objective-VersionNumber">
      <value order="0">169</value>
    </field>
    <field name="Objective-VersionComment">
      <value order="0"/>
    </field>
    <field name="Objective-FileNumber">
      <value order="0">2014\2565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2255</TotalTime>
  <Pages>58</Pages>
  <Words>19110</Words>
  <Characters>108931</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Neomycin proposed regulatory decision – Review Technical Report</vt:lpstr>
    </vt:vector>
  </TitlesOfParts>
  <Manager/>
  <Company>Australian Pesticides and Veterinary Medicines Authority</Company>
  <LinksUpToDate>false</LinksUpToDate>
  <CharactersWithSpaces>127786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Neomycin proposed regulatory decision – Review Technical Report</dc:title>
  <dc:subject/>
  <dc:creator>APVMA</dc:creator>
  <cp:keywords/>
  <dc:description/>
  <cp:lastModifiedBy>GRIFFIN, Jordanna</cp:lastModifiedBy>
  <cp:revision>99</cp:revision>
  <cp:lastPrinted>2024-02-20T05:44:00Z</cp:lastPrinted>
  <dcterms:created xsi:type="dcterms:W3CDTF">2024-01-22T04:43:00Z</dcterms:created>
  <dcterms:modified xsi:type="dcterms:W3CDTF">2024-02-20T05:59:00Z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A1786882</vt:lpwstr>
  </property>
  <property fmtid="{D5CDD505-2E9C-101B-9397-08002B2CF9AE}" pid="4" name="Objective-Title">
    <vt:lpwstr>2024 - Neomycin - RTR</vt:lpwstr>
  </property>
  <property fmtid="{D5CDD505-2E9C-101B-9397-08002B2CF9AE}" pid="5" name="Objective-Comment">
    <vt:lpwstr>RTR Template  2020 - Neomycin</vt:lpwstr>
  </property>
  <property fmtid="{D5CDD505-2E9C-101B-9397-08002B2CF9AE}" pid="6" name="Objective-CreationStamp">
    <vt:filetime>2020-05-13T02:57:04Z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2024-02-20T06:05:05Z</vt:filetime>
  </property>
  <property fmtid="{D5CDD505-2E9C-101B-9397-08002B2CF9AE}" pid="11" name="Objective-Owner">
    <vt:lpwstr>Sally Connah</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N:Chemical Review - Neomycin:05-Assessment:</vt:lpwstr>
  </property>
  <property fmtid="{D5CDD505-2E9C-101B-9397-08002B2CF9AE}" pid="13" name="Objective-Parent">
    <vt:lpwstr>05-Assessment</vt:lpwstr>
  </property>
  <property fmtid="{D5CDD505-2E9C-101B-9397-08002B2CF9AE}" pid="14" name="Objective-State">
    <vt:lpwstr>Being Drafted</vt:lpwstr>
  </property>
  <property fmtid="{D5CDD505-2E9C-101B-9397-08002B2CF9AE}" pid="15" name="Objective-Version">
    <vt:lpwstr>0.169</vt:lpwstr>
  </property>
  <property fmtid="{D5CDD505-2E9C-101B-9397-08002B2CF9AE}" pid="16" name="Objective-VersionNumber">
    <vt:r8>169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RTR Template  2020 - Neomycin</vt:lpwstr>
  </property>
  <property fmtid="{D5CDD505-2E9C-101B-9397-08002B2CF9AE}" pid="22" name="Objective-VersionId">
    <vt:lpwstr>vA4788074</vt:lpwstr>
  </property>
  <property fmtid="{D5CDD505-2E9C-101B-9397-08002B2CF9AE}" pid="23" name="Objective-Connect Creator">
    <vt:lpwstr/>
  </property>
</Properties>
</file>