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22D31F25">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32B8CBFE" w:rsidR="003C0891" w:rsidRDefault="006D36C8" w:rsidP="00193533">
      <w:pPr>
        <w:pStyle w:val="APVMACoverSubtitle"/>
        <w:jc w:val="center"/>
      </w:pPr>
      <w:r>
        <w:t xml:space="preserve">on </w:t>
      </w:r>
      <w:r w:rsidR="000301C9">
        <w:t>gamma-cyhalothrin</w:t>
      </w:r>
      <w:r>
        <w:t xml:space="preserve"> in the product</w:t>
      </w:r>
      <w:r w:rsidR="008E7BF1">
        <w:br/>
      </w:r>
      <w:r w:rsidR="000301C9">
        <w:t>Trojan Insecticide</w:t>
      </w:r>
      <w:r>
        <w:t xml:space="preserve"> for use on</w:t>
      </w:r>
      <w:r w:rsidR="000301C9">
        <w:t xml:space="preserve"> oats, rye and triticale</w:t>
      </w:r>
    </w:p>
    <w:p w14:paraId="7FB897BF" w14:textId="052B35D6" w:rsidR="006D36C8" w:rsidRDefault="006D36C8" w:rsidP="00193533">
      <w:pPr>
        <w:pStyle w:val="APVMACoverSubtitle"/>
        <w:jc w:val="center"/>
      </w:pPr>
      <w:r>
        <w:t xml:space="preserve">APVMA product number </w:t>
      </w:r>
      <w:r w:rsidR="000301C9">
        <w:t>63180</w:t>
      </w:r>
    </w:p>
    <w:p w14:paraId="5C6E8565" w14:textId="0F5F7BB3" w:rsidR="00193533" w:rsidRPr="00E41FED" w:rsidRDefault="007A4C72"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January</w:t>
      </w:r>
      <w:r w:rsidR="000301C9">
        <w:t xml:space="preserve"> 202</w:t>
      </w:r>
      <w:r>
        <w:t>4</w:t>
      </w:r>
    </w:p>
    <w:p w14:paraId="170061D7" w14:textId="77F5F570" w:rsidR="00862E63" w:rsidRPr="005C0ACC" w:rsidRDefault="00862E63" w:rsidP="00021A6A">
      <w:pPr>
        <w:pStyle w:val="Copyrightpage"/>
      </w:pPr>
      <w:r w:rsidRPr="005C0ACC">
        <w:lastRenderedPageBreak/>
        <w:t xml:space="preserve">© Australian Pesticides and Veterinary Medicines Authority </w:t>
      </w:r>
      <w:r w:rsidR="000301C9" w:rsidRPr="000301C9">
        <w:t>202</w:t>
      </w:r>
      <w:r w:rsidR="00295D71">
        <w:t>4</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In referencing this document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77777777"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views of the APVMA, or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70443339" w14:textId="7794AC8E" w:rsidR="00525012"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56287449" w:history="1">
        <w:r w:rsidR="00525012" w:rsidRPr="008E0FA8">
          <w:rPr>
            <w:rStyle w:val="Hyperlink"/>
          </w:rPr>
          <w:t>Preface</w:t>
        </w:r>
        <w:r w:rsidR="00525012">
          <w:rPr>
            <w:webHidden/>
          </w:rPr>
          <w:tab/>
        </w:r>
        <w:r w:rsidR="00525012">
          <w:rPr>
            <w:webHidden/>
          </w:rPr>
          <w:fldChar w:fldCharType="begin"/>
        </w:r>
        <w:r w:rsidR="00525012">
          <w:rPr>
            <w:webHidden/>
          </w:rPr>
          <w:instrText xml:space="preserve"> PAGEREF _Toc156287449 \h </w:instrText>
        </w:r>
        <w:r w:rsidR="00525012">
          <w:rPr>
            <w:webHidden/>
          </w:rPr>
        </w:r>
        <w:r w:rsidR="00525012">
          <w:rPr>
            <w:webHidden/>
          </w:rPr>
          <w:fldChar w:fldCharType="separate"/>
        </w:r>
        <w:r w:rsidR="00243457">
          <w:rPr>
            <w:webHidden/>
          </w:rPr>
          <w:t>1</w:t>
        </w:r>
        <w:r w:rsidR="00525012">
          <w:rPr>
            <w:webHidden/>
          </w:rPr>
          <w:fldChar w:fldCharType="end"/>
        </w:r>
      </w:hyperlink>
    </w:p>
    <w:p w14:paraId="036E0C85" w14:textId="0C4A04DF" w:rsidR="00525012"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6287450" w:history="1">
        <w:r w:rsidR="00525012" w:rsidRPr="008E0FA8">
          <w:rPr>
            <w:rStyle w:val="Hyperlink"/>
          </w:rPr>
          <w:t>About this document</w:t>
        </w:r>
        <w:r w:rsidR="00525012">
          <w:rPr>
            <w:webHidden/>
          </w:rPr>
          <w:tab/>
        </w:r>
        <w:r w:rsidR="00525012">
          <w:rPr>
            <w:webHidden/>
          </w:rPr>
          <w:fldChar w:fldCharType="begin"/>
        </w:r>
        <w:r w:rsidR="00525012">
          <w:rPr>
            <w:webHidden/>
          </w:rPr>
          <w:instrText xml:space="preserve"> PAGEREF _Toc156287450 \h </w:instrText>
        </w:r>
        <w:r w:rsidR="00525012">
          <w:rPr>
            <w:webHidden/>
          </w:rPr>
        </w:r>
        <w:r w:rsidR="00525012">
          <w:rPr>
            <w:webHidden/>
          </w:rPr>
          <w:fldChar w:fldCharType="separate"/>
        </w:r>
        <w:r w:rsidR="00243457">
          <w:rPr>
            <w:webHidden/>
          </w:rPr>
          <w:t>1</w:t>
        </w:r>
        <w:r w:rsidR="00525012">
          <w:rPr>
            <w:webHidden/>
          </w:rPr>
          <w:fldChar w:fldCharType="end"/>
        </w:r>
      </w:hyperlink>
    </w:p>
    <w:p w14:paraId="2FE2F2B4" w14:textId="1AC472D1" w:rsidR="00525012"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6287451" w:history="1">
        <w:r w:rsidR="00525012" w:rsidRPr="008E0FA8">
          <w:rPr>
            <w:rStyle w:val="Hyperlink"/>
          </w:rPr>
          <w:t>Making a submission</w:t>
        </w:r>
        <w:r w:rsidR="00525012">
          <w:rPr>
            <w:webHidden/>
          </w:rPr>
          <w:tab/>
        </w:r>
        <w:r w:rsidR="00525012">
          <w:rPr>
            <w:webHidden/>
          </w:rPr>
          <w:fldChar w:fldCharType="begin"/>
        </w:r>
        <w:r w:rsidR="00525012">
          <w:rPr>
            <w:webHidden/>
          </w:rPr>
          <w:instrText xml:space="preserve"> PAGEREF _Toc156287451 \h </w:instrText>
        </w:r>
        <w:r w:rsidR="00525012">
          <w:rPr>
            <w:webHidden/>
          </w:rPr>
        </w:r>
        <w:r w:rsidR="00525012">
          <w:rPr>
            <w:webHidden/>
          </w:rPr>
          <w:fldChar w:fldCharType="separate"/>
        </w:r>
        <w:r w:rsidR="00243457">
          <w:rPr>
            <w:webHidden/>
          </w:rPr>
          <w:t>1</w:t>
        </w:r>
        <w:r w:rsidR="00525012">
          <w:rPr>
            <w:webHidden/>
          </w:rPr>
          <w:fldChar w:fldCharType="end"/>
        </w:r>
      </w:hyperlink>
    </w:p>
    <w:p w14:paraId="3085B98F" w14:textId="1FCC16BC" w:rsidR="00525012"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6287452" w:history="1">
        <w:r w:rsidR="00525012" w:rsidRPr="008E0FA8">
          <w:rPr>
            <w:rStyle w:val="Hyperlink"/>
          </w:rPr>
          <w:t>Further information</w:t>
        </w:r>
        <w:r w:rsidR="00525012">
          <w:rPr>
            <w:webHidden/>
          </w:rPr>
          <w:tab/>
        </w:r>
        <w:r w:rsidR="00525012">
          <w:rPr>
            <w:webHidden/>
          </w:rPr>
          <w:fldChar w:fldCharType="begin"/>
        </w:r>
        <w:r w:rsidR="00525012">
          <w:rPr>
            <w:webHidden/>
          </w:rPr>
          <w:instrText xml:space="preserve"> PAGEREF _Toc156287452 \h </w:instrText>
        </w:r>
        <w:r w:rsidR="00525012">
          <w:rPr>
            <w:webHidden/>
          </w:rPr>
        </w:r>
        <w:r w:rsidR="00525012">
          <w:rPr>
            <w:webHidden/>
          </w:rPr>
          <w:fldChar w:fldCharType="separate"/>
        </w:r>
        <w:r w:rsidR="00243457">
          <w:rPr>
            <w:webHidden/>
          </w:rPr>
          <w:t>2</w:t>
        </w:r>
        <w:r w:rsidR="00525012">
          <w:rPr>
            <w:webHidden/>
          </w:rPr>
          <w:fldChar w:fldCharType="end"/>
        </w:r>
      </w:hyperlink>
    </w:p>
    <w:p w14:paraId="152C7872" w14:textId="1B13DE83" w:rsidR="00525012"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87453" w:history="1">
        <w:r w:rsidR="00525012" w:rsidRPr="008E0FA8">
          <w:rPr>
            <w:rStyle w:val="Hyperlink"/>
          </w:rPr>
          <w:t>Introduction</w:t>
        </w:r>
        <w:r w:rsidR="00525012">
          <w:rPr>
            <w:webHidden/>
          </w:rPr>
          <w:tab/>
        </w:r>
        <w:r w:rsidR="00525012">
          <w:rPr>
            <w:webHidden/>
          </w:rPr>
          <w:fldChar w:fldCharType="begin"/>
        </w:r>
        <w:r w:rsidR="00525012">
          <w:rPr>
            <w:webHidden/>
          </w:rPr>
          <w:instrText xml:space="preserve"> PAGEREF _Toc156287453 \h </w:instrText>
        </w:r>
        <w:r w:rsidR="00525012">
          <w:rPr>
            <w:webHidden/>
          </w:rPr>
        </w:r>
        <w:r w:rsidR="00525012">
          <w:rPr>
            <w:webHidden/>
          </w:rPr>
          <w:fldChar w:fldCharType="separate"/>
        </w:r>
        <w:r w:rsidR="00243457">
          <w:rPr>
            <w:webHidden/>
          </w:rPr>
          <w:t>3</w:t>
        </w:r>
        <w:r w:rsidR="00525012">
          <w:rPr>
            <w:webHidden/>
          </w:rPr>
          <w:fldChar w:fldCharType="end"/>
        </w:r>
      </w:hyperlink>
    </w:p>
    <w:p w14:paraId="66156A8E" w14:textId="55DF5F53" w:rsidR="00525012"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87454" w:history="1">
        <w:r w:rsidR="00525012" w:rsidRPr="008E0FA8">
          <w:rPr>
            <w:rStyle w:val="Hyperlink"/>
          </w:rPr>
          <w:t>Trade considerations</w:t>
        </w:r>
        <w:r w:rsidR="00525012">
          <w:rPr>
            <w:webHidden/>
          </w:rPr>
          <w:tab/>
        </w:r>
        <w:r w:rsidR="00525012">
          <w:rPr>
            <w:webHidden/>
          </w:rPr>
          <w:fldChar w:fldCharType="begin"/>
        </w:r>
        <w:r w:rsidR="00525012">
          <w:rPr>
            <w:webHidden/>
          </w:rPr>
          <w:instrText xml:space="preserve"> PAGEREF _Toc156287454 \h </w:instrText>
        </w:r>
        <w:r w:rsidR="00525012">
          <w:rPr>
            <w:webHidden/>
          </w:rPr>
        </w:r>
        <w:r w:rsidR="00525012">
          <w:rPr>
            <w:webHidden/>
          </w:rPr>
          <w:fldChar w:fldCharType="separate"/>
        </w:r>
        <w:r w:rsidR="00243457">
          <w:rPr>
            <w:webHidden/>
          </w:rPr>
          <w:t>4</w:t>
        </w:r>
        <w:r w:rsidR="00525012">
          <w:rPr>
            <w:webHidden/>
          </w:rPr>
          <w:fldChar w:fldCharType="end"/>
        </w:r>
      </w:hyperlink>
    </w:p>
    <w:p w14:paraId="5EA5ABD1" w14:textId="6BBFB24E" w:rsidR="00525012"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6287455" w:history="1">
        <w:r w:rsidR="00525012" w:rsidRPr="008E0FA8">
          <w:rPr>
            <w:rStyle w:val="Hyperlink"/>
          </w:rPr>
          <w:t>Commodities exported</w:t>
        </w:r>
        <w:r w:rsidR="00525012">
          <w:rPr>
            <w:webHidden/>
          </w:rPr>
          <w:tab/>
        </w:r>
        <w:r w:rsidR="00525012">
          <w:rPr>
            <w:webHidden/>
          </w:rPr>
          <w:fldChar w:fldCharType="begin"/>
        </w:r>
        <w:r w:rsidR="00525012">
          <w:rPr>
            <w:webHidden/>
          </w:rPr>
          <w:instrText xml:space="preserve"> PAGEREF _Toc156287455 \h </w:instrText>
        </w:r>
        <w:r w:rsidR="00525012">
          <w:rPr>
            <w:webHidden/>
          </w:rPr>
        </w:r>
        <w:r w:rsidR="00525012">
          <w:rPr>
            <w:webHidden/>
          </w:rPr>
          <w:fldChar w:fldCharType="separate"/>
        </w:r>
        <w:r w:rsidR="00243457">
          <w:rPr>
            <w:webHidden/>
          </w:rPr>
          <w:t>4</w:t>
        </w:r>
        <w:r w:rsidR="00525012">
          <w:rPr>
            <w:webHidden/>
          </w:rPr>
          <w:fldChar w:fldCharType="end"/>
        </w:r>
      </w:hyperlink>
    </w:p>
    <w:p w14:paraId="14BD4FCA" w14:textId="073DDEE4" w:rsidR="00525012"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6287456" w:history="1">
        <w:r w:rsidR="00525012" w:rsidRPr="008E0FA8">
          <w:rPr>
            <w:rStyle w:val="Hyperlink"/>
          </w:rPr>
          <w:t>Destination and value of exports</w:t>
        </w:r>
        <w:r w:rsidR="00525012">
          <w:rPr>
            <w:webHidden/>
          </w:rPr>
          <w:tab/>
        </w:r>
        <w:r w:rsidR="00525012">
          <w:rPr>
            <w:webHidden/>
          </w:rPr>
          <w:fldChar w:fldCharType="begin"/>
        </w:r>
        <w:r w:rsidR="00525012">
          <w:rPr>
            <w:webHidden/>
          </w:rPr>
          <w:instrText xml:space="preserve"> PAGEREF _Toc156287456 \h </w:instrText>
        </w:r>
        <w:r w:rsidR="00525012">
          <w:rPr>
            <w:webHidden/>
          </w:rPr>
        </w:r>
        <w:r w:rsidR="00525012">
          <w:rPr>
            <w:webHidden/>
          </w:rPr>
          <w:fldChar w:fldCharType="separate"/>
        </w:r>
        <w:r w:rsidR="00243457">
          <w:rPr>
            <w:webHidden/>
          </w:rPr>
          <w:t>4</w:t>
        </w:r>
        <w:r w:rsidR="00525012">
          <w:rPr>
            <w:webHidden/>
          </w:rPr>
          <w:fldChar w:fldCharType="end"/>
        </w:r>
      </w:hyperlink>
    </w:p>
    <w:p w14:paraId="3DAAAA36" w14:textId="6BFA339F" w:rsidR="00525012"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6287457" w:history="1">
        <w:r w:rsidR="00525012" w:rsidRPr="008E0FA8">
          <w:rPr>
            <w:rStyle w:val="Hyperlink"/>
          </w:rPr>
          <w:t>Proposed Australian use pattern</w:t>
        </w:r>
        <w:r w:rsidR="00525012">
          <w:rPr>
            <w:webHidden/>
          </w:rPr>
          <w:tab/>
        </w:r>
        <w:r w:rsidR="00525012">
          <w:rPr>
            <w:webHidden/>
          </w:rPr>
          <w:fldChar w:fldCharType="begin"/>
        </w:r>
        <w:r w:rsidR="00525012">
          <w:rPr>
            <w:webHidden/>
          </w:rPr>
          <w:instrText xml:space="preserve"> PAGEREF _Toc156287457 \h </w:instrText>
        </w:r>
        <w:r w:rsidR="00525012">
          <w:rPr>
            <w:webHidden/>
          </w:rPr>
        </w:r>
        <w:r w:rsidR="00525012">
          <w:rPr>
            <w:webHidden/>
          </w:rPr>
          <w:fldChar w:fldCharType="separate"/>
        </w:r>
        <w:r w:rsidR="00243457">
          <w:rPr>
            <w:webHidden/>
          </w:rPr>
          <w:t>5</w:t>
        </w:r>
        <w:r w:rsidR="00525012">
          <w:rPr>
            <w:webHidden/>
          </w:rPr>
          <w:fldChar w:fldCharType="end"/>
        </w:r>
      </w:hyperlink>
    </w:p>
    <w:p w14:paraId="5750AB70" w14:textId="78A1E2A2" w:rsidR="00525012" w:rsidRDefault="00000000">
      <w:pPr>
        <w:pStyle w:val="TOC3"/>
        <w:rPr>
          <w:rFonts w:asciiTheme="minorHAnsi" w:eastAsiaTheme="minorEastAsia" w:hAnsiTheme="minorHAnsi" w:cstheme="minorBidi"/>
          <w:kern w:val="2"/>
          <w:sz w:val="22"/>
          <w:szCs w:val="22"/>
          <w:lang w:eastAsia="en-AU"/>
          <w14:ligatures w14:val="standardContextual"/>
        </w:rPr>
      </w:pPr>
      <w:hyperlink w:anchor="_Toc156287458" w:history="1">
        <w:r w:rsidR="00525012" w:rsidRPr="008E0FA8">
          <w:rPr>
            <w:rStyle w:val="Hyperlink"/>
          </w:rPr>
          <w:t>Withholding periods</w:t>
        </w:r>
        <w:r w:rsidR="00525012">
          <w:rPr>
            <w:webHidden/>
          </w:rPr>
          <w:tab/>
        </w:r>
        <w:r w:rsidR="00525012">
          <w:rPr>
            <w:webHidden/>
          </w:rPr>
          <w:fldChar w:fldCharType="begin"/>
        </w:r>
        <w:r w:rsidR="00525012">
          <w:rPr>
            <w:webHidden/>
          </w:rPr>
          <w:instrText xml:space="preserve"> PAGEREF _Toc156287458 \h </w:instrText>
        </w:r>
        <w:r w:rsidR="00525012">
          <w:rPr>
            <w:webHidden/>
          </w:rPr>
        </w:r>
        <w:r w:rsidR="00525012">
          <w:rPr>
            <w:webHidden/>
          </w:rPr>
          <w:fldChar w:fldCharType="separate"/>
        </w:r>
        <w:r w:rsidR="00243457">
          <w:rPr>
            <w:webHidden/>
          </w:rPr>
          <w:t>6</w:t>
        </w:r>
        <w:r w:rsidR="00525012">
          <w:rPr>
            <w:webHidden/>
          </w:rPr>
          <w:fldChar w:fldCharType="end"/>
        </w:r>
      </w:hyperlink>
    </w:p>
    <w:p w14:paraId="4CCDCF03" w14:textId="578B79AE" w:rsidR="00525012"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6287459" w:history="1">
        <w:r w:rsidR="00525012" w:rsidRPr="008E0FA8">
          <w:rPr>
            <w:rStyle w:val="Hyperlink"/>
          </w:rPr>
          <w:t>Results from residues trials presented to the APVMA</w:t>
        </w:r>
        <w:r w:rsidR="00525012">
          <w:rPr>
            <w:webHidden/>
          </w:rPr>
          <w:tab/>
        </w:r>
        <w:r w:rsidR="00525012">
          <w:rPr>
            <w:webHidden/>
          </w:rPr>
          <w:fldChar w:fldCharType="begin"/>
        </w:r>
        <w:r w:rsidR="00525012">
          <w:rPr>
            <w:webHidden/>
          </w:rPr>
          <w:instrText xml:space="preserve"> PAGEREF _Toc156287459 \h </w:instrText>
        </w:r>
        <w:r w:rsidR="00525012">
          <w:rPr>
            <w:webHidden/>
          </w:rPr>
        </w:r>
        <w:r w:rsidR="00525012">
          <w:rPr>
            <w:webHidden/>
          </w:rPr>
          <w:fldChar w:fldCharType="separate"/>
        </w:r>
        <w:r w:rsidR="00243457">
          <w:rPr>
            <w:webHidden/>
          </w:rPr>
          <w:t>7</w:t>
        </w:r>
        <w:r w:rsidR="00525012">
          <w:rPr>
            <w:webHidden/>
          </w:rPr>
          <w:fldChar w:fldCharType="end"/>
        </w:r>
      </w:hyperlink>
    </w:p>
    <w:p w14:paraId="0E8B9271" w14:textId="3B321EA7" w:rsidR="00525012" w:rsidRDefault="00000000">
      <w:pPr>
        <w:pStyle w:val="TOC3"/>
        <w:rPr>
          <w:rFonts w:asciiTheme="minorHAnsi" w:eastAsiaTheme="minorEastAsia" w:hAnsiTheme="minorHAnsi" w:cstheme="minorBidi"/>
          <w:kern w:val="2"/>
          <w:sz w:val="22"/>
          <w:szCs w:val="22"/>
          <w:lang w:eastAsia="en-AU"/>
          <w14:ligatures w14:val="standardContextual"/>
        </w:rPr>
      </w:pPr>
      <w:hyperlink w:anchor="_Toc156287460" w:history="1">
        <w:r w:rsidR="00525012" w:rsidRPr="008E0FA8">
          <w:rPr>
            <w:rStyle w:val="Hyperlink"/>
          </w:rPr>
          <w:t>Oats forage and fodder</w:t>
        </w:r>
        <w:r w:rsidR="00525012">
          <w:rPr>
            <w:webHidden/>
          </w:rPr>
          <w:tab/>
        </w:r>
        <w:r w:rsidR="00525012">
          <w:rPr>
            <w:webHidden/>
          </w:rPr>
          <w:fldChar w:fldCharType="begin"/>
        </w:r>
        <w:r w:rsidR="00525012">
          <w:rPr>
            <w:webHidden/>
          </w:rPr>
          <w:instrText xml:space="preserve"> PAGEREF _Toc156287460 \h </w:instrText>
        </w:r>
        <w:r w:rsidR="00525012">
          <w:rPr>
            <w:webHidden/>
          </w:rPr>
        </w:r>
        <w:r w:rsidR="00525012">
          <w:rPr>
            <w:webHidden/>
          </w:rPr>
          <w:fldChar w:fldCharType="separate"/>
        </w:r>
        <w:r w:rsidR="00243457">
          <w:rPr>
            <w:webHidden/>
          </w:rPr>
          <w:t>7</w:t>
        </w:r>
        <w:r w:rsidR="00525012">
          <w:rPr>
            <w:webHidden/>
          </w:rPr>
          <w:fldChar w:fldCharType="end"/>
        </w:r>
      </w:hyperlink>
    </w:p>
    <w:p w14:paraId="1B7D9F31" w14:textId="74CD2D72" w:rsidR="00525012"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6287461" w:history="1">
        <w:r w:rsidR="00525012" w:rsidRPr="008E0FA8">
          <w:rPr>
            <w:rStyle w:val="Hyperlink"/>
          </w:rPr>
          <w:t>Codex Alimentarius Commission and overseas MRLs</w:t>
        </w:r>
        <w:r w:rsidR="00525012">
          <w:rPr>
            <w:webHidden/>
          </w:rPr>
          <w:tab/>
        </w:r>
        <w:r w:rsidR="00525012">
          <w:rPr>
            <w:webHidden/>
          </w:rPr>
          <w:fldChar w:fldCharType="begin"/>
        </w:r>
        <w:r w:rsidR="00525012">
          <w:rPr>
            <w:webHidden/>
          </w:rPr>
          <w:instrText xml:space="preserve"> PAGEREF _Toc156287461 \h </w:instrText>
        </w:r>
        <w:r w:rsidR="00525012">
          <w:rPr>
            <w:webHidden/>
          </w:rPr>
        </w:r>
        <w:r w:rsidR="00525012">
          <w:rPr>
            <w:webHidden/>
          </w:rPr>
          <w:fldChar w:fldCharType="separate"/>
        </w:r>
        <w:r w:rsidR="00243457">
          <w:rPr>
            <w:webHidden/>
          </w:rPr>
          <w:t>7</w:t>
        </w:r>
        <w:r w:rsidR="00525012">
          <w:rPr>
            <w:webHidden/>
          </w:rPr>
          <w:fldChar w:fldCharType="end"/>
        </w:r>
      </w:hyperlink>
    </w:p>
    <w:p w14:paraId="3D50DFBC" w14:textId="2D73414E" w:rsidR="00525012"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6287462" w:history="1">
        <w:r w:rsidR="00525012" w:rsidRPr="008E0FA8">
          <w:rPr>
            <w:rStyle w:val="Hyperlink"/>
          </w:rPr>
          <w:t>Current Australian MRLs for cyhalothrin</w:t>
        </w:r>
        <w:r w:rsidR="00525012">
          <w:rPr>
            <w:webHidden/>
          </w:rPr>
          <w:tab/>
        </w:r>
        <w:r w:rsidR="00525012">
          <w:rPr>
            <w:webHidden/>
          </w:rPr>
          <w:fldChar w:fldCharType="begin"/>
        </w:r>
        <w:r w:rsidR="00525012">
          <w:rPr>
            <w:webHidden/>
          </w:rPr>
          <w:instrText xml:space="preserve"> PAGEREF _Toc156287462 \h </w:instrText>
        </w:r>
        <w:r w:rsidR="00525012">
          <w:rPr>
            <w:webHidden/>
          </w:rPr>
        </w:r>
        <w:r w:rsidR="00525012">
          <w:rPr>
            <w:webHidden/>
          </w:rPr>
          <w:fldChar w:fldCharType="separate"/>
        </w:r>
        <w:r w:rsidR="00243457">
          <w:rPr>
            <w:webHidden/>
          </w:rPr>
          <w:t>9</w:t>
        </w:r>
        <w:r w:rsidR="00525012">
          <w:rPr>
            <w:webHidden/>
          </w:rPr>
          <w:fldChar w:fldCharType="end"/>
        </w:r>
      </w:hyperlink>
    </w:p>
    <w:p w14:paraId="62A40D55" w14:textId="58C1AB63" w:rsidR="00525012"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6287463" w:history="1">
        <w:r w:rsidR="00525012" w:rsidRPr="008E0FA8">
          <w:rPr>
            <w:rStyle w:val="Hyperlink"/>
          </w:rPr>
          <w:t>Potential risk to trade</w:t>
        </w:r>
        <w:r w:rsidR="00525012">
          <w:rPr>
            <w:webHidden/>
          </w:rPr>
          <w:tab/>
        </w:r>
        <w:r w:rsidR="00525012">
          <w:rPr>
            <w:webHidden/>
          </w:rPr>
          <w:fldChar w:fldCharType="begin"/>
        </w:r>
        <w:r w:rsidR="00525012">
          <w:rPr>
            <w:webHidden/>
          </w:rPr>
          <w:instrText xml:space="preserve"> PAGEREF _Toc156287463 \h </w:instrText>
        </w:r>
        <w:r w:rsidR="00525012">
          <w:rPr>
            <w:webHidden/>
          </w:rPr>
        </w:r>
        <w:r w:rsidR="00525012">
          <w:rPr>
            <w:webHidden/>
          </w:rPr>
          <w:fldChar w:fldCharType="separate"/>
        </w:r>
        <w:r w:rsidR="00243457">
          <w:rPr>
            <w:webHidden/>
          </w:rPr>
          <w:t>9</w:t>
        </w:r>
        <w:r w:rsidR="00525012">
          <w:rPr>
            <w:webHidden/>
          </w:rPr>
          <w:fldChar w:fldCharType="end"/>
        </w:r>
      </w:hyperlink>
    </w:p>
    <w:p w14:paraId="4AA04E25" w14:textId="5173FBA5" w:rsidR="00525012"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6287464" w:history="1">
        <w:r w:rsidR="00525012" w:rsidRPr="008E0FA8">
          <w:rPr>
            <w:rStyle w:val="Hyperlink"/>
          </w:rPr>
          <w:t>Conclusion</w:t>
        </w:r>
        <w:r w:rsidR="00525012">
          <w:rPr>
            <w:webHidden/>
          </w:rPr>
          <w:tab/>
        </w:r>
        <w:r w:rsidR="00525012">
          <w:rPr>
            <w:webHidden/>
          </w:rPr>
          <w:fldChar w:fldCharType="begin"/>
        </w:r>
        <w:r w:rsidR="00525012">
          <w:rPr>
            <w:webHidden/>
          </w:rPr>
          <w:instrText xml:space="preserve"> PAGEREF _Toc156287464 \h </w:instrText>
        </w:r>
        <w:r w:rsidR="00525012">
          <w:rPr>
            <w:webHidden/>
          </w:rPr>
        </w:r>
        <w:r w:rsidR="00525012">
          <w:rPr>
            <w:webHidden/>
          </w:rPr>
          <w:fldChar w:fldCharType="separate"/>
        </w:r>
        <w:r w:rsidR="00243457">
          <w:rPr>
            <w:webHidden/>
          </w:rPr>
          <w:t>10</w:t>
        </w:r>
        <w:r w:rsidR="00525012">
          <w:rPr>
            <w:webHidden/>
          </w:rPr>
          <w:fldChar w:fldCharType="end"/>
        </w:r>
      </w:hyperlink>
    </w:p>
    <w:p w14:paraId="35B04353" w14:textId="77777777" w:rsidR="00525012"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4613A004" w14:textId="3CDBA756" w:rsidR="00525012"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6287465" w:history="1">
        <w:r w:rsidR="00525012" w:rsidRPr="00CE7CD2">
          <w:rPr>
            <w:rStyle w:val="Hyperlink"/>
          </w:rPr>
          <w:t>Table 1:</w:t>
        </w:r>
        <w:r w:rsidR="00525012">
          <w:rPr>
            <w:rFonts w:asciiTheme="minorHAnsi" w:eastAsiaTheme="minorEastAsia" w:hAnsiTheme="minorHAnsi" w:cstheme="minorBidi"/>
            <w:kern w:val="2"/>
            <w:sz w:val="22"/>
            <w:szCs w:val="22"/>
            <w:lang w:eastAsia="en-AU"/>
            <w14:ligatures w14:val="standardContextual"/>
          </w:rPr>
          <w:tab/>
        </w:r>
        <w:r w:rsidR="00525012" w:rsidRPr="00CE7CD2">
          <w:rPr>
            <w:rStyle w:val="Hyperlink"/>
          </w:rPr>
          <w:t>Key export markets for Australian fodder crops (including oaten hay)</w:t>
        </w:r>
        <w:r w:rsidR="00525012">
          <w:rPr>
            <w:webHidden/>
          </w:rPr>
          <w:tab/>
        </w:r>
        <w:r w:rsidR="00525012">
          <w:rPr>
            <w:webHidden/>
          </w:rPr>
          <w:fldChar w:fldCharType="begin"/>
        </w:r>
        <w:r w:rsidR="00525012">
          <w:rPr>
            <w:webHidden/>
          </w:rPr>
          <w:instrText xml:space="preserve"> PAGEREF _Toc156287465 \h </w:instrText>
        </w:r>
        <w:r w:rsidR="00525012">
          <w:rPr>
            <w:webHidden/>
          </w:rPr>
        </w:r>
        <w:r w:rsidR="00525012">
          <w:rPr>
            <w:webHidden/>
          </w:rPr>
          <w:fldChar w:fldCharType="separate"/>
        </w:r>
        <w:r w:rsidR="00243457">
          <w:rPr>
            <w:webHidden/>
          </w:rPr>
          <w:t>4</w:t>
        </w:r>
        <w:r w:rsidR="00525012">
          <w:rPr>
            <w:webHidden/>
          </w:rPr>
          <w:fldChar w:fldCharType="end"/>
        </w:r>
      </w:hyperlink>
    </w:p>
    <w:p w14:paraId="79EEA3A0" w14:textId="52FC0AFF" w:rsidR="00525012"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6287466" w:history="1">
        <w:r w:rsidR="00525012" w:rsidRPr="00CE7CD2">
          <w:rPr>
            <w:rStyle w:val="Hyperlink"/>
          </w:rPr>
          <w:t>Table 2:</w:t>
        </w:r>
        <w:r w:rsidR="00525012">
          <w:rPr>
            <w:rFonts w:asciiTheme="minorHAnsi" w:eastAsiaTheme="minorEastAsia" w:hAnsiTheme="minorHAnsi" w:cstheme="minorBidi"/>
            <w:kern w:val="2"/>
            <w:sz w:val="22"/>
            <w:szCs w:val="22"/>
            <w:lang w:eastAsia="en-AU"/>
            <w14:ligatures w14:val="standardContextual"/>
          </w:rPr>
          <w:tab/>
        </w:r>
        <w:r w:rsidR="00525012" w:rsidRPr="00CE7CD2">
          <w:rPr>
            <w:rStyle w:val="Hyperlink"/>
          </w:rPr>
          <w:t>Proposed use pattern – Trojan Insecticide (150 g/L gamma-cyhalothrin)</w:t>
        </w:r>
        <w:r w:rsidR="00525012">
          <w:rPr>
            <w:webHidden/>
          </w:rPr>
          <w:tab/>
        </w:r>
        <w:r w:rsidR="00525012">
          <w:rPr>
            <w:webHidden/>
          </w:rPr>
          <w:fldChar w:fldCharType="begin"/>
        </w:r>
        <w:r w:rsidR="00525012">
          <w:rPr>
            <w:webHidden/>
          </w:rPr>
          <w:instrText xml:space="preserve"> PAGEREF _Toc156287466 \h </w:instrText>
        </w:r>
        <w:r w:rsidR="00525012">
          <w:rPr>
            <w:webHidden/>
          </w:rPr>
        </w:r>
        <w:r w:rsidR="00525012">
          <w:rPr>
            <w:webHidden/>
          </w:rPr>
          <w:fldChar w:fldCharType="separate"/>
        </w:r>
        <w:r w:rsidR="00243457">
          <w:rPr>
            <w:webHidden/>
          </w:rPr>
          <w:t>5</w:t>
        </w:r>
        <w:r w:rsidR="00525012">
          <w:rPr>
            <w:webHidden/>
          </w:rPr>
          <w:fldChar w:fldCharType="end"/>
        </w:r>
      </w:hyperlink>
    </w:p>
    <w:p w14:paraId="530819B9" w14:textId="4306DBD8" w:rsidR="00525012"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6287467" w:history="1">
        <w:r w:rsidR="00525012" w:rsidRPr="00CE7CD2">
          <w:rPr>
            <w:rStyle w:val="Hyperlink"/>
          </w:rPr>
          <w:t>Table 3:</w:t>
        </w:r>
        <w:r w:rsidR="00525012">
          <w:rPr>
            <w:rFonts w:asciiTheme="minorHAnsi" w:eastAsiaTheme="minorEastAsia" w:hAnsiTheme="minorHAnsi" w:cstheme="minorBidi"/>
            <w:kern w:val="2"/>
            <w:sz w:val="22"/>
            <w:szCs w:val="22"/>
            <w:lang w:eastAsia="en-AU"/>
            <w14:ligatures w14:val="standardContextual"/>
          </w:rPr>
          <w:tab/>
        </w:r>
        <w:r w:rsidR="00525012" w:rsidRPr="00CE7CD2">
          <w:rPr>
            <w:rStyle w:val="Hyperlink"/>
          </w:rPr>
          <w:t>Current Australian and overseas MRLs/tolerances for cyhalothrin</w:t>
        </w:r>
        <w:r w:rsidR="00525012">
          <w:rPr>
            <w:webHidden/>
          </w:rPr>
          <w:tab/>
        </w:r>
        <w:r w:rsidR="00525012">
          <w:rPr>
            <w:webHidden/>
          </w:rPr>
          <w:fldChar w:fldCharType="begin"/>
        </w:r>
        <w:r w:rsidR="00525012">
          <w:rPr>
            <w:webHidden/>
          </w:rPr>
          <w:instrText xml:space="preserve"> PAGEREF _Toc156287467 \h </w:instrText>
        </w:r>
        <w:r w:rsidR="00525012">
          <w:rPr>
            <w:webHidden/>
          </w:rPr>
        </w:r>
        <w:r w:rsidR="00525012">
          <w:rPr>
            <w:webHidden/>
          </w:rPr>
          <w:fldChar w:fldCharType="separate"/>
        </w:r>
        <w:r w:rsidR="00243457">
          <w:rPr>
            <w:webHidden/>
          </w:rPr>
          <w:t>8</w:t>
        </w:r>
        <w:r w:rsidR="00525012">
          <w:rPr>
            <w:webHidden/>
          </w:rPr>
          <w:fldChar w:fldCharType="end"/>
        </w:r>
      </w:hyperlink>
    </w:p>
    <w:p w14:paraId="78CFBDEC" w14:textId="472BC4C2" w:rsidR="00525012"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6287468" w:history="1">
        <w:r w:rsidR="00525012" w:rsidRPr="00CE7CD2">
          <w:rPr>
            <w:rStyle w:val="Hyperlink"/>
          </w:rPr>
          <w:t>Table 4:</w:t>
        </w:r>
        <w:r w:rsidR="00525012">
          <w:rPr>
            <w:rFonts w:asciiTheme="minorHAnsi" w:eastAsiaTheme="minorEastAsia" w:hAnsiTheme="minorHAnsi" w:cstheme="minorBidi"/>
            <w:kern w:val="2"/>
            <w:sz w:val="22"/>
            <w:szCs w:val="22"/>
            <w:lang w:eastAsia="en-AU"/>
            <w14:ligatures w14:val="standardContextual"/>
          </w:rPr>
          <w:tab/>
        </w:r>
        <w:r w:rsidR="00525012" w:rsidRPr="00CE7CD2">
          <w:rPr>
            <w:rStyle w:val="Hyperlink"/>
          </w:rPr>
          <w:t>Current MRL Standard – Table 1</w:t>
        </w:r>
        <w:r w:rsidR="00525012">
          <w:rPr>
            <w:webHidden/>
          </w:rPr>
          <w:tab/>
        </w:r>
        <w:r w:rsidR="00525012">
          <w:rPr>
            <w:webHidden/>
          </w:rPr>
          <w:fldChar w:fldCharType="begin"/>
        </w:r>
        <w:r w:rsidR="00525012">
          <w:rPr>
            <w:webHidden/>
          </w:rPr>
          <w:instrText xml:space="preserve"> PAGEREF _Toc156287468 \h </w:instrText>
        </w:r>
        <w:r w:rsidR="00525012">
          <w:rPr>
            <w:webHidden/>
          </w:rPr>
        </w:r>
        <w:r w:rsidR="00525012">
          <w:rPr>
            <w:webHidden/>
          </w:rPr>
          <w:fldChar w:fldCharType="separate"/>
        </w:r>
        <w:r w:rsidR="00243457">
          <w:rPr>
            <w:webHidden/>
          </w:rPr>
          <w:t>9</w:t>
        </w:r>
        <w:r w:rsidR="00525012">
          <w:rPr>
            <w:webHidden/>
          </w:rPr>
          <w:fldChar w:fldCharType="end"/>
        </w:r>
      </w:hyperlink>
    </w:p>
    <w:p w14:paraId="54B60044" w14:textId="1E921EEE" w:rsidR="00525012"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6287469" w:history="1">
        <w:r w:rsidR="00525012" w:rsidRPr="00CE7CD2">
          <w:rPr>
            <w:rStyle w:val="Hyperlink"/>
          </w:rPr>
          <w:t>Table 5:</w:t>
        </w:r>
        <w:r w:rsidR="00525012">
          <w:rPr>
            <w:rFonts w:asciiTheme="minorHAnsi" w:eastAsiaTheme="minorEastAsia" w:hAnsiTheme="minorHAnsi" w:cstheme="minorBidi"/>
            <w:kern w:val="2"/>
            <w:sz w:val="22"/>
            <w:szCs w:val="22"/>
            <w:lang w:eastAsia="en-AU"/>
            <w14:ligatures w14:val="standardContextual"/>
          </w:rPr>
          <w:tab/>
        </w:r>
        <w:r w:rsidR="00525012" w:rsidRPr="00CE7CD2">
          <w:rPr>
            <w:rStyle w:val="Hyperlink"/>
          </w:rPr>
          <w:t>Current MRL Standard – Table 4</w:t>
        </w:r>
        <w:r w:rsidR="00525012">
          <w:rPr>
            <w:webHidden/>
          </w:rPr>
          <w:tab/>
        </w:r>
        <w:r w:rsidR="00525012">
          <w:rPr>
            <w:webHidden/>
          </w:rPr>
          <w:fldChar w:fldCharType="begin"/>
        </w:r>
        <w:r w:rsidR="00525012">
          <w:rPr>
            <w:webHidden/>
          </w:rPr>
          <w:instrText xml:space="preserve"> PAGEREF _Toc156287469 \h </w:instrText>
        </w:r>
        <w:r w:rsidR="00525012">
          <w:rPr>
            <w:webHidden/>
          </w:rPr>
        </w:r>
        <w:r w:rsidR="00525012">
          <w:rPr>
            <w:webHidden/>
          </w:rPr>
          <w:fldChar w:fldCharType="separate"/>
        </w:r>
        <w:r w:rsidR="00243457">
          <w:rPr>
            <w:webHidden/>
          </w:rPr>
          <w:t>9</w:t>
        </w:r>
        <w:r w:rsidR="00525012">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0D03D3" w:rsidRDefault="002E20AC" w:rsidP="000D03D3">
      <w:pPr>
        <w:pStyle w:val="APVMAPreliminariesH1"/>
      </w:pPr>
      <w:bookmarkStart w:id="1" w:name="_Toc234063054"/>
      <w:bookmarkStart w:id="2" w:name="_Toc414373831"/>
      <w:bookmarkStart w:id="3" w:name="_Toc156287449"/>
      <w:r w:rsidRPr="000D03D3">
        <w:lastRenderedPageBreak/>
        <w:t>Preface</w:t>
      </w:r>
      <w:bookmarkEnd w:id="1"/>
      <w:bookmarkEnd w:id="2"/>
      <w:bookmarkEnd w:id="3"/>
    </w:p>
    <w:p w14:paraId="3C65F9F1" w14:textId="77777777" w:rsidR="006D36C8" w:rsidRPr="000D03D3" w:rsidRDefault="006D36C8" w:rsidP="000D03D3">
      <w:pPr>
        <w:pStyle w:val="APVMAText"/>
      </w:pPr>
      <w:r w:rsidRPr="000D03D3">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0D03D3" w:rsidRDefault="006D36C8" w:rsidP="000D03D3">
      <w:pPr>
        <w:pStyle w:val="APVMAText"/>
      </w:pPr>
      <w:r w:rsidRPr="000D03D3">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0D03D3" w:rsidRDefault="006D36C8" w:rsidP="000D03D3">
      <w:pPr>
        <w:pStyle w:val="APVMAText"/>
      </w:pPr>
      <w:r w:rsidRPr="000D03D3">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0D03D3" w:rsidRDefault="006D36C8" w:rsidP="000D03D3">
      <w:pPr>
        <w:pStyle w:val="APVMAPreliminariesH2"/>
      </w:pPr>
      <w:bookmarkStart w:id="4" w:name="_Toc414373832"/>
      <w:bookmarkStart w:id="5" w:name="_Toc156287450"/>
      <w:r w:rsidRPr="000D03D3">
        <w:t>About this document</w:t>
      </w:r>
      <w:bookmarkEnd w:id="4"/>
      <w:bookmarkEnd w:id="5"/>
    </w:p>
    <w:p w14:paraId="29EE149D" w14:textId="2A745726" w:rsidR="00E63AC3" w:rsidRPr="000D03D3" w:rsidRDefault="006D36C8" w:rsidP="000D03D3">
      <w:pPr>
        <w:pStyle w:val="APVMAText"/>
      </w:pPr>
      <w:r w:rsidRPr="000D03D3">
        <w:t xml:space="preserve">This </w:t>
      </w:r>
      <w:r w:rsidR="00F74FA6" w:rsidRPr="000D03D3">
        <w:t>T</w:t>
      </w:r>
      <w:r w:rsidRPr="000D03D3">
        <w:t xml:space="preserve">rade </w:t>
      </w:r>
      <w:r w:rsidR="00F74FA6" w:rsidRPr="000D03D3">
        <w:t>Advice N</w:t>
      </w:r>
      <w:r w:rsidRPr="000D03D3">
        <w:t>otice indicates that the APVMA is considering an application to vary the use of an existing registered agric</w:t>
      </w:r>
      <w:r w:rsidR="00E63AC3" w:rsidRPr="000D03D3">
        <w:t>ultural or veterinary chemical.</w:t>
      </w:r>
    </w:p>
    <w:p w14:paraId="2D999D62" w14:textId="77777777" w:rsidR="006D36C8" w:rsidRPr="000D03D3" w:rsidRDefault="006D36C8" w:rsidP="000D03D3">
      <w:pPr>
        <w:pStyle w:val="APVMAText"/>
      </w:pPr>
      <w:r w:rsidRPr="000D03D3">
        <w:t>It provides a summary of the APVMA’s residue and trade assessment.</w:t>
      </w:r>
    </w:p>
    <w:p w14:paraId="793783FA" w14:textId="77777777" w:rsidR="006D36C8" w:rsidRPr="000D03D3" w:rsidRDefault="006D36C8" w:rsidP="000D03D3">
      <w:pPr>
        <w:pStyle w:val="APVMAText"/>
      </w:pPr>
      <w:r w:rsidRPr="000D03D3">
        <w:t>Comment is sought from industry groups and stakeholders on the information contained within this document.</w:t>
      </w:r>
    </w:p>
    <w:p w14:paraId="61CF03AE" w14:textId="77777777" w:rsidR="006D36C8" w:rsidRPr="000D03D3" w:rsidRDefault="006D36C8" w:rsidP="000D03D3">
      <w:pPr>
        <w:pStyle w:val="APVMAPreliminariesH2"/>
      </w:pPr>
      <w:bookmarkStart w:id="6" w:name="_Toc156287451"/>
      <w:r w:rsidRPr="000D03D3">
        <w:t>Making a submission</w:t>
      </w:r>
      <w:bookmarkEnd w:id="6"/>
    </w:p>
    <w:p w14:paraId="5DCD1FC6" w14:textId="0062ACFB" w:rsidR="006D36C8" w:rsidRPr="00336738" w:rsidRDefault="006D36C8" w:rsidP="00336738">
      <w:pPr>
        <w:pStyle w:val="APVMAText"/>
      </w:pPr>
      <w:r w:rsidRPr="00336738">
        <w:t xml:space="preserve">The APVMA invites any person to submit a relevant written submission as to whether the application to vary the registration of </w:t>
      </w:r>
      <w:r w:rsidR="00C02A44" w:rsidRPr="00336738">
        <w:t>Trojan Insecticide</w:t>
      </w:r>
      <w:r w:rsidR="007B1953" w:rsidRPr="00336738">
        <w:t xml:space="preserve"> </w:t>
      </w:r>
      <w:r w:rsidRPr="00336738">
        <w:t>should be granted.</w:t>
      </w:r>
      <w:r w:rsidR="00BA67F0" w:rsidRPr="00336738">
        <w:t xml:space="preserve"> </w:t>
      </w:r>
      <w:r w:rsidRPr="00336738">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7B132B4D" w:rsidR="006D36C8" w:rsidRPr="000D03D3" w:rsidRDefault="006D36C8" w:rsidP="000D03D3">
      <w:pPr>
        <w:pStyle w:val="APVMAText"/>
      </w:pPr>
      <w:r w:rsidRPr="000D03D3">
        <w:t>Submissions must be received by the APVMA by close of business on</w:t>
      </w:r>
      <w:r w:rsidR="009C6CFF" w:rsidRPr="000D03D3">
        <w:t xml:space="preserve"> 1</w:t>
      </w:r>
      <w:r w:rsidR="00336738">
        <w:t>3</w:t>
      </w:r>
      <w:r w:rsidR="009C6CFF" w:rsidRPr="000D03D3">
        <w:t xml:space="preserve"> February 2024</w:t>
      </w:r>
      <w:r w:rsidR="00696A51" w:rsidRPr="000D03D3">
        <w:t xml:space="preserve"> </w:t>
      </w:r>
      <w:r w:rsidRPr="000D03D3">
        <w:t>and be directed to the contact listed below. All submissions to the APVMA will be acknowledged in writing via email or by post.</w:t>
      </w:r>
    </w:p>
    <w:p w14:paraId="336CDD12" w14:textId="77777777" w:rsidR="006C2F1E" w:rsidRDefault="006D36C8" w:rsidP="000D03D3">
      <w:pPr>
        <w:pStyle w:val="APVMAText"/>
      </w:pPr>
      <w:r w:rsidRPr="000D03D3">
        <w:t>Relevant comments will be taken into account by the APVMA in deciding whether to grant the application and in determining appropriate conditions of registration and product labelling.</w:t>
      </w:r>
      <w:r w:rsidR="006C2F1E">
        <w:br w:type="page"/>
      </w:r>
    </w:p>
    <w:p w14:paraId="0D5B62E2" w14:textId="36D8BA39" w:rsidR="006D36C8" w:rsidRPr="000D03D3" w:rsidRDefault="006D36C8" w:rsidP="000D03D3">
      <w:pPr>
        <w:pStyle w:val="APVMAText"/>
      </w:pPr>
      <w:r w:rsidRPr="000D03D3">
        <w:lastRenderedPageBreak/>
        <w:t>When making a submission please include:</w:t>
      </w:r>
    </w:p>
    <w:p w14:paraId="05ED1ED8" w14:textId="77777777" w:rsidR="006D36C8" w:rsidRPr="000D03D3" w:rsidRDefault="00BA67F0" w:rsidP="000D03D3">
      <w:pPr>
        <w:pStyle w:val="Bullet1"/>
      </w:pPr>
      <w:r w:rsidRPr="000D03D3">
        <w:t>c</w:t>
      </w:r>
      <w:r w:rsidR="006D36C8" w:rsidRPr="000D03D3">
        <w:t>ontact name</w:t>
      </w:r>
    </w:p>
    <w:p w14:paraId="74C502CA" w14:textId="006BD998" w:rsidR="006D36C8" w:rsidRPr="000D03D3" w:rsidRDefault="00BA67F0" w:rsidP="000D03D3">
      <w:pPr>
        <w:pStyle w:val="Bullet1"/>
      </w:pPr>
      <w:r w:rsidRPr="000D03D3">
        <w:t>c</w:t>
      </w:r>
      <w:r w:rsidR="006D36C8" w:rsidRPr="000D03D3">
        <w:t xml:space="preserve">ompany or </w:t>
      </w:r>
      <w:r w:rsidR="00641B1B" w:rsidRPr="000D03D3">
        <w:t xml:space="preserve">organisation </w:t>
      </w:r>
      <w:r w:rsidR="006D36C8" w:rsidRPr="000D03D3">
        <w:t>name (if relevant)</w:t>
      </w:r>
    </w:p>
    <w:p w14:paraId="4508E5DE" w14:textId="77777777" w:rsidR="006D36C8" w:rsidRPr="000D03D3" w:rsidRDefault="008836D1" w:rsidP="000D03D3">
      <w:pPr>
        <w:pStyle w:val="Bullet1"/>
      </w:pPr>
      <w:r w:rsidRPr="000D03D3">
        <w:t xml:space="preserve">email or </w:t>
      </w:r>
      <w:r w:rsidR="00BA67F0" w:rsidRPr="000D03D3">
        <w:t>p</w:t>
      </w:r>
      <w:r w:rsidR="006D36C8" w:rsidRPr="000D03D3">
        <w:t xml:space="preserve">ostal </w:t>
      </w:r>
      <w:r w:rsidR="00BA67F0" w:rsidRPr="000D03D3">
        <w:t>a</w:t>
      </w:r>
      <w:r w:rsidR="006D36C8" w:rsidRPr="000D03D3">
        <w:t>ddress</w:t>
      </w:r>
      <w:r w:rsidRPr="000D03D3">
        <w:t xml:space="preserve"> (if available)</w:t>
      </w:r>
    </w:p>
    <w:p w14:paraId="719B1483" w14:textId="34100990" w:rsidR="006D36C8" w:rsidRPr="000D03D3" w:rsidRDefault="008836D1" w:rsidP="000D03D3">
      <w:pPr>
        <w:pStyle w:val="Bullet1"/>
      </w:pPr>
      <w:r w:rsidRPr="000D03D3">
        <w:t xml:space="preserve">the date you made the </w:t>
      </w:r>
      <w:r w:rsidR="0024289A" w:rsidRPr="000D03D3">
        <w:t>submission</w:t>
      </w:r>
      <w:r w:rsidR="006D36C8" w:rsidRPr="000D03D3">
        <w:t>.</w:t>
      </w:r>
    </w:p>
    <w:p w14:paraId="5B2156FE" w14:textId="0C37EB72" w:rsidR="00F34959" w:rsidRPr="000D03D3" w:rsidRDefault="00F34959" w:rsidP="000D03D3">
      <w:pPr>
        <w:pStyle w:val="APVMAText"/>
      </w:pPr>
      <w:r w:rsidRPr="000D03D3">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Pr="000D03D3">
          <w:rPr>
            <w:rStyle w:val="Hyperlink"/>
          </w:rPr>
          <w:t>public consultation coversheet</w:t>
        </w:r>
      </w:hyperlink>
      <w:r w:rsidRPr="000D03D3">
        <w:t>)</w:t>
      </w:r>
      <w:r w:rsidR="007B1953" w:rsidRPr="000D03D3">
        <w:t>.</w:t>
      </w:r>
    </w:p>
    <w:p w14:paraId="272FA43D" w14:textId="7BB19674" w:rsidR="008D01CF" w:rsidRPr="000D03D3" w:rsidRDefault="008D01CF" w:rsidP="000D03D3">
      <w:pPr>
        <w:pStyle w:val="APVMAText"/>
      </w:pPr>
      <w:r w:rsidRPr="000D03D3">
        <w:t xml:space="preserve">Please lodge your submission using the </w:t>
      </w:r>
      <w:hyperlink r:id="rId20" w:history="1">
        <w:r w:rsidRPr="000D03D3">
          <w:rPr>
            <w:rStyle w:val="Hyperlink"/>
          </w:rPr>
          <w:t>public consultation coversheet</w:t>
        </w:r>
      </w:hyperlink>
      <w:r w:rsidRPr="000D03D3">
        <w:t>, which provides options for how your submission will be published.</w:t>
      </w:r>
    </w:p>
    <w:p w14:paraId="30632674" w14:textId="54A84E6D" w:rsidR="0066107B" w:rsidRPr="000D03D3" w:rsidRDefault="0066107B" w:rsidP="000D03D3">
      <w:pPr>
        <w:pStyle w:val="APVMAText"/>
      </w:pPr>
      <w:r w:rsidRPr="000D03D3">
        <w:t xml:space="preserve">Note that all APVMA documents are subject to the access provisions of the </w:t>
      </w:r>
      <w:r w:rsidRPr="006C2F1E">
        <w:rPr>
          <w:i/>
          <w:iCs/>
        </w:rPr>
        <w:t>Freedom of Information Act 1982</w:t>
      </w:r>
      <w:r w:rsidRPr="000D03D3">
        <w:t xml:space="preserve"> and may be required to be released under that Act should a request for access be made.</w:t>
      </w:r>
    </w:p>
    <w:p w14:paraId="69BC7EE4" w14:textId="5B019BD8" w:rsidR="008D01CF" w:rsidRPr="000D03D3" w:rsidRDefault="008D01CF" w:rsidP="000D03D3">
      <w:pPr>
        <w:pStyle w:val="APVMAText"/>
      </w:pPr>
      <w:r w:rsidRPr="000D03D3">
        <w:t>Unless you request for your submission to remain confident</w:t>
      </w:r>
      <w:r w:rsidR="00382B7C" w:rsidRPr="000D03D3">
        <w:t>ial</w:t>
      </w:r>
      <w:r w:rsidRPr="000D03D3">
        <w:t>, the APVMA may release your submission to the applicant for comment.</w:t>
      </w:r>
    </w:p>
    <w:p w14:paraId="7F5CDCA5" w14:textId="77777777" w:rsidR="008D01CF" w:rsidRPr="000D03D3" w:rsidRDefault="008D01CF" w:rsidP="000D03D3">
      <w:pPr>
        <w:pStyle w:val="APVMAText"/>
      </w:pPr>
      <w:r w:rsidRPr="000D03D3">
        <w:t>Written submissions should be addressed to:</w:t>
      </w:r>
    </w:p>
    <w:p w14:paraId="4C26F201" w14:textId="3F88F48E" w:rsidR="006D36C8" w:rsidRPr="000D03D3" w:rsidRDefault="000301C9" w:rsidP="000D03D3">
      <w:pPr>
        <w:pStyle w:val="APVMAAddress"/>
        <w:ind w:left="0"/>
      </w:pPr>
      <w:r w:rsidRPr="000D03D3">
        <w:t>Executive Director, Risk Assessment Capability</w:t>
      </w:r>
    </w:p>
    <w:p w14:paraId="0D1EE87B" w14:textId="77777777" w:rsidR="006D36C8" w:rsidRPr="000D03D3" w:rsidRDefault="006D36C8" w:rsidP="000D03D3">
      <w:pPr>
        <w:pStyle w:val="APVMAAddress"/>
        <w:ind w:left="0"/>
      </w:pPr>
      <w:r w:rsidRPr="000D03D3">
        <w:t>Australian Pesticides and Veterinary Medicines Authority</w:t>
      </w:r>
    </w:p>
    <w:p w14:paraId="75C98189" w14:textId="77777777" w:rsidR="006D36C8" w:rsidRPr="000D03D3" w:rsidRDefault="00BD0287" w:rsidP="000D03D3">
      <w:pPr>
        <w:pStyle w:val="APVMAAddress"/>
        <w:ind w:left="0"/>
      </w:pPr>
      <w:r w:rsidRPr="000D03D3">
        <w:t>GPO Box 3262</w:t>
      </w:r>
    </w:p>
    <w:p w14:paraId="4E7B5037" w14:textId="77777777" w:rsidR="006D36C8" w:rsidRPr="000D03D3" w:rsidRDefault="00BD0287" w:rsidP="000D03D3">
      <w:pPr>
        <w:pStyle w:val="APVMAAddress"/>
        <w:ind w:left="0"/>
      </w:pPr>
      <w:r w:rsidRPr="000D03D3">
        <w:t>Sydney NSW 2001</w:t>
      </w:r>
    </w:p>
    <w:p w14:paraId="6BC13A1A" w14:textId="77777777" w:rsidR="006D36C8" w:rsidRPr="000D03D3" w:rsidRDefault="006D36C8" w:rsidP="000D03D3">
      <w:pPr>
        <w:pStyle w:val="APVMAAddress"/>
        <w:tabs>
          <w:tab w:val="clear" w:pos="1361"/>
          <w:tab w:val="left" w:pos="709"/>
        </w:tabs>
        <w:spacing w:before="240"/>
        <w:ind w:left="0"/>
      </w:pPr>
      <w:r w:rsidRPr="000D03D3">
        <w:t>Phone:</w:t>
      </w:r>
      <w:r w:rsidRPr="000D03D3">
        <w:tab/>
        <w:t xml:space="preserve">+61 2 </w:t>
      </w:r>
      <w:r w:rsidR="00BD0287" w:rsidRPr="000D03D3">
        <w:t>6770 2300</w:t>
      </w:r>
    </w:p>
    <w:p w14:paraId="6EDED567" w14:textId="490EDEAF" w:rsidR="006D36C8" w:rsidRPr="000D03D3" w:rsidRDefault="006D36C8" w:rsidP="000D03D3">
      <w:pPr>
        <w:pStyle w:val="APVMAAddress"/>
        <w:tabs>
          <w:tab w:val="clear" w:pos="1361"/>
          <w:tab w:val="left" w:pos="709"/>
        </w:tabs>
        <w:ind w:left="0"/>
      </w:pPr>
      <w:r w:rsidRPr="000D03D3">
        <w:t>Email:</w:t>
      </w:r>
      <w:r w:rsidRPr="000D03D3">
        <w:tab/>
      </w:r>
      <w:hyperlink r:id="rId21" w:history="1">
        <w:r w:rsidR="000301C9" w:rsidRPr="000D03D3">
          <w:rPr>
            <w:rStyle w:val="Hyperlink"/>
          </w:rPr>
          <w:t>enquiries@apvma.gov.au</w:t>
        </w:r>
      </w:hyperlink>
    </w:p>
    <w:p w14:paraId="75ADC83A" w14:textId="77777777" w:rsidR="006D36C8" w:rsidRPr="000D03D3" w:rsidRDefault="006D36C8" w:rsidP="000D03D3">
      <w:pPr>
        <w:pStyle w:val="APVMAPreliminariesH2"/>
      </w:pPr>
      <w:bookmarkStart w:id="7" w:name="_Toc2243844"/>
      <w:bookmarkStart w:id="8" w:name="_Toc156287452"/>
      <w:r w:rsidRPr="000D03D3">
        <w:t>Further information</w:t>
      </w:r>
      <w:bookmarkEnd w:id="7"/>
      <w:bookmarkEnd w:id="8"/>
    </w:p>
    <w:p w14:paraId="26E743FF" w14:textId="77777777" w:rsidR="006D36C8" w:rsidRPr="000D03D3" w:rsidRDefault="006D36C8" w:rsidP="000D03D3">
      <w:pPr>
        <w:pStyle w:val="APVMAText"/>
      </w:pPr>
      <w:r w:rsidRPr="000D03D3">
        <w:t>Further information can be obtained via the contact details provided above.</w:t>
      </w:r>
    </w:p>
    <w:p w14:paraId="112848E8" w14:textId="7DA8B83E" w:rsidR="00D22CCB" w:rsidRDefault="006D36C8" w:rsidP="000D03D3">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rsidRPr="000D03D3">
        <w:t xml:space="preserve">Further information on </w:t>
      </w:r>
      <w:r w:rsidR="007B1953" w:rsidRPr="000D03D3">
        <w:t>Trade Advice Notices</w:t>
      </w:r>
      <w:r w:rsidRPr="000D03D3">
        <w:t xml:space="preserve"> can be found on the APVMA website: </w:t>
      </w:r>
      <w:hyperlink r:id="rId24" w:history="1">
        <w:r w:rsidRPr="000D03D3">
          <w:rPr>
            <w:rStyle w:val="Hyperlink"/>
          </w:rPr>
          <w:t>apvma.gov.au</w:t>
        </w:r>
      </w:hyperlink>
      <w:r w:rsidRPr="00AF1ED4">
        <w:rPr>
          <w:rStyle w:val="Hyperlink"/>
          <w:color w:val="auto"/>
          <w:u w:val="none"/>
        </w:rPr>
        <w:t>.</w:t>
      </w:r>
    </w:p>
    <w:p w14:paraId="5181B9C2" w14:textId="70DA256D" w:rsidR="002E20AC" w:rsidRPr="000D03D3" w:rsidRDefault="007B1953" w:rsidP="000D03D3">
      <w:pPr>
        <w:pStyle w:val="Heading1"/>
      </w:pPr>
      <w:bookmarkStart w:id="9" w:name="_Toc156287453"/>
      <w:r w:rsidRPr="000D03D3">
        <w:lastRenderedPageBreak/>
        <w:t>I</w:t>
      </w:r>
      <w:r w:rsidR="006D36C8" w:rsidRPr="000D03D3">
        <w:t>ntroduction</w:t>
      </w:r>
      <w:bookmarkEnd w:id="9"/>
    </w:p>
    <w:p w14:paraId="601741C9" w14:textId="6156D9F8" w:rsidR="000301C9" w:rsidRPr="000D03D3" w:rsidRDefault="000301C9" w:rsidP="000D03D3">
      <w:pPr>
        <w:pStyle w:val="APVMAText"/>
      </w:pPr>
      <w:bookmarkStart w:id="10" w:name="_Toc414373835"/>
      <w:r w:rsidRPr="000D03D3">
        <w:t xml:space="preserve">The APVMA has before it an application from </w:t>
      </w:r>
      <w:r w:rsidR="00C71AAC" w:rsidRPr="000D03D3">
        <w:t>FMC Australasia Pty Ltd to vary the registration</w:t>
      </w:r>
      <w:r w:rsidRPr="000D03D3">
        <w:t xml:space="preserve"> of </w:t>
      </w:r>
      <w:r w:rsidR="00C71AAC" w:rsidRPr="000D03D3">
        <w:t>Trojan Insecticide</w:t>
      </w:r>
      <w:r w:rsidRPr="000D03D3">
        <w:t xml:space="preserve"> containing </w:t>
      </w:r>
      <w:r w:rsidR="00C71AAC" w:rsidRPr="000D03D3">
        <w:t>150</w:t>
      </w:r>
      <w:r w:rsidR="006C2F1E">
        <w:t> </w:t>
      </w:r>
      <w:r w:rsidRPr="000D03D3">
        <w:t xml:space="preserve">g/L </w:t>
      </w:r>
      <w:r w:rsidR="00C71AAC" w:rsidRPr="000D03D3">
        <w:t>gamma-cyhalothrin</w:t>
      </w:r>
      <w:r w:rsidRPr="000D03D3">
        <w:t xml:space="preserve"> </w:t>
      </w:r>
      <w:r w:rsidR="00C71AAC" w:rsidRPr="000D03D3">
        <w:t>to add use</w:t>
      </w:r>
      <w:r w:rsidR="00D55012" w:rsidRPr="000D03D3">
        <w:t>s</w:t>
      </w:r>
      <w:r w:rsidR="00C71AAC" w:rsidRPr="000D03D3">
        <w:t xml:space="preserve"> on oats, rye and triticale.</w:t>
      </w:r>
    </w:p>
    <w:p w14:paraId="1E0BA2EF" w14:textId="6503CC06" w:rsidR="00C02A44" w:rsidRPr="000D03D3" w:rsidRDefault="00D55012" w:rsidP="000D03D3">
      <w:pPr>
        <w:pStyle w:val="APVMAText"/>
      </w:pPr>
      <w:r w:rsidRPr="000D03D3">
        <w:t>Based on the submitted data, n</w:t>
      </w:r>
      <w:r w:rsidR="00C02A44" w:rsidRPr="000D03D3">
        <w:t xml:space="preserve">o changes are required to the current cyhalothrin </w:t>
      </w:r>
      <w:r w:rsidR="006C2F1E" w:rsidRPr="000D03D3">
        <w:t>maximum residue limit</w:t>
      </w:r>
      <w:r w:rsidR="00C02A44" w:rsidRPr="000D03D3">
        <w:t xml:space="preserve"> (MRL) for GC 0080 Cereal grains {except Barley; Sorghum; Wheat} established at the </w:t>
      </w:r>
      <w:r w:rsidR="006C2F1E" w:rsidRPr="000D03D3">
        <w:t xml:space="preserve">limit of quantification </w:t>
      </w:r>
      <w:r w:rsidR="00C02A44" w:rsidRPr="000D03D3">
        <w:t>(LOQ) at *0.01</w:t>
      </w:r>
      <w:r w:rsidR="006C2F1E">
        <w:t> </w:t>
      </w:r>
      <w:r w:rsidR="00C02A44" w:rsidRPr="000D03D3">
        <w:t xml:space="preserve">mg/kg. As </w:t>
      </w:r>
      <w:r w:rsidRPr="000D03D3">
        <w:t xml:space="preserve">quantifiable </w:t>
      </w:r>
      <w:r w:rsidR="00C02A44" w:rsidRPr="000D03D3">
        <w:t>residues are not expected to occur in oat, rye and triticale grain from the proposed use they do not require further consideration with respect to trade.</w:t>
      </w:r>
    </w:p>
    <w:p w14:paraId="2FF1D50D" w14:textId="416C0B4E" w:rsidR="000301C9" w:rsidRPr="000D03D3" w:rsidRDefault="00C02A44" w:rsidP="000D03D3">
      <w:pPr>
        <w:pStyle w:val="APVMAText"/>
        <w:sectPr w:rsidR="000301C9" w:rsidRPr="000D03D3">
          <w:pgSz w:w="11906" w:h="16838" w:code="9"/>
          <w:pgMar w:top="2835" w:right="1134" w:bottom="1134" w:left="1134" w:header="1701" w:footer="680" w:gutter="0"/>
          <w:cols w:space="708"/>
          <w:docGrid w:linePitch="360"/>
        </w:sectPr>
      </w:pPr>
      <w:r w:rsidRPr="000D03D3">
        <w:t>This trade advice notice considers the risk to trade in oaten hay, as this is the first foliar use of cyhalothrin on oats and residues are expected to occur in forage and fodder.</w:t>
      </w:r>
      <w:bookmarkEnd w:id="10"/>
    </w:p>
    <w:p w14:paraId="6FDBA0BF" w14:textId="1F2CDA12" w:rsidR="006D36C8" w:rsidRPr="000D03D3" w:rsidRDefault="006D36C8" w:rsidP="000D03D3">
      <w:pPr>
        <w:pStyle w:val="Heading1"/>
      </w:pPr>
      <w:bookmarkStart w:id="11" w:name="_Toc2243846"/>
      <w:bookmarkStart w:id="12" w:name="_Toc156287454"/>
      <w:r w:rsidRPr="000D03D3">
        <w:lastRenderedPageBreak/>
        <w:t>Trade</w:t>
      </w:r>
      <w:r w:rsidR="007B1953" w:rsidRPr="000D03D3">
        <w:t xml:space="preserve"> c</w:t>
      </w:r>
      <w:r w:rsidRPr="000D03D3">
        <w:t>onsiderations</w:t>
      </w:r>
      <w:bookmarkEnd w:id="11"/>
      <w:bookmarkEnd w:id="12"/>
    </w:p>
    <w:p w14:paraId="57B2B732" w14:textId="77777777" w:rsidR="006D36C8" w:rsidRPr="000D03D3" w:rsidRDefault="006D36C8" w:rsidP="000D03D3">
      <w:pPr>
        <w:pStyle w:val="Heading2"/>
      </w:pPr>
      <w:bookmarkStart w:id="13" w:name="_Toc2243847"/>
      <w:bookmarkStart w:id="14" w:name="_Toc156287455"/>
      <w:r w:rsidRPr="000D03D3">
        <w:t>Commodities exported</w:t>
      </w:r>
      <w:bookmarkEnd w:id="13"/>
      <w:bookmarkEnd w:id="14"/>
    </w:p>
    <w:p w14:paraId="75FF96FF" w14:textId="04E5E56D" w:rsidR="00BB3362" w:rsidRPr="000D03D3" w:rsidRDefault="00C02A44" w:rsidP="000D03D3">
      <w:pPr>
        <w:pStyle w:val="APVMAText"/>
      </w:pPr>
      <w:r w:rsidRPr="000D03D3">
        <w:t>O</w:t>
      </w:r>
      <w:r w:rsidR="00BB3362" w:rsidRPr="000D03D3">
        <w:t xml:space="preserve">aten hay </w:t>
      </w:r>
      <w:r w:rsidRPr="000D03D3">
        <w:t>is</w:t>
      </w:r>
      <w:r w:rsidR="00BB3362" w:rsidRPr="000D03D3">
        <w:t xml:space="preserve"> considered to be </w:t>
      </w:r>
      <w:r w:rsidRPr="000D03D3">
        <w:t xml:space="preserve">a </w:t>
      </w:r>
      <w:r w:rsidR="00BB3362" w:rsidRPr="000D03D3">
        <w:t>major export commodit</w:t>
      </w:r>
      <w:r w:rsidRPr="000D03D3">
        <w:t>y</w:t>
      </w:r>
      <w:r w:rsidR="00BB3362" w:rsidRPr="006C2F1E">
        <w:rPr>
          <w:rStyle w:val="FootnoteReference"/>
        </w:rPr>
        <w:footnoteReference w:id="2"/>
      </w:r>
      <w:r w:rsidR="00BB3362" w:rsidRPr="000D03D3">
        <w:t xml:space="preserve">, as are commodities of animal origin, such as meat, offal and dairy products, which may be derived from livestock fed feeds produced from treated oats, rye and triticale. Residues in these commodities resulting from the use of Trojan Insecticide may have the potential to unduly prejudice trade. As the maximum livestock dietary burden for cyhalothrin will not increase from the proposed use, noting the existing </w:t>
      </w:r>
      <w:r w:rsidR="00EA191D" w:rsidRPr="000D03D3">
        <w:t xml:space="preserve">Forage and fodder of cereal grains </w:t>
      </w:r>
      <w:r w:rsidR="00BB3362" w:rsidRPr="000D03D3">
        <w:t xml:space="preserve">MRL </w:t>
      </w:r>
      <w:r w:rsidR="00295D71" w:rsidRPr="000D03D3">
        <w:t>at 2</w:t>
      </w:r>
      <w:r w:rsidR="006C2F1E">
        <w:t> </w:t>
      </w:r>
      <w:r w:rsidR="00295D71" w:rsidRPr="000D03D3">
        <w:t>mg/kg</w:t>
      </w:r>
      <w:r w:rsidR="00BB3362" w:rsidRPr="000D03D3">
        <w:t>, the risk to trade in animal commodities remains unchanged and does not require further consideration.</w:t>
      </w:r>
    </w:p>
    <w:p w14:paraId="4E7D018C" w14:textId="6C3CF155" w:rsidR="006D36C8" w:rsidRPr="000D03D3" w:rsidRDefault="006D36C8" w:rsidP="000D03D3">
      <w:pPr>
        <w:pStyle w:val="Heading2"/>
      </w:pPr>
      <w:bookmarkStart w:id="15" w:name="_Toc231889745"/>
      <w:bookmarkStart w:id="16" w:name="_Toc2243848"/>
      <w:bookmarkStart w:id="17" w:name="_Toc156287456"/>
      <w:r w:rsidRPr="000D03D3">
        <w:t>Destination and value of exports</w:t>
      </w:r>
      <w:bookmarkEnd w:id="15"/>
      <w:bookmarkEnd w:id="16"/>
      <w:bookmarkEnd w:id="17"/>
    </w:p>
    <w:p w14:paraId="170AE472" w14:textId="14AED05E" w:rsidR="001B2BCB" w:rsidRPr="000D03D3" w:rsidRDefault="001B2BCB" w:rsidP="000D03D3">
      <w:pPr>
        <w:pStyle w:val="APVMAText"/>
      </w:pPr>
      <w:r w:rsidRPr="000D03D3">
        <w:t xml:space="preserve">According to </w:t>
      </w:r>
      <w:r w:rsidR="00EA191D" w:rsidRPr="000D03D3">
        <w:t>the Australian Bureau of Agricultural and Resource Economics and Sciences (</w:t>
      </w:r>
      <w:r w:rsidRPr="000D03D3">
        <w:t>ABARES</w:t>
      </w:r>
      <w:r w:rsidR="00EA191D" w:rsidRPr="000D03D3">
        <w:t>)</w:t>
      </w:r>
      <w:r w:rsidRPr="000D03D3">
        <w:t>, almost 1.2</w:t>
      </w:r>
      <w:r w:rsidR="006C2F1E">
        <w:t> </w:t>
      </w:r>
      <w:r w:rsidRPr="000D03D3">
        <w:t>million tonnes of hay was exported from Australia in 2020, amounting to $584</w:t>
      </w:r>
      <w:r w:rsidR="006C2F1E">
        <w:t> </w:t>
      </w:r>
      <w:r w:rsidRPr="000D03D3">
        <w:t>million in 2019</w:t>
      </w:r>
      <w:r w:rsidR="006C2F1E">
        <w:t>–</w:t>
      </w:r>
      <w:r w:rsidRPr="000D03D3">
        <w:t>20. Oaten hay is the dominant hay exported from Australia</w:t>
      </w:r>
      <w:r w:rsidR="00A027B9" w:rsidRPr="006C2F1E">
        <w:rPr>
          <w:rStyle w:val="FootnoteReference"/>
        </w:rPr>
        <w:footnoteReference w:id="3"/>
      </w:r>
      <w:r w:rsidRPr="000D03D3">
        <w:t xml:space="preserve">. The exports of oaten hay in 2020 </w:t>
      </w:r>
      <w:r w:rsidR="00C02A44" w:rsidRPr="000D03D3">
        <w:t>we</w:t>
      </w:r>
      <w:r w:rsidRPr="000D03D3">
        <w:t>re close to 1</w:t>
      </w:r>
      <w:r w:rsidR="006C2F1E">
        <w:t> </w:t>
      </w:r>
      <w:r w:rsidRPr="000D03D3">
        <w:t>million tonnes</w:t>
      </w:r>
      <w:r w:rsidR="00A027B9" w:rsidRPr="006C2F1E">
        <w:rPr>
          <w:rStyle w:val="FootnoteReference"/>
        </w:rPr>
        <w:footnoteReference w:id="4"/>
      </w:r>
      <w:r w:rsidRPr="000D03D3">
        <w:t>. In 2022</w:t>
      </w:r>
      <w:r w:rsidR="006C2F1E">
        <w:t>–</w:t>
      </w:r>
      <w:r w:rsidRPr="000D03D3">
        <w:t xml:space="preserve">23, the value of oaten hay exports </w:t>
      </w:r>
      <w:r w:rsidR="008763B5" w:rsidRPr="000D03D3">
        <w:t>wa</w:t>
      </w:r>
      <w:r w:rsidRPr="000D03D3">
        <w:t>s around $349</w:t>
      </w:r>
      <w:r w:rsidR="006C2F1E">
        <w:t> </w:t>
      </w:r>
      <w:r w:rsidRPr="000D03D3">
        <w:t>million</w:t>
      </w:r>
      <w:r w:rsidR="00A027B9" w:rsidRPr="006C2F1E">
        <w:rPr>
          <w:rStyle w:val="FootnoteReference"/>
        </w:rPr>
        <w:footnoteReference w:id="5"/>
      </w:r>
      <w:r w:rsidRPr="000D03D3">
        <w:t>.</w:t>
      </w:r>
    </w:p>
    <w:p w14:paraId="189C9D6E" w14:textId="7E882526" w:rsidR="006D36C8" w:rsidRPr="000D03D3" w:rsidRDefault="000D03D3" w:rsidP="000D03D3">
      <w:pPr>
        <w:pStyle w:val="Caption"/>
      </w:pPr>
      <w:bookmarkStart w:id="18" w:name="_Toc156287465"/>
      <w:r w:rsidRPr="00B05454">
        <w:t xml:space="preserve">Table </w:t>
      </w:r>
      <w:fldSimple w:instr=" SEQ Table \* ARABIC ">
        <w:r w:rsidR="00243457">
          <w:rPr>
            <w:noProof/>
          </w:rPr>
          <w:t>1</w:t>
        </w:r>
      </w:fldSimple>
      <w:r w:rsidRPr="00B05454">
        <w:t>:</w:t>
      </w:r>
      <w:r w:rsidRPr="00B05454">
        <w:tab/>
      </w:r>
      <w:r w:rsidR="001B2BCB" w:rsidRPr="000D03D3">
        <w:t>Key export markets for Australian fodder crops (including oaten hay)</w:t>
      </w:r>
      <w:r w:rsidR="00A027B9" w:rsidRPr="006C2F1E">
        <w:rPr>
          <w:rStyle w:val="FootnoteReference"/>
        </w:rPr>
        <w:footnoteReference w:id="6"/>
      </w:r>
      <w:bookmarkEnd w:id="18"/>
    </w:p>
    <w:tbl>
      <w:tblPr>
        <w:tblW w:w="5000" w:type="pct"/>
        <w:tblBorders>
          <w:bottom w:val="dotted" w:sz="2" w:space="0" w:color="auto"/>
          <w:insideH w:val="dotted" w:sz="2" w:space="0" w:color="auto"/>
        </w:tblBorders>
        <w:tblLook w:val="0020" w:firstRow="1" w:lastRow="0" w:firstColumn="0" w:lastColumn="0" w:noHBand="0" w:noVBand="0"/>
      </w:tblPr>
      <w:tblGrid>
        <w:gridCol w:w="2988"/>
        <w:gridCol w:w="6650"/>
      </w:tblGrid>
      <w:tr w:rsidR="001B2BCB" w14:paraId="031C08C9" w14:textId="77777777" w:rsidTr="006C2F1E">
        <w:trPr>
          <w:trHeight w:val="208"/>
          <w:tblHeader/>
        </w:trPr>
        <w:tc>
          <w:tcPr>
            <w:tcW w:w="1550" w:type="pct"/>
            <w:tcBorders>
              <w:top w:val="single" w:sz="4" w:space="0" w:color="auto"/>
              <w:bottom w:val="single" w:sz="4" w:space="0" w:color="auto"/>
            </w:tcBorders>
            <w:shd w:val="clear" w:color="auto" w:fill="00747A" w:themeFill="background2"/>
            <w:vAlign w:val="center"/>
          </w:tcPr>
          <w:p w14:paraId="6F065797" w14:textId="60896CB5" w:rsidR="001B2BCB" w:rsidRDefault="001B2BCB" w:rsidP="000D03D3">
            <w:pPr>
              <w:pStyle w:val="APVMATableHead"/>
            </w:pPr>
            <w:r>
              <w:t>Crop</w:t>
            </w:r>
          </w:p>
        </w:tc>
        <w:tc>
          <w:tcPr>
            <w:tcW w:w="3450" w:type="pct"/>
            <w:tcBorders>
              <w:top w:val="single" w:sz="4" w:space="0" w:color="auto"/>
              <w:bottom w:val="single" w:sz="4" w:space="0" w:color="auto"/>
            </w:tcBorders>
            <w:shd w:val="clear" w:color="auto" w:fill="00747A" w:themeFill="background2"/>
            <w:vAlign w:val="center"/>
          </w:tcPr>
          <w:p w14:paraId="615B3563" w14:textId="77777777" w:rsidR="001B2BCB" w:rsidRDefault="001B2BCB" w:rsidP="000D03D3">
            <w:pPr>
              <w:pStyle w:val="APVMATableHead"/>
            </w:pPr>
            <w:r>
              <w:t>Major destinations</w:t>
            </w:r>
          </w:p>
        </w:tc>
      </w:tr>
      <w:tr w:rsidR="001B2BCB" w14:paraId="7B083782" w14:textId="77777777" w:rsidTr="006C2F1E">
        <w:trPr>
          <w:trHeight w:val="260"/>
        </w:trPr>
        <w:tc>
          <w:tcPr>
            <w:tcW w:w="1550" w:type="pct"/>
            <w:tcBorders>
              <w:top w:val="single" w:sz="4" w:space="0" w:color="auto"/>
              <w:bottom w:val="single" w:sz="4" w:space="0" w:color="auto"/>
            </w:tcBorders>
            <w:vAlign w:val="center"/>
          </w:tcPr>
          <w:p w14:paraId="6589B71F" w14:textId="2B11C8FB" w:rsidR="001B2BCB" w:rsidRPr="000D03D3" w:rsidRDefault="001B2BCB" w:rsidP="000D03D3">
            <w:pPr>
              <w:pStyle w:val="APVMATableText"/>
            </w:pPr>
            <w:r w:rsidRPr="000D03D3">
              <w:t>Fodder crops (including oaten hay)</w:t>
            </w:r>
          </w:p>
        </w:tc>
        <w:tc>
          <w:tcPr>
            <w:tcW w:w="3450" w:type="pct"/>
            <w:tcBorders>
              <w:top w:val="single" w:sz="4" w:space="0" w:color="auto"/>
              <w:bottom w:val="single" w:sz="4" w:space="0" w:color="auto"/>
            </w:tcBorders>
            <w:vAlign w:val="center"/>
          </w:tcPr>
          <w:p w14:paraId="6F4311A1" w14:textId="49727992" w:rsidR="001B2BCB" w:rsidRPr="000D03D3" w:rsidRDefault="006338D9" w:rsidP="000D03D3">
            <w:pPr>
              <w:pStyle w:val="APVMATableText"/>
            </w:pPr>
            <w:r w:rsidRPr="000D03D3">
              <w:t>Japan, Korea, China and Taiwan</w:t>
            </w:r>
          </w:p>
        </w:tc>
      </w:tr>
    </w:tbl>
    <w:p w14:paraId="3EC6D648" w14:textId="4F3CD01D" w:rsidR="006D36C8" w:rsidRPr="000D03D3" w:rsidRDefault="007B1953" w:rsidP="000D03D3">
      <w:pPr>
        <w:pStyle w:val="Heading2"/>
      </w:pPr>
      <w:bookmarkStart w:id="19" w:name="_Toc231889746"/>
      <w:bookmarkStart w:id="20" w:name="_Toc2243849"/>
      <w:bookmarkStart w:id="21" w:name="_Toc156287457"/>
      <w:r w:rsidRPr="000D03D3">
        <w:lastRenderedPageBreak/>
        <w:t xml:space="preserve">Proposed Australian use </w:t>
      </w:r>
      <w:r w:rsidR="006D36C8" w:rsidRPr="000D03D3">
        <w:t>pattern</w:t>
      </w:r>
      <w:bookmarkEnd w:id="19"/>
      <w:bookmarkEnd w:id="20"/>
      <w:bookmarkEnd w:id="21"/>
    </w:p>
    <w:p w14:paraId="68974D99" w14:textId="4128D8B0" w:rsidR="006338D9" w:rsidRPr="000D03D3" w:rsidRDefault="000D03D3" w:rsidP="000D03D3">
      <w:pPr>
        <w:pStyle w:val="Caption"/>
      </w:pPr>
      <w:bookmarkStart w:id="22" w:name="_Toc96611081"/>
      <w:bookmarkStart w:id="23" w:name="_Toc97042674"/>
      <w:bookmarkStart w:id="24" w:name="_Toc156287466"/>
      <w:r w:rsidRPr="00B05454">
        <w:t xml:space="preserve">Table </w:t>
      </w:r>
      <w:fldSimple w:instr=" SEQ Table \* ARABIC ">
        <w:r w:rsidR="00243457">
          <w:rPr>
            <w:noProof/>
          </w:rPr>
          <w:t>2</w:t>
        </w:r>
      </w:fldSimple>
      <w:r w:rsidRPr="00B05454">
        <w:t>:</w:t>
      </w:r>
      <w:r w:rsidRPr="00B05454">
        <w:tab/>
      </w:r>
      <w:r w:rsidR="006338D9" w:rsidRPr="000D03D3">
        <w:t>Proposed use pattern – Trojan Insecticide (150</w:t>
      </w:r>
      <w:r w:rsidR="006C2F1E">
        <w:t> </w:t>
      </w:r>
      <w:r w:rsidR="006338D9" w:rsidRPr="000D03D3">
        <w:t>g/L gamma-cyhalothrin)</w:t>
      </w:r>
      <w:bookmarkEnd w:id="22"/>
      <w:bookmarkEnd w:id="23"/>
      <w:bookmarkEnd w:id="24"/>
    </w:p>
    <w:tbl>
      <w:tblPr>
        <w:tblW w:w="5000" w:type="pct"/>
        <w:tblBorders>
          <w:bottom w:val="single" w:sz="4" w:space="0" w:color="auto"/>
          <w:insideH w:val="single" w:sz="4" w:space="0" w:color="auto"/>
        </w:tblBorders>
        <w:tblLook w:val="0020" w:firstRow="1" w:lastRow="0" w:firstColumn="0" w:lastColumn="0" w:noHBand="0" w:noVBand="0"/>
      </w:tblPr>
      <w:tblGrid>
        <w:gridCol w:w="1280"/>
        <w:gridCol w:w="2063"/>
        <w:gridCol w:w="2494"/>
        <w:gridCol w:w="3801"/>
      </w:tblGrid>
      <w:tr w:rsidR="006338D9" w14:paraId="030214F1" w14:textId="77777777" w:rsidTr="006C2F1E">
        <w:trPr>
          <w:tblHeader/>
        </w:trPr>
        <w:tc>
          <w:tcPr>
            <w:tcW w:w="664" w:type="pct"/>
            <w:tcBorders>
              <w:top w:val="single" w:sz="4" w:space="0" w:color="auto"/>
              <w:bottom w:val="single" w:sz="4" w:space="0" w:color="auto"/>
            </w:tcBorders>
            <w:shd w:val="clear" w:color="auto" w:fill="00747A" w:themeFill="background2"/>
            <w:vAlign w:val="bottom"/>
          </w:tcPr>
          <w:p w14:paraId="0F88D6FA" w14:textId="77777777" w:rsidR="006338D9" w:rsidRPr="000D03D3" w:rsidRDefault="006338D9" w:rsidP="000D03D3">
            <w:pPr>
              <w:pStyle w:val="APVMATableHead"/>
            </w:pPr>
            <w:r w:rsidRPr="000D03D3">
              <w:t>Crop</w:t>
            </w:r>
          </w:p>
        </w:tc>
        <w:tc>
          <w:tcPr>
            <w:tcW w:w="1070" w:type="pct"/>
            <w:tcBorders>
              <w:top w:val="single" w:sz="4" w:space="0" w:color="auto"/>
              <w:bottom w:val="single" w:sz="4" w:space="0" w:color="auto"/>
            </w:tcBorders>
            <w:shd w:val="clear" w:color="auto" w:fill="00747A" w:themeFill="background2"/>
            <w:vAlign w:val="bottom"/>
          </w:tcPr>
          <w:p w14:paraId="0FABF9FB" w14:textId="77777777" w:rsidR="006338D9" w:rsidRPr="000D03D3" w:rsidRDefault="006338D9" w:rsidP="000D03D3">
            <w:pPr>
              <w:pStyle w:val="APVMATableHead"/>
            </w:pPr>
            <w:r w:rsidRPr="000D03D3">
              <w:t>Pest</w:t>
            </w:r>
          </w:p>
        </w:tc>
        <w:tc>
          <w:tcPr>
            <w:tcW w:w="1294" w:type="pct"/>
            <w:tcBorders>
              <w:top w:val="single" w:sz="4" w:space="0" w:color="auto"/>
              <w:bottom w:val="single" w:sz="4" w:space="0" w:color="auto"/>
            </w:tcBorders>
            <w:shd w:val="clear" w:color="auto" w:fill="00747A" w:themeFill="background2"/>
            <w:vAlign w:val="bottom"/>
          </w:tcPr>
          <w:p w14:paraId="53A1DEC2" w14:textId="77777777" w:rsidR="006338D9" w:rsidRPr="000D03D3" w:rsidRDefault="006338D9" w:rsidP="000D03D3">
            <w:pPr>
              <w:pStyle w:val="APVMATableHead"/>
              <w:jc w:val="right"/>
            </w:pPr>
            <w:r w:rsidRPr="000D03D3">
              <w:t>Rate/concentration</w:t>
            </w:r>
          </w:p>
        </w:tc>
        <w:tc>
          <w:tcPr>
            <w:tcW w:w="1972" w:type="pct"/>
            <w:tcBorders>
              <w:top w:val="single" w:sz="4" w:space="0" w:color="auto"/>
              <w:bottom w:val="single" w:sz="4" w:space="0" w:color="auto"/>
            </w:tcBorders>
            <w:shd w:val="clear" w:color="auto" w:fill="00747A" w:themeFill="background2"/>
          </w:tcPr>
          <w:p w14:paraId="03EBAABF" w14:textId="77777777" w:rsidR="006338D9" w:rsidRPr="000D03D3" w:rsidRDefault="006338D9" w:rsidP="000D03D3">
            <w:pPr>
              <w:pStyle w:val="APVMATableHead"/>
            </w:pPr>
            <w:r w:rsidRPr="000D03D3">
              <w:t>Critical comments</w:t>
            </w:r>
          </w:p>
        </w:tc>
      </w:tr>
      <w:tr w:rsidR="002026BB" w14:paraId="4827C471" w14:textId="77777777" w:rsidTr="006C2F1E">
        <w:trPr>
          <w:cantSplit/>
        </w:trPr>
        <w:tc>
          <w:tcPr>
            <w:tcW w:w="664" w:type="pct"/>
            <w:vMerge w:val="restart"/>
            <w:tcBorders>
              <w:top w:val="single" w:sz="4" w:space="0" w:color="auto"/>
              <w:bottom w:val="nil"/>
            </w:tcBorders>
          </w:tcPr>
          <w:p w14:paraId="01EA13D5" w14:textId="555948EC" w:rsidR="002026BB" w:rsidRPr="000D03D3" w:rsidRDefault="002026BB" w:rsidP="000D03D3">
            <w:pPr>
              <w:pStyle w:val="APVMATableText"/>
            </w:pPr>
            <w:r w:rsidRPr="000D03D3">
              <w:t xml:space="preserve">Oats, </w:t>
            </w:r>
            <w:r w:rsidR="006C2F1E" w:rsidRPr="000D03D3">
              <w:t>triticale and cereal rye</w:t>
            </w:r>
          </w:p>
        </w:tc>
        <w:tc>
          <w:tcPr>
            <w:tcW w:w="1070" w:type="pct"/>
            <w:tcBorders>
              <w:top w:val="single" w:sz="4" w:space="0" w:color="auto"/>
              <w:bottom w:val="single" w:sz="4" w:space="0" w:color="auto"/>
            </w:tcBorders>
          </w:tcPr>
          <w:p w14:paraId="0C07814A" w14:textId="08934B8A" w:rsidR="002026BB" w:rsidRPr="000D03D3" w:rsidRDefault="002026BB" w:rsidP="000D03D3">
            <w:pPr>
              <w:pStyle w:val="APVMATableText"/>
            </w:pPr>
            <w:r w:rsidRPr="000D03D3">
              <w:t>Pasture Webworm (</w:t>
            </w:r>
            <w:proofErr w:type="spellStart"/>
            <w:r w:rsidRPr="000D03D3">
              <w:rPr>
                <w:i/>
                <w:iCs/>
              </w:rPr>
              <w:t>Hednota</w:t>
            </w:r>
            <w:proofErr w:type="spellEnd"/>
            <w:r w:rsidRPr="000D03D3">
              <w:t xml:space="preserve"> spp.)</w:t>
            </w:r>
          </w:p>
        </w:tc>
        <w:tc>
          <w:tcPr>
            <w:tcW w:w="1294" w:type="pct"/>
            <w:tcBorders>
              <w:top w:val="single" w:sz="4" w:space="0" w:color="auto"/>
              <w:bottom w:val="single" w:sz="4" w:space="0" w:color="auto"/>
            </w:tcBorders>
          </w:tcPr>
          <w:p w14:paraId="78C49850" w14:textId="557A5EB2" w:rsidR="002026BB" w:rsidRPr="000D03D3" w:rsidRDefault="002026BB" w:rsidP="006C2F1E">
            <w:pPr>
              <w:pStyle w:val="APVMATableText"/>
              <w:jc w:val="right"/>
            </w:pPr>
            <w:r w:rsidRPr="000D03D3">
              <w:t>10</w:t>
            </w:r>
            <w:r w:rsidR="006C2F1E">
              <w:t> </w:t>
            </w:r>
            <w:r w:rsidRPr="000D03D3">
              <w:t>mL/ha</w:t>
            </w:r>
            <w:r w:rsidR="006C2F1E">
              <w:br/>
            </w:r>
            <w:r w:rsidRPr="000D03D3">
              <w:t>(1.5</w:t>
            </w:r>
            <w:r w:rsidR="006C2F1E">
              <w:t> </w:t>
            </w:r>
            <w:r w:rsidRPr="000D03D3">
              <w:t>g ai/ha)</w:t>
            </w:r>
          </w:p>
        </w:tc>
        <w:tc>
          <w:tcPr>
            <w:tcW w:w="1972" w:type="pct"/>
            <w:tcBorders>
              <w:top w:val="single" w:sz="4" w:space="0" w:color="auto"/>
              <w:bottom w:val="single" w:sz="4" w:space="0" w:color="auto"/>
            </w:tcBorders>
          </w:tcPr>
          <w:p w14:paraId="076D91D6" w14:textId="77777777" w:rsidR="002026BB" w:rsidRPr="000D03D3" w:rsidRDefault="002026BB" w:rsidP="000D03D3">
            <w:pPr>
              <w:pStyle w:val="APVMATableText"/>
            </w:pPr>
            <w:r w:rsidRPr="000D03D3">
              <w:t>Pre-seeding: The product can be tank mixed with knock down herbicides.</w:t>
            </w:r>
          </w:p>
          <w:p w14:paraId="5ACB667E" w14:textId="4A2EEF45" w:rsidR="002026BB" w:rsidRPr="000D03D3" w:rsidRDefault="002026BB" w:rsidP="000D03D3">
            <w:pPr>
              <w:pStyle w:val="APVMATableText"/>
            </w:pPr>
            <w:r w:rsidRPr="000D03D3">
              <w:t>Post crop emergence: Inspect crop regularly from sowing. Spray at first sign of damage. Use a minimum of 50</w:t>
            </w:r>
            <w:r w:rsidR="006C2F1E">
              <w:t> </w:t>
            </w:r>
            <w:r w:rsidRPr="000D03D3">
              <w:t>L water/ha. Apply at first sign of infestation before larvae are 10</w:t>
            </w:r>
            <w:r w:rsidR="006C2F1E">
              <w:t> </w:t>
            </w:r>
            <w:r w:rsidRPr="000D03D3">
              <w:t>mm long.</w:t>
            </w:r>
          </w:p>
        </w:tc>
      </w:tr>
      <w:tr w:rsidR="002026BB" w14:paraId="3CB786B0" w14:textId="77777777" w:rsidTr="006C2F1E">
        <w:trPr>
          <w:cantSplit/>
        </w:trPr>
        <w:tc>
          <w:tcPr>
            <w:tcW w:w="664" w:type="pct"/>
            <w:vMerge/>
            <w:tcBorders>
              <w:top w:val="nil"/>
              <w:bottom w:val="nil"/>
            </w:tcBorders>
          </w:tcPr>
          <w:p w14:paraId="42D3696A" w14:textId="77777777" w:rsidR="002026BB" w:rsidRPr="000D03D3" w:rsidRDefault="002026BB" w:rsidP="000D03D3">
            <w:pPr>
              <w:pStyle w:val="APVMATableText"/>
            </w:pPr>
          </w:p>
        </w:tc>
        <w:tc>
          <w:tcPr>
            <w:tcW w:w="1070" w:type="pct"/>
            <w:tcBorders>
              <w:top w:val="single" w:sz="4" w:space="0" w:color="auto"/>
              <w:bottom w:val="nil"/>
            </w:tcBorders>
          </w:tcPr>
          <w:p w14:paraId="703A2464" w14:textId="69575C51" w:rsidR="000E3F4D" w:rsidRPr="000D03D3" w:rsidRDefault="002026BB" w:rsidP="000D03D3">
            <w:pPr>
              <w:pStyle w:val="APVMATableText"/>
            </w:pPr>
            <w:r w:rsidRPr="000D03D3">
              <w:t>Pink or Brown Cutworm</w:t>
            </w:r>
            <w:r w:rsidR="006C2F1E">
              <w:t xml:space="preserve"> </w:t>
            </w:r>
            <w:r w:rsidRPr="000D03D3">
              <w:t>(</w:t>
            </w:r>
            <w:r w:rsidRPr="000D03D3">
              <w:rPr>
                <w:i/>
                <w:iCs/>
              </w:rPr>
              <w:t>Agrotis munda</w:t>
            </w:r>
            <w:r w:rsidRPr="000D03D3">
              <w:t>)</w:t>
            </w:r>
          </w:p>
          <w:p w14:paraId="437FE000" w14:textId="02A09758" w:rsidR="00EC53C7" w:rsidRPr="000D03D3" w:rsidRDefault="00EC53C7" w:rsidP="006C2F1E">
            <w:pPr>
              <w:pStyle w:val="APVMATableText"/>
            </w:pPr>
            <w:r w:rsidRPr="000D03D3">
              <w:t>Common Cutworm</w:t>
            </w:r>
            <w:r w:rsidR="006C2F1E">
              <w:t xml:space="preserve"> </w:t>
            </w:r>
            <w:r w:rsidRPr="000D03D3">
              <w:t>(</w:t>
            </w:r>
            <w:r w:rsidRPr="000D03D3">
              <w:rPr>
                <w:i/>
                <w:iCs/>
              </w:rPr>
              <w:t>Agrotis infusa</w:t>
            </w:r>
            <w:r w:rsidRPr="000D03D3">
              <w:t>)</w:t>
            </w:r>
          </w:p>
        </w:tc>
        <w:tc>
          <w:tcPr>
            <w:tcW w:w="1294" w:type="pct"/>
            <w:tcBorders>
              <w:top w:val="single" w:sz="4" w:space="0" w:color="auto"/>
            </w:tcBorders>
          </w:tcPr>
          <w:p w14:paraId="1BC12756" w14:textId="6C106B96" w:rsidR="002026BB" w:rsidRPr="000D03D3" w:rsidRDefault="002026BB" w:rsidP="006C2F1E">
            <w:pPr>
              <w:pStyle w:val="APVMATableTextRight"/>
            </w:pPr>
            <w:r w:rsidRPr="000D03D3">
              <w:t>10 or 15</w:t>
            </w:r>
            <w:r w:rsidR="006C2F1E">
              <w:t> </w:t>
            </w:r>
            <w:r w:rsidRPr="000D03D3">
              <w:t>mL/ha</w:t>
            </w:r>
            <w:r w:rsidR="006C2F1E">
              <w:br/>
            </w:r>
            <w:r w:rsidRPr="000D03D3">
              <w:t>(1.5</w:t>
            </w:r>
            <w:r w:rsidR="006C2F1E">
              <w:t> </w:t>
            </w:r>
            <w:r w:rsidRPr="000D03D3">
              <w:t>or 2.25</w:t>
            </w:r>
            <w:r w:rsidR="006C2F1E">
              <w:t> </w:t>
            </w:r>
            <w:r w:rsidRPr="000D03D3">
              <w:t>g ai/ha)</w:t>
            </w:r>
          </w:p>
        </w:tc>
        <w:tc>
          <w:tcPr>
            <w:tcW w:w="1972" w:type="pct"/>
            <w:tcBorders>
              <w:top w:val="single" w:sz="4" w:space="0" w:color="auto"/>
              <w:bottom w:val="nil"/>
            </w:tcBorders>
          </w:tcPr>
          <w:p w14:paraId="5C0EBEB8" w14:textId="2D7BDC94" w:rsidR="002026BB" w:rsidRPr="000D03D3" w:rsidRDefault="002026BB" w:rsidP="000D03D3">
            <w:pPr>
              <w:pStyle w:val="APVMATableText"/>
            </w:pPr>
            <w:r w:rsidRPr="000D03D3">
              <w:t>For best results apply at first sign of</w:t>
            </w:r>
            <w:r w:rsidR="00014F13" w:rsidRPr="000D03D3">
              <w:t xml:space="preserve"> </w:t>
            </w:r>
            <w:r w:rsidRPr="000D03D3">
              <w:t>infestation before larvae are 10</w:t>
            </w:r>
            <w:r w:rsidR="006C2F1E">
              <w:t> </w:t>
            </w:r>
            <w:r w:rsidRPr="000D03D3">
              <w:t>mm long. If larvae are larger than 10</w:t>
            </w:r>
            <w:r w:rsidR="006C2F1E">
              <w:t> </w:t>
            </w:r>
            <w:r w:rsidRPr="000D03D3">
              <w:t>mm use the higher rate. Use a minimum of 50</w:t>
            </w:r>
            <w:r w:rsidR="006C2F1E">
              <w:t> </w:t>
            </w:r>
            <w:r w:rsidRPr="000D03D3">
              <w:t>L water.</w:t>
            </w:r>
          </w:p>
        </w:tc>
      </w:tr>
      <w:tr w:rsidR="002026BB" w14:paraId="7A0A20F5" w14:textId="77777777" w:rsidTr="006C2F1E">
        <w:trPr>
          <w:cantSplit/>
        </w:trPr>
        <w:tc>
          <w:tcPr>
            <w:tcW w:w="664" w:type="pct"/>
            <w:vMerge/>
          </w:tcPr>
          <w:p w14:paraId="5E77990C" w14:textId="77777777" w:rsidR="002026BB" w:rsidRPr="000D03D3" w:rsidRDefault="002026BB" w:rsidP="000D03D3">
            <w:pPr>
              <w:pStyle w:val="APVMATableText"/>
            </w:pPr>
          </w:p>
        </w:tc>
        <w:tc>
          <w:tcPr>
            <w:tcW w:w="1070" w:type="pct"/>
          </w:tcPr>
          <w:p w14:paraId="7CF6CA63" w14:textId="77777777" w:rsidR="002026BB" w:rsidRPr="000D03D3" w:rsidRDefault="000E3F4D" w:rsidP="000D03D3">
            <w:pPr>
              <w:pStyle w:val="APVMATableText"/>
            </w:pPr>
            <w:r w:rsidRPr="000D03D3">
              <w:t>Common armyworm (</w:t>
            </w:r>
            <w:r w:rsidRPr="000D03D3">
              <w:rPr>
                <w:i/>
                <w:iCs/>
              </w:rPr>
              <w:t>Leucania convecta</w:t>
            </w:r>
            <w:r w:rsidRPr="000D03D3">
              <w:t>)</w:t>
            </w:r>
          </w:p>
          <w:p w14:paraId="51717F62" w14:textId="77777777" w:rsidR="000E3F4D" w:rsidRPr="000D03D3" w:rsidRDefault="000E3F4D" w:rsidP="000D03D3">
            <w:pPr>
              <w:pStyle w:val="APVMATableText"/>
            </w:pPr>
            <w:r w:rsidRPr="000D03D3">
              <w:t>Southern armyworm (</w:t>
            </w:r>
            <w:r w:rsidRPr="000D03D3">
              <w:rPr>
                <w:i/>
                <w:iCs/>
              </w:rPr>
              <w:t>Persectania ewingii</w:t>
            </w:r>
            <w:r w:rsidRPr="000D03D3">
              <w:t>)</w:t>
            </w:r>
          </w:p>
          <w:p w14:paraId="0A30C518" w14:textId="77777777" w:rsidR="000E3F4D" w:rsidRPr="000D03D3" w:rsidRDefault="000E3F4D" w:rsidP="000D03D3">
            <w:pPr>
              <w:pStyle w:val="APVMATableText"/>
            </w:pPr>
            <w:r w:rsidRPr="000D03D3">
              <w:t>Inland armyworm (</w:t>
            </w:r>
            <w:r w:rsidRPr="000D03D3">
              <w:rPr>
                <w:i/>
                <w:iCs/>
              </w:rPr>
              <w:t>Persectania dyscrita</w:t>
            </w:r>
            <w:r w:rsidRPr="000D03D3">
              <w:t>)</w:t>
            </w:r>
          </w:p>
          <w:p w14:paraId="2D375ABF" w14:textId="0C05F22E" w:rsidR="000E3F4D" w:rsidRPr="000D03D3" w:rsidRDefault="000E3F4D" w:rsidP="000D03D3">
            <w:pPr>
              <w:pStyle w:val="APVMATableText"/>
            </w:pPr>
            <w:r w:rsidRPr="000D03D3">
              <w:t>Northern armyworm (</w:t>
            </w:r>
            <w:r w:rsidRPr="000D03D3">
              <w:rPr>
                <w:i/>
                <w:iCs/>
              </w:rPr>
              <w:t>Mythimna separata</w:t>
            </w:r>
            <w:r w:rsidRPr="000D03D3">
              <w:t>)</w:t>
            </w:r>
          </w:p>
        </w:tc>
        <w:tc>
          <w:tcPr>
            <w:tcW w:w="1294" w:type="pct"/>
          </w:tcPr>
          <w:p w14:paraId="3FA10EC1" w14:textId="05357401" w:rsidR="002026BB" w:rsidRPr="000D03D3" w:rsidRDefault="000E3F4D" w:rsidP="006C2F1E">
            <w:pPr>
              <w:pStyle w:val="APVMATableTextRight"/>
            </w:pPr>
            <w:r w:rsidRPr="000D03D3">
              <w:t>30</w:t>
            </w:r>
            <w:r w:rsidR="006C2F1E">
              <w:t> </w:t>
            </w:r>
            <w:r w:rsidRPr="000D03D3">
              <w:t>mL/ha</w:t>
            </w:r>
            <w:r w:rsidR="006C2F1E">
              <w:br/>
            </w:r>
            <w:r w:rsidRPr="000D03D3">
              <w:t>(4.5</w:t>
            </w:r>
            <w:r w:rsidR="006C2F1E">
              <w:t> </w:t>
            </w:r>
            <w:r w:rsidRPr="000D03D3">
              <w:t>g ai/ha)</w:t>
            </w:r>
          </w:p>
        </w:tc>
        <w:tc>
          <w:tcPr>
            <w:tcW w:w="1972" w:type="pct"/>
          </w:tcPr>
          <w:p w14:paraId="6F2F3BC6" w14:textId="13D94D9B" w:rsidR="000E3F4D" w:rsidRPr="000D03D3" w:rsidRDefault="000E3F4D" w:rsidP="000D03D3">
            <w:pPr>
              <w:pStyle w:val="APVMATableText"/>
            </w:pPr>
            <w:r w:rsidRPr="000D03D3">
              <w:t xml:space="preserve">Apply before </w:t>
            </w:r>
            <w:r w:rsidR="008E7BF1">
              <w:t>‘</w:t>
            </w:r>
            <w:r w:rsidRPr="000D03D3">
              <w:t>head lopping</w:t>
            </w:r>
            <w:r w:rsidR="008E7BF1">
              <w:t>’</w:t>
            </w:r>
            <w:r w:rsidRPr="000D03D3">
              <w:t xml:space="preserve"> occurs when larvae numbers exceed economic spray thresholds.</w:t>
            </w:r>
          </w:p>
          <w:p w14:paraId="02151CC9" w14:textId="77777777" w:rsidR="000E3F4D" w:rsidRPr="000D03D3" w:rsidRDefault="000E3F4D" w:rsidP="000D03D3">
            <w:pPr>
              <w:pStyle w:val="APVMATableText"/>
            </w:pPr>
            <w:r w:rsidRPr="000D03D3">
              <w:t>Spray on the cool of the day (late afternoon) when larvae are most active and feeding.</w:t>
            </w:r>
          </w:p>
          <w:p w14:paraId="7EFDF640" w14:textId="77777777" w:rsidR="000E3F4D" w:rsidRPr="000D03D3" w:rsidRDefault="000E3F4D" w:rsidP="000D03D3">
            <w:pPr>
              <w:pStyle w:val="APVMATableText"/>
            </w:pPr>
            <w:r w:rsidRPr="000D03D3">
              <w:t>Target small to medium sized larvae to minimise crop damage.</w:t>
            </w:r>
          </w:p>
          <w:p w14:paraId="6FDCEE09" w14:textId="2728A424" w:rsidR="000E3F4D" w:rsidRPr="000D03D3" w:rsidRDefault="000E3F4D" w:rsidP="000D03D3">
            <w:pPr>
              <w:pStyle w:val="APVMATableText"/>
            </w:pPr>
            <w:r w:rsidRPr="000D03D3">
              <w:t xml:space="preserve">Spray to achieve good crop penetration using a medium spray quality and minimum water volumes of 80 </w:t>
            </w:r>
            <w:r w:rsidR="006C2F1E">
              <w:t>to</w:t>
            </w:r>
            <w:r w:rsidRPr="000D03D3">
              <w:t xml:space="preserve"> 100</w:t>
            </w:r>
            <w:r w:rsidR="006C2F1E">
              <w:t> </w:t>
            </w:r>
            <w:r w:rsidRPr="000D03D3">
              <w:t>L/ha. Poor control may occur on crops that have lodged or have large canopies.</w:t>
            </w:r>
          </w:p>
          <w:p w14:paraId="20BFD2E3" w14:textId="09A4B8B3" w:rsidR="002026BB" w:rsidRPr="000D03D3" w:rsidRDefault="000E3F4D" w:rsidP="000D03D3">
            <w:pPr>
              <w:pStyle w:val="APVMATableText"/>
            </w:pPr>
            <w:r w:rsidRPr="000D03D3">
              <w:t>Monitor the crop closely and re-treat if necessary.</w:t>
            </w:r>
          </w:p>
        </w:tc>
      </w:tr>
      <w:tr w:rsidR="002026BB" w14:paraId="38815A47" w14:textId="77777777" w:rsidTr="006C2F1E">
        <w:trPr>
          <w:cantSplit/>
        </w:trPr>
        <w:tc>
          <w:tcPr>
            <w:tcW w:w="664" w:type="pct"/>
            <w:vMerge/>
          </w:tcPr>
          <w:p w14:paraId="719F56AE" w14:textId="77777777" w:rsidR="002026BB" w:rsidRPr="000D03D3" w:rsidRDefault="002026BB" w:rsidP="000D03D3">
            <w:pPr>
              <w:pStyle w:val="APVMATableText"/>
            </w:pPr>
          </w:p>
        </w:tc>
        <w:tc>
          <w:tcPr>
            <w:tcW w:w="1070" w:type="pct"/>
          </w:tcPr>
          <w:p w14:paraId="08CD3ED6" w14:textId="11E04314" w:rsidR="002026BB" w:rsidRPr="000D03D3" w:rsidRDefault="00786137" w:rsidP="006C2F1E">
            <w:pPr>
              <w:pStyle w:val="APVMATableText"/>
            </w:pPr>
            <w:r w:rsidRPr="000D03D3">
              <w:t>Blackhead Pasture Cockchafer</w:t>
            </w:r>
            <w:r w:rsidR="006C2F1E">
              <w:t xml:space="preserve"> </w:t>
            </w:r>
            <w:r w:rsidRPr="000D03D3">
              <w:t>(</w:t>
            </w:r>
            <w:r w:rsidRPr="000D03D3">
              <w:rPr>
                <w:i/>
                <w:iCs/>
              </w:rPr>
              <w:t>Aphodius tasmaniae</w:t>
            </w:r>
            <w:r w:rsidRPr="000D03D3">
              <w:t>)</w:t>
            </w:r>
          </w:p>
        </w:tc>
        <w:tc>
          <w:tcPr>
            <w:tcW w:w="1294" w:type="pct"/>
          </w:tcPr>
          <w:p w14:paraId="44F04154" w14:textId="720B82DE" w:rsidR="002026BB" w:rsidRPr="000D03D3" w:rsidRDefault="00786137" w:rsidP="006C2F1E">
            <w:pPr>
              <w:pStyle w:val="APVMATableTextRight"/>
            </w:pPr>
            <w:r w:rsidRPr="000D03D3">
              <w:t>17 or 35</w:t>
            </w:r>
            <w:r w:rsidR="006C2F1E">
              <w:t> </w:t>
            </w:r>
            <w:r w:rsidRPr="000D03D3">
              <w:t>mL/ha</w:t>
            </w:r>
            <w:r w:rsidR="006C2F1E">
              <w:br/>
            </w:r>
            <w:r w:rsidRPr="000D03D3">
              <w:t>(2.55 or 5.25</w:t>
            </w:r>
            <w:r w:rsidR="006C2F1E">
              <w:t> </w:t>
            </w:r>
            <w:r w:rsidRPr="000D03D3">
              <w:t>g ai/ha)</w:t>
            </w:r>
          </w:p>
        </w:tc>
        <w:tc>
          <w:tcPr>
            <w:tcW w:w="1972" w:type="pct"/>
          </w:tcPr>
          <w:p w14:paraId="74E1F38D" w14:textId="56B0D649" w:rsidR="00786137" w:rsidRPr="000D03D3" w:rsidRDefault="00786137" w:rsidP="000D03D3">
            <w:pPr>
              <w:pStyle w:val="APVMATableText"/>
            </w:pPr>
            <w:r w:rsidRPr="000D03D3">
              <w:t>Treat as soon as possible after the autumn rains stimulate egg hatching and activity of existing larvae. This can be ascertained by monitoring soil populations in known areas. For best results spray when the larvae have surfaced to feed after rain. Preferably use a boom spray delivering 70</w:t>
            </w:r>
            <w:r w:rsidR="006C2F1E">
              <w:t xml:space="preserve"> to </w:t>
            </w:r>
            <w:r w:rsidRPr="000D03D3">
              <w:t>100</w:t>
            </w:r>
            <w:r w:rsidR="006C2F1E">
              <w:t> </w:t>
            </w:r>
            <w:r w:rsidRPr="000D03D3">
              <w:t>L water/ha. Use the lower rate until early June and the higher rate after mid</w:t>
            </w:r>
            <w:r w:rsidR="006C2F1E">
              <w:t>-to</w:t>
            </w:r>
            <w:r w:rsidRPr="000D03D3">
              <w:t>-late June.</w:t>
            </w:r>
          </w:p>
          <w:p w14:paraId="50070616" w14:textId="1B496AD3" w:rsidR="002026BB" w:rsidRPr="000D03D3" w:rsidRDefault="00786137" w:rsidP="000D03D3">
            <w:pPr>
              <w:pStyle w:val="APVMATableText"/>
            </w:pPr>
            <w:r w:rsidRPr="000D03D3">
              <w:t>DO NOT USE ULV APPLICATION FOR THIS PEST.</w:t>
            </w:r>
          </w:p>
        </w:tc>
      </w:tr>
      <w:tr w:rsidR="00786137" w14:paraId="08CD36E5" w14:textId="77777777" w:rsidTr="006C2F1E">
        <w:trPr>
          <w:cantSplit/>
        </w:trPr>
        <w:tc>
          <w:tcPr>
            <w:tcW w:w="664" w:type="pct"/>
            <w:vMerge/>
          </w:tcPr>
          <w:p w14:paraId="557118EE" w14:textId="77777777" w:rsidR="00786137" w:rsidRPr="000D03D3" w:rsidRDefault="00786137" w:rsidP="000D03D3">
            <w:pPr>
              <w:pStyle w:val="APVMATableText"/>
            </w:pPr>
          </w:p>
        </w:tc>
        <w:tc>
          <w:tcPr>
            <w:tcW w:w="1070" w:type="pct"/>
          </w:tcPr>
          <w:p w14:paraId="6ED632B5" w14:textId="31DD8337" w:rsidR="00786137" w:rsidRPr="000D03D3" w:rsidRDefault="00786137" w:rsidP="000D03D3">
            <w:pPr>
              <w:pStyle w:val="APVMATableText"/>
            </w:pPr>
            <w:r w:rsidRPr="000D03D3">
              <w:t>Redlegged Earthmite (</w:t>
            </w:r>
            <w:r w:rsidRPr="000D03D3">
              <w:rPr>
                <w:i/>
                <w:iCs/>
              </w:rPr>
              <w:t>Halotydeus destructor</w:t>
            </w:r>
            <w:r w:rsidRPr="000D03D3">
              <w:t>)</w:t>
            </w:r>
          </w:p>
        </w:tc>
        <w:tc>
          <w:tcPr>
            <w:tcW w:w="1294" w:type="pct"/>
          </w:tcPr>
          <w:p w14:paraId="2A643833" w14:textId="5FCF91AF" w:rsidR="00786137" w:rsidRPr="000D03D3" w:rsidRDefault="00786137" w:rsidP="006C2F1E">
            <w:pPr>
              <w:pStyle w:val="APVMATableTextRight"/>
            </w:pPr>
            <w:r w:rsidRPr="000D03D3">
              <w:t>8</w:t>
            </w:r>
            <w:r w:rsidR="006C2F1E">
              <w:t> </w:t>
            </w:r>
            <w:r w:rsidRPr="000D03D3">
              <w:t>mL/ha</w:t>
            </w:r>
            <w:r w:rsidR="006C2F1E">
              <w:br/>
            </w:r>
            <w:r w:rsidRPr="000D03D3">
              <w:t>(1.2</w:t>
            </w:r>
            <w:r w:rsidR="006C2F1E">
              <w:t> </w:t>
            </w:r>
            <w:r w:rsidRPr="000D03D3">
              <w:t>g ai/ha)</w:t>
            </w:r>
          </w:p>
        </w:tc>
        <w:tc>
          <w:tcPr>
            <w:tcW w:w="1972" w:type="pct"/>
            <w:vMerge w:val="restart"/>
          </w:tcPr>
          <w:p w14:paraId="352209C8" w14:textId="7116E09C" w:rsidR="002659EF" w:rsidRPr="000D03D3" w:rsidRDefault="00786137" w:rsidP="000D03D3">
            <w:pPr>
              <w:pStyle w:val="APVMATableText"/>
            </w:pPr>
            <w:r w:rsidRPr="000D03D3">
              <w:t>If mites are present on an establishing crop, apply at first sign of crop emergence.</w:t>
            </w:r>
          </w:p>
          <w:p w14:paraId="4B2FAAB9" w14:textId="5FF6ACE0" w:rsidR="00786137" w:rsidRPr="000D03D3" w:rsidRDefault="00786137" w:rsidP="000D03D3">
            <w:pPr>
              <w:pStyle w:val="APVMATableText"/>
            </w:pPr>
            <w:r w:rsidRPr="000D03D3">
              <w:lastRenderedPageBreak/>
              <w:t>Monitor crop regularly for reinfestation and respray if necessary.</w:t>
            </w:r>
          </w:p>
          <w:p w14:paraId="61CCCC79" w14:textId="7EB55C50" w:rsidR="00786137" w:rsidRPr="000D03D3" w:rsidRDefault="00786137" w:rsidP="000D03D3">
            <w:pPr>
              <w:pStyle w:val="APVMATableText"/>
            </w:pPr>
            <w:r w:rsidRPr="000D03D3">
              <w:t xml:space="preserve">Use the higher rate for more rapid knockdown of </w:t>
            </w:r>
            <w:r w:rsidRPr="006C2F1E">
              <w:rPr>
                <w:i/>
                <w:iCs/>
              </w:rPr>
              <w:t>Balaustium</w:t>
            </w:r>
            <w:r w:rsidRPr="000D03D3">
              <w:t xml:space="preserve"> and Blue oat mite.</w:t>
            </w:r>
          </w:p>
        </w:tc>
      </w:tr>
      <w:tr w:rsidR="00786137" w14:paraId="2C788C95" w14:textId="77777777" w:rsidTr="006C2F1E">
        <w:trPr>
          <w:cantSplit/>
        </w:trPr>
        <w:tc>
          <w:tcPr>
            <w:tcW w:w="664" w:type="pct"/>
            <w:vMerge/>
          </w:tcPr>
          <w:p w14:paraId="77234309" w14:textId="77777777" w:rsidR="00786137" w:rsidRPr="000D03D3" w:rsidRDefault="00786137" w:rsidP="000D03D3">
            <w:pPr>
              <w:pStyle w:val="APVMATableText"/>
            </w:pPr>
          </w:p>
        </w:tc>
        <w:tc>
          <w:tcPr>
            <w:tcW w:w="1070" w:type="pct"/>
          </w:tcPr>
          <w:p w14:paraId="2E7D7C87" w14:textId="04777B3B" w:rsidR="00786137" w:rsidRPr="000D03D3" w:rsidRDefault="00786137" w:rsidP="000D03D3">
            <w:pPr>
              <w:pStyle w:val="APVMATableText"/>
            </w:pPr>
            <w:r w:rsidRPr="000D03D3">
              <w:t>Balaustium mite (</w:t>
            </w:r>
            <w:r w:rsidRPr="000D03D3">
              <w:rPr>
                <w:i/>
                <w:iCs/>
              </w:rPr>
              <w:t>Balaustium medicagoense</w:t>
            </w:r>
            <w:r w:rsidRPr="000D03D3">
              <w:t>)</w:t>
            </w:r>
          </w:p>
          <w:p w14:paraId="1ECF9B45" w14:textId="1F1F07B5" w:rsidR="00786137" w:rsidRPr="000D03D3" w:rsidRDefault="00786137" w:rsidP="000D03D3">
            <w:pPr>
              <w:pStyle w:val="APVMATableText"/>
            </w:pPr>
            <w:r w:rsidRPr="000D03D3">
              <w:t>Blue oat mite (</w:t>
            </w:r>
            <w:r w:rsidRPr="000D03D3">
              <w:rPr>
                <w:i/>
                <w:iCs/>
              </w:rPr>
              <w:t>Penthaleus major</w:t>
            </w:r>
            <w:r w:rsidRPr="000D03D3">
              <w:t>)</w:t>
            </w:r>
          </w:p>
        </w:tc>
        <w:tc>
          <w:tcPr>
            <w:tcW w:w="1294" w:type="pct"/>
          </w:tcPr>
          <w:p w14:paraId="1D84683B" w14:textId="6E8AB8A1" w:rsidR="00786137" w:rsidRPr="000D03D3" w:rsidRDefault="00786137" w:rsidP="006C2F1E">
            <w:pPr>
              <w:pStyle w:val="APVMATableTextRight"/>
            </w:pPr>
            <w:r w:rsidRPr="000D03D3">
              <w:t>16 or 24</w:t>
            </w:r>
            <w:r w:rsidR="006C2F1E">
              <w:t> </w:t>
            </w:r>
            <w:r w:rsidRPr="000D03D3">
              <w:t>mL/ha</w:t>
            </w:r>
            <w:r w:rsidR="006C2F1E">
              <w:br/>
            </w:r>
            <w:r w:rsidRPr="000D03D3">
              <w:t>(2.4 or 3.6</w:t>
            </w:r>
            <w:r w:rsidR="006C2F1E">
              <w:t> </w:t>
            </w:r>
            <w:r w:rsidRPr="000D03D3">
              <w:t>g ai/ha)</w:t>
            </w:r>
          </w:p>
        </w:tc>
        <w:tc>
          <w:tcPr>
            <w:tcW w:w="1972" w:type="pct"/>
            <w:vMerge/>
          </w:tcPr>
          <w:p w14:paraId="7B9F61D1" w14:textId="77777777" w:rsidR="00786137" w:rsidRPr="000D03D3" w:rsidRDefault="00786137" w:rsidP="000D03D3">
            <w:pPr>
              <w:pStyle w:val="APVMATableText"/>
            </w:pPr>
          </w:p>
        </w:tc>
      </w:tr>
      <w:tr w:rsidR="002026BB" w14:paraId="248EA71C" w14:textId="77777777" w:rsidTr="006C2F1E">
        <w:trPr>
          <w:cantSplit/>
        </w:trPr>
        <w:tc>
          <w:tcPr>
            <w:tcW w:w="664" w:type="pct"/>
            <w:vMerge/>
          </w:tcPr>
          <w:p w14:paraId="27B5FB22" w14:textId="77777777" w:rsidR="002026BB" w:rsidRPr="000D03D3" w:rsidRDefault="002026BB" w:rsidP="000D03D3">
            <w:pPr>
              <w:pStyle w:val="APVMATableText"/>
            </w:pPr>
          </w:p>
        </w:tc>
        <w:tc>
          <w:tcPr>
            <w:tcW w:w="1070" w:type="pct"/>
          </w:tcPr>
          <w:p w14:paraId="0B701A60" w14:textId="596B9F79" w:rsidR="002026BB" w:rsidRPr="000D03D3" w:rsidRDefault="00786137" w:rsidP="006C2F1E">
            <w:pPr>
              <w:pStyle w:val="APVMATableText"/>
            </w:pPr>
            <w:r w:rsidRPr="000D03D3">
              <w:t>Aphids (</w:t>
            </w:r>
            <w:r w:rsidRPr="000D03D3">
              <w:rPr>
                <w:i/>
                <w:iCs/>
              </w:rPr>
              <w:t>Rhopalosiphum</w:t>
            </w:r>
            <w:r w:rsidRPr="000D03D3">
              <w:t xml:space="preserve"> spp.)</w:t>
            </w:r>
            <w:r w:rsidR="006C2F1E">
              <w:t xml:space="preserve"> </w:t>
            </w:r>
            <w:r w:rsidRPr="000D03D3">
              <w:t>(Barley Yellow Dwarf virus vectors)</w:t>
            </w:r>
          </w:p>
        </w:tc>
        <w:tc>
          <w:tcPr>
            <w:tcW w:w="1294" w:type="pct"/>
          </w:tcPr>
          <w:p w14:paraId="66B0923D" w14:textId="77C48902" w:rsidR="002026BB" w:rsidRPr="000D03D3" w:rsidRDefault="00786137" w:rsidP="006C2F1E">
            <w:pPr>
              <w:pStyle w:val="APVMATableTextRight"/>
            </w:pPr>
            <w:r w:rsidRPr="000D03D3">
              <w:t>10 or 15</w:t>
            </w:r>
            <w:r w:rsidR="006C2F1E">
              <w:t> </w:t>
            </w:r>
            <w:r w:rsidRPr="000D03D3">
              <w:t>mL/ha</w:t>
            </w:r>
            <w:r w:rsidR="006C2F1E">
              <w:br/>
            </w:r>
            <w:r w:rsidRPr="000D03D3">
              <w:t>(1.5 or 2.25</w:t>
            </w:r>
            <w:r w:rsidR="006C2F1E">
              <w:t> </w:t>
            </w:r>
            <w:r w:rsidRPr="000D03D3">
              <w:t>g ai/ha)</w:t>
            </w:r>
          </w:p>
        </w:tc>
        <w:tc>
          <w:tcPr>
            <w:tcW w:w="1972" w:type="pct"/>
          </w:tcPr>
          <w:p w14:paraId="1EE7254C" w14:textId="3B1FAB69" w:rsidR="002026BB" w:rsidRPr="000D03D3" w:rsidRDefault="00786137" w:rsidP="000D03D3">
            <w:pPr>
              <w:pStyle w:val="APVMATableText"/>
            </w:pPr>
            <w:r w:rsidRPr="000D03D3">
              <w:t>To control aphids, sprays should be applied at 4 and 8</w:t>
            </w:r>
            <w:r w:rsidR="006C2F1E">
              <w:t> </w:t>
            </w:r>
            <w:r w:rsidRPr="000D03D3">
              <w:t>weeks after emergence to reduce aphid colonisation and suppress Barley yellow dwarf virus. Use the higher rate when greater than 15</w:t>
            </w:r>
            <w:r w:rsidR="006C2F1E">
              <w:t> </w:t>
            </w:r>
            <w:r w:rsidRPr="000D03D3">
              <w:t>aphids on 50% of tillers is expected during the season.</w:t>
            </w:r>
          </w:p>
        </w:tc>
      </w:tr>
      <w:tr w:rsidR="002026BB" w14:paraId="00745FEF" w14:textId="77777777" w:rsidTr="006C2F1E">
        <w:trPr>
          <w:cantSplit/>
        </w:trPr>
        <w:tc>
          <w:tcPr>
            <w:tcW w:w="664" w:type="pct"/>
            <w:vMerge/>
          </w:tcPr>
          <w:p w14:paraId="183523B3" w14:textId="77777777" w:rsidR="002026BB" w:rsidRPr="000D03D3" w:rsidRDefault="002026BB" w:rsidP="000D03D3">
            <w:pPr>
              <w:pStyle w:val="APVMATableText"/>
            </w:pPr>
          </w:p>
        </w:tc>
        <w:tc>
          <w:tcPr>
            <w:tcW w:w="1070" w:type="pct"/>
          </w:tcPr>
          <w:p w14:paraId="49A7499B" w14:textId="0C1A47A3" w:rsidR="002026BB" w:rsidRPr="000D03D3" w:rsidRDefault="00786137" w:rsidP="000D03D3">
            <w:pPr>
              <w:pStyle w:val="APVMATableText"/>
            </w:pPr>
            <w:r w:rsidRPr="000D03D3">
              <w:t>Russian wheat aphid (</w:t>
            </w:r>
            <w:r w:rsidRPr="000D03D3">
              <w:rPr>
                <w:i/>
                <w:iCs/>
              </w:rPr>
              <w:t>Diuraphis noxia</w:t>
            </w:r>
            <w:r w:rsidRPr="000D03D3">
              <w:t>)</w:t>
            </w:r>
          </w:p>
        </w:tc>
        <w:tc>
          <w:tcPr>
            <w:tcW w:w="1294" w:type="pct"/>
          </w:tcPr>
          <w:p w14:paraId="31BF8AA6" w14:textId="3E8E6E24" w:rsidR="002026BB" w:rsidRPr="000D03D3" w:rsidRDefault="00786137" w:rsidP="006C2F1E">
            <w:pPr>
              <w:pStyle w:val="APVMATableTextRight"/>
            </w:pPr>
            <w:r w:rsidRPr="000D03D3">
              <w:t>35</w:t>
            </w:r>
            <w:r w:rsidR="006C2F1E">
              <w:t> </w:t>
            </w:r>
            <w:r w:rsidRPr="000D03D3">
              <w:t>mL/ha</w:t>
            </w:r>
            <w:r w:rsidR="006C2F1E">
              <w:br/>
            </w:r>
            <w:r w:rsidRPr="000D03D3">
              <w:t>(5.25</w:t>
            </w:r>
            <w:r w:rsidR="006C2F1E">
              <w:t> </w:t>
            </w:r>
            <w:r w:rsidRPr="000D03D3">
              <w:t>g ai/ha)</w:t>
            </w:r>
          </w:p>
        </w:tc>
        <w:tc>
          <w:tcPr>
            <w:tcW w:w="1972" w:type="pct"/>
          </w:tcPr>
          <w:p w14:paraId="45D99ED6" w14:textId="77777777" w:rsidR="00786137" w:rsidRPr="000D03D3" w:rsidRDefault="00786137" w:rsidP="000D03D3">
            <w:pPr>
              <w:pStyle w:val="APVMATableText"/>
            </w:pPr>
            <w:r w:rsidRPr="000D03D3">
              <w:t>Initiate applications when the industry economic spray threshold is reached. Thorough spray coverage is essential by matching appropriate spray volumes to crop size and a medium spray quality so as to treat all parts of the crop canopy including the undersides and in between leaves where possible.</w:t>
            </w:r>
          </w:p>
          <w:p w14:paraId="48AF63CA" w14:textId="77777777" w:rsidR="00786137" w:rsidRPr="000D03D3" w:rsidRDefault="00786137" w:rsidP="000D03D3">
            <w:pPr>
              <w:pStyle w:val="APVMATableText"/>
            </w:pPr>
            <w:r w:rsidRPr="000D03D3">
              <w:t>Aphids present in tightly rolled leaves may not be completely controlled.</w:t>
            </w:r>
          </w:p>
          <w:p w14:paraId="1C36E177" w14:textId="0B941361" w:rsidR="002026BB" w:rsidRPr="000D03D3" w:rsidRDefault="00786137" w:rsidP="000D03D3">
            <w:pPr>
              <w:pStyle w:val="APVMATableText"/>
            </w:pPr>
            <w:r w:rsidRPr="000D03D3">
              <w:t>Continue to monitor the crop post-spray and make further insecticide applications as required.</w:t>
            </w:r>
          </w:p>
        </w:tc>
      </w:tr>
    </w:tbl>
    <w:p w14:paraId="7756F0AA" w14:textId="5D780415" w:rsidR="006338D9" w:rsidRPr="000D03D3" w:rsidRDefault="006338D9" w:rsidP="000D03D3">
      <w:pPr>
        <w:pStyle w:val="Heading3"/>
      </w:pPr>
      <w:bookmarkStart w:id="25" w:name="_Toc156287458"/>
      <w:r w:rsidRPr="000D03D3">
        <w:t>Withholding periods</w:t>
      </w:r>
      <w:bookmarkEnd w:id="25"/>
    </w:p>
    <w:p w14:paraId="60BDD3B4" w14:textId="29EE4DBF" w:rsidR="00713E42" w:rsidRPr="00DD1DEA" w:rsidRDefault="00713E42" w:rsidP="000D03D3">
      <w:pPr>
        <w:pStyle w:val="Heading4"/>
      </w:pPr>
      <w:r w:rsidRPr="00DD1DEA">
        <w:t>Harvest</w:t>
      </w:r>
    </w:p>
    <w:p w14:paraId="5D5B8E76" w14:textId="198BFE42" w:rsidR="006338D9" w:rsidRPr="000D03D3" w:rsidRDefault="00F00619" w:rsidP="000D03D3">
      <w:pPr>
        <w:pStyle w:val="APVMAText"/>
      </w:pPr>
      <w:r w:rsidRPr="000D03D3">
        <w:t>O</w:t>
      </w:r>
      <w:r w:rsidR="00713E42" w:rsidRPr="000D03D3">
        <w:t>ats, cereal rye, triticale</w:t>
      </w:r>
      <w:r w:rsidR="006338D9" w:rsidRPr="000D03D3">
        <w:t xml:space="preserve">: </w:t>
      </w:r>
      <w:r w:rsidR="006338D9" w:rsidRPr="000D03D3">
        <w:tab/>
        <w:t>DO NOT harvest for 14 days after application.</w:t>
      </w:r>
    </w:p>
    <w:p w14:paraId="05DA12F9" w14:textId="50FCB7F1" w:rsidR="00DD1DEA" w:rsidRPr="00DD1DEA" w:rsidRDefault="00DD1DEA" w:rsidP="000D03D3">
      <w:pPr>
        <w:pStyle w:val="Heading4"/>
      </w:pPr>
      <w:r w:rsidRPr="00DD1DEA">
        <w:t>Grazing</w:t>
      </w:r>
    </w:p>
    <w:p w14:paraId="02C964E4" w14:textId="604172CB" w:rsidR="001468EA" w:rsidRPr="000D03D3" w:rsidRDefault="00F00619" w:rsidP="000D03D3">
      <w:pPr>
        <w:pStyle w:val="APVMAText"/>
      </w:pPr>
      <w:r w:rsidRPr="000D03D3">
        <w:t>O</w:t>
      </w:r>
      <w:r w:rsidR="00DD1DEA" w:rsidRPr="000D03D3">
        <w:t>ats, cereal rye, triticale</w:t>
      </w:r>
      <w:r w:rsidR="006338D9" w:rsidRPr="000D03D3">
        <w:t xml:space="preserve">: </w:t>
      </w:r>
      <w:r w:rsidR="006338D9" w:rsidRPr="000D03D3">
        <w:tab/>
      </w:r>
      <w:r w:rsidR="00DD1DEA" w:rsidRPr="000D03D3">
        <w:t>DO NOT graze or cut for stock food for 14 days after application.</w:t>
      </w:r>
    </w:p>
    <w:p w14:paraId="28529C15" w14:textId="7AC55DFD" w:rsidR="006D36C8" w:rsidRPr="000D03D3" w:rsidRDefault="006D36C8" w:rsidP="006C2F1E">
      <w:pPr>
        <w:pStyle w:val="Heading2"/>
      </w:pPr>
      <w:bookmarkStart w:id="26" w:name="_Toc231889747"/>
      <w:bookmarkStart w:id="27" w:name="_Toc2243850"/>
      <w:bookmarkStart w:id="28" w:name="_Toc156287459"/>
      <w:r w:rsidRPr="000D03D3">
        <w:lastRenderedPageBreak/>
        <w:t>Results from residues trials presented to the APVMA</w:t>
      </w:r>
      <w:bookmarkEnd w:id="26"/>
      <w:bookmarkEnd w:id="27"/>
      <w:bookmarkEnd w:id="28"/>
    </w:p>
    <w:p w14:paraId="316C5F4A" w14:textId="12E18DD1" w:rsidR="00036E33" w:rsidRPr="000D03D3" w:rsidRDefault="006338D9" w:rsidP="006C2F1E">
      <w:pPr>
        <w:pStyle w:val="APVMAText"/>
        <w:keepNext/>
        <w:keepLines/>
      </w:pPr>
      <w:r w:rsidRPr="000D03D3">
        <w:t xml:space="preserve">The proposed use </w:t>
      </w:r>
      <w:r w:rsidR="00DD1DEA" w:rsidRPr="000D03D3">
        <w:t>for oats, triticale and rye is for a foliar application of gamma-cyhalothrin, applied at first sign of infestation at rates of up to 5.25</w:t>
      </w:r>
      <w:r w:rsidR="006C2F1E">
        <w:t> </w:t>
      </w:r>
      <w:r w:rsidR="00DD1DEA" w:rsidRPr="000D03D3">
        <w:t>g ai/ha in conjunction with a harvest and grazing withholding period of 14 days.</w:t>
      </w:r>
    </w:p>
    <w:p w14:paraId="59FF03B4" w14:textId="7578D55E" w:rsidR="00030E94" w:rsidRPr="000D03D3" w:rsidRDefault="00030E94" w:rsidP="006C2F1E">
      <w:pPr>
        <w:pStyle w:val="Heading3"/>
      </w:pPr>
      <w:bookmarkStart w:id="29" w:name="_Toc156287460"/>
      <w:r w:rsidRPr="000D03D3">
        <w:t>Oats forage and fodder</w:t>
      </w:r>
      <w:bookmarkEnd w:id="29"/>
    </w:p>
    <w:p w14:paraId="0CDAC3F8" w14:textId="4B77317E" w:rsidR="00F00619" w:rsidRDefault="00F00619" w:rsidP="006C2F1E">
      <w:pPr>
        <w:pStyle w:val="APVMAText"/>
        <w:keepNext/>
        <w:keepLines/>
      </w:pPr>
      <w:r>
        <w:t>Four Australian GLP trials on oats have been provided:</w:t>
      </w:r>
    </w:p>
    <w:p w14:paraId="0D571C1F" w14:textId="64CBAE41" w:rsidR="00030E94" w:rsidRDefault="00030E94" w:rsidP="000D03D3">
      <w:pPr>
        <w:pStyle w:val="APVMAText"/>
      </w:pPr>
      <w:r>
        <w:t>Cyhalothrin residues in oats forage at 11</w:t>
      </w:r>
      <w:r w:rsidR="006C2F1E">
        <w:t xml:space="preserve"> to </w:t>
      </w:r>
      <w:r>
        <w:t xml:space="preserve">14 </w:t>
      </w:r>
      <w:r w:rsidR="001C0CA7">
        <w:t>days</w:t>
      </w:r>
      <w:r>
        <w:t>, following a single foliar application of gamma-cyhalothrin between BBCH 14</w:t>
      </w:r>
      <w:r w:rsidR="006C2F1E">
        <w:t xml:space="preserve"> to </w:t>
      </w:r>
      <w:r>
        <w:t>22 at 5.3</w:t>
      </w:r>
      <w:r w:rsidR="006C2F1E">
        <w:t> </w:t>
      </w:r>
      <w:r>
        <w:t>g ai/ha (~1 × proposed rate), were &lt; 0.01 (2) (LOQ), 0.12 and 0.13</w:t>
      </w:r>
      <w:r w:rsidR="006C2F1E">
        <w:t> </w:t>
      </w:r>
      <w:r>
        <w:t>mg/kg on a dry weight basis</w:t>
      </w:r>
      <w:r w:rsidR="00227A2E">
        <w:t xml:space="preserve"> (n=4)</w:t>
      </w:r>
      <w:r>
        <w:t>.</w:t>
      </w:r>
    </w:p>
    <w:p w14:paraId="61DE8722" w14:textId="75D3AA5C" w:rsidR="00030E94" w:rsidRDefault="00030E94" w:rsidP="000D03D3">
      <w:pPr>
        <w:pStyle w:val="APVMAText"/>
      </w:pPr>
      <w:r>
        <w:t>Cyhalothrin residues in oats straw at 12</w:t>
      </w:r>
      <w:r w:rsidR="006C2F1E">
        <w:t xml:space="preserve"> to </w:t>
      </w:r>
      <w:r>
        <w:t xml:space="preserve">14 </w:t>
      </w:r>
      <w:r w:rsidR="001C0CA7">
        <w:t>days</w:t>
      </w:r>
      <w:r>
        <w:t>, following a single foliar application of gamma-cyhalothrin between BBCH 85</w:t>
      </w:r>
      <w:r w:rsidR="006C2F1E">
        <w:t xml:space="preserve"> to </w:t>
      </w:r>
      <w:r>
        <w:t>89 at 5.3</w:t>
      </w:r>
      <w:r w:rsidR="006C2F1E">
        <w:t xml:space="preserve"> to </w:t>
      </w:r>
      <w:r>
        <w:t>5.5 g ai/ha (~1 × proposed rate), were 0.087, 0.092, 0.16 and 0.26</w:t>
      </w:r>
      <w:r w:rsidR="006C2F1E">
        <w:t> </w:t>
      </w:r>
      <w:r>
        <w:t>mg/kg</w:t>
      </w:r>
      <w:r w:rsidR="00227A2E">
        <w:t xml:space="preserve"> (n=4)</w:t>
      </w:r>
      <w:r>
        <w:t>.</w:t>
      </w:r>
    </w:p>
    <w:p w14:paraId="79129C31" w14:textId="493129E6" w:rsidR="00030E94" w:rsidRDefault="00030E94" w:rsidP="000D03D3">
      <w:pPr>
        <w:pStyle w:val="APVMAText"/>
      </w:pPr>
      <w:r>
        <w:t>Based on the available data, the currently established cyhalothrin MRL of 2</w:t>
      </w:r>
      <w:r w:rsidR="006C2F1E">
        <w:t> </w:t>
      </w:r>
      <w:r>
        <w:t>mg/kg for Forage and fodder of cereal grains remains appropriate for the proposed use in conjunction with a grazing withholding period of 14</w:t>
      </w:r>
      <w:r w:rsidR="006C2F1E">
        <w:t> </w:t>
      </w:r>
      <w:r>
        <w:t>days.</w:t>
      </w:r>
    </w:p>
    <w:p w14:paraId="0CB29406" w14:textId="12455002" w:rsidR="006D36C8" w:rsidRPr="000D03D3" w:rsidRDefault="00957A91" w:rsidP="000D03D3">
      <w:pPr>
        <w:pStyle w:val="Heading2"/>
      </w:pPr>
      <w:bookmarkStart w:id="30" w:name="_Toc231889749"/>
      <w:bookmarkStart w:id="31" w:name="_Toc2243852"/>
      <w:bookmarkStart w:id="32" w:name="_Toc156287461"/>
      <w:r w:rsidRPr="000D03D3">
        <w:t>Codex Alimentarius C</w:t>
      </w:r>
      <w:r w:rsidR="006D36C8" w:rsidRPr="000D03D3">
        <w:t>ommission and overseas MRLs</w:t>
      </w:r>
      <w:bookmarkEnd w:id="30"/>
      <w:bookmarkEnd w:id="31"/>
      <w:bookmarkEnd w:id="32"/>
    </w:p>
    <w:p w14:paraId="5AAAE959" w14:textId="247E3966" w:rsidR="009C694F" w:rsidRDefault="006338D9" w:rsidP="006338D9">
      <w:pPr>
        <w:pStyle w:val="APVMAText"/>
        <w:sectPr w:rsidR="009C694F">
          <w:headerReference w:type="even" r:id="rId25"/>
          <w:pgSz w:w="11906" w:h="16838" w:code="9"/>
          <w:pgMar w:top="2835" w:right="1134" w:bottom="1134" w:left="1134" w:header="1701" w:footer="680" w:gutter="0"/>
          <w:cols w:space="708"/>
          <w:docGrid w:linePitch="360"/>
        </w:sectPr>
      </w:pPr>
      <w:bookmarkStart w:id="33" w:name="_Toc252955169"/>
      <w:r w:rsidRPr="000D03D3">
        <w:t xml:space="preserve">The Codex Alimentarius Commission (Codex) is responsible for establishing Codex </w:t>
      </w:r>
      <w:r w:rsidR="006C2F1E" w:rsidRPr="000D03D3">
        <w:t>maximum residue limits</w:t>
      </w:r>
      <w:r w:rsidRPr="000D03D3">
        <w:t xml:space="preserve"> (CXLs) for pesticides and veterinary medicines. Codex CXLs are primarily intended to facilitate international trade, and accommodate differences in Good Agricultural Practice (GAP) employed by various countries. Some countries may accept Codex CXLs when importing foods. </w:t>
      </w:r>
      <w:r w:rsidR="00030E94" w:rsidRPr="000D03D3">
        <w:t>Cyhalothrin (includes lambda-cyhalothrin) has been considered by Codex</w:t>
      </w:r>
      <w:r w:rsidRPr="000D03D3">
        <w:t xml:space="preserve">. The following relevant Codex CXLs and overseas MRLs have been established for </w:t>
      </w:r>
      <w:r w:rsidR="000E58CA" w:rsidRPr="000D03D3">
        <w:t>cyhalothrin</w:t>
      </w:r>
      <w:r w:rsidRPr="000D03D3">
        <w:t>.</w:t>
      </w:r>
    </w:p>
    <w:p w14:paraId="3237E5D2" w14:textId="790CDAA2" w:rsidR="006D36C8" w:rsidRPr="000D03D3" w:rsidRDefault="000D03D3" w:rsidP="000D03D3">
      <w:pPr>
        <w:pStyle w:val="Caption"/>
      </w:pPr>
      <w:bookmarkStart w:id="34" w:name="_Toc156287467"/>
      <w:bookmarkEnd w:id="33"/>
      <w:r w:rsidRPr="00B05454">
        <w:lastRenderedPageBreak/>
        <w:t xml:space="preserve">Table </w:t>
      </w:r>
      <w:fldSimple w:instr=" SEQ Table \* ARABIC ">
        <w:r w:rsidR="00243457">
          <w:rPr>
            <w:noProof/>
          </w:rPr>
          <w:t>3</w:t>
        </w:r>
      </w:fldSimple>
      <w:r w:rsidRPr="00B05454">
        <w:t>:</w:t>
      </w:r>
      <w:r w:rsidRPr="00B05454">
        <w:tab/>
      </w:r>
      <w:r w:rsidR="006338D9" w:rsidRPr="000D03D3">
        <w:t xml:space="preserve">Current Australian and overseas MRLs/tolerances for </w:t>
      </w:r>
      <w:r w:rsidR="000E58CA" w:rsidRPr="000D03D3">
        <w:t>cyhalothrin</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230"/>
        <w:gridCol w:w="1272"/>
        <w:gridCol w:w="1241"/>
        <w:gridCol w:w="1241"/>
        <w:gridCol w:w="1556"/>
        <w:gridCol w:w="3098"/>
      </w:tblGrid>
      <w:tr w:rsidR="009C694F" w14:paraId="5E2486E5" w14:textId="77777777" w:rsidTr="006C2F1E">
        <w:tc>
          <w:tcPr>
            <w:tcW w:w="638" w:type="pct"/>
            <w:vMerge w:val="restart"/>
            <w:tcBorders>
              <w:top w:val="single" w:sz="4" w:space="0" w:color="auto"/>
              <w:left w:val="nil"/>
              <w:right w:val="nil"/>
            </w:tcBorders>
            <w:shd w:val="clear" w:color="auto" w:fill="00747A"/>
          </w:tcPr>
          <w:p w14:paraId="4B74D202" w14:textId="4BEBDC65" w:rsidR="009C694F" w:rsidRPr="000D03D3" w:rsidRDefault="009C694F" w:rsidP="000D03D3">
            <w:pPr>
              <w:pStyle w:val="APVMATableHead"/>
            </w:pPr>
            <w:r w:rsidRPr="000D03D3">
              <w:t>Commodity</w:t>
            </w:r>
          </w:p>
        </w:tc>
        <w:tc>
          <w:tcPr>
            <w:tcW w:w="4362" w:type="pct"/>
            <w:gridSpan w:val="5"/>
            <w:tcBorders>
              <w:top w:val="single" w:sz="4" w:space="0" w:color="auto"/>
              <w:left w:val="nil"/>
              <w:bottom w:val="single" w:sz="4" w:space="0" w:color="auto"/>
              <w:right w:val="nil"/>
            </w:tcBorders>
            <w:shd w:val="clear" w:color="auto" w:fill="00747A"/>
          </w:tcPr>
          <w:p w14:paraId="6C10DE14" w14:textId="2B853610" w:rsidR="009C694F" w:rsidRPr="000D03D3" w:rsidRDefault="009C694F" w:rsidP="000D03D3">
            <w:pPr>
              <w:pStyle w:val="APVMATableHead"/>
            </w:pPr>
            <w:r w:rsidRPr="000D03D3">
              <w:t>Tolerance for residues arising from the use of cyhalothrin (mg/kg)</w:t>
            </w:r>
          </w:p>
        </w:tc>
      </w:tr>
      <w:tr w:rsidR="009C694F" w14:paraId="419C9108" w14:textId="77777777" w:rsidTr="000F4540">
        <w:tc>
          <w:tcPr>
            <w:tcW w:w="638" w:type="pct"/>
            <w:vMerge/>
            <w:tcBorders>
              <w:left w:val="nil"/>
              <w:bottom w:val="single" w:sz="4" w:space="0" w:color="auto"/>
              <w:right w:val="nil"/>
            </w:tcBorders>
            <w:shd w:val="clear" w:color="auto" w:fill="00747A"/>
          </w:tcPr>
          <w:p w14:paraId="03BC770C" w14:textId="77777777" w:rsidR="009C694F" w:rsidRPr="000D03D3" w:rsidRDefault="009C694F" w:rsidP="000D03D3">
            <w:pPr>
              <w:pStyle w:val="APVMATableHead"/>
            </w:pPr>
          </w:p>
        </w:tc>
        <w:tc>
          <w:tcPr>
            <w:tcW w:w="660" w:type="pct"/>
            <w:tcBorders>
              <w:top w:val="single" w:sz="4" w:space="0" w:color="auto"/>
              <w:left w:val="nil"/>
              <w:bottom w:val="single" w:sz="4" w:space="0" w:color="auto"/>
              <w:right w:val="nil"/>
            </w:tcBorders>
            <w:shd w:val="clear" w:color="auto" w:fill="00747A"/>
          </w:tcPr>
          <w:p w14:paraId="702FBBF5" w14:textId="083ED5EE" w:rsidR="009C694F" w:rsidRPr="000D03D3" w:rsidRDefault="009C694F" w:rsidP="000D03D3">
            <w:pPr>
              <w:pStyle w:val="APVMATableHead"/>
            </w:pPr>
            <w:r w:rsidRPr="000D03D3">
              <w:t>Australia</w:t>
            </w:r>
            <w:r w:rsidRPr="000F4540">
              <w:rPr>
                <w:rStyle w:val="FootnoteReference"/>
              </w:rPr>
              <w:footnoteReference w:id="7"/>
            </w:r>
          </w:p>
        </w:tc>
        <w:tc>
          <w:tcPr>
            <w:tcW w:w="644" w:type="pct"/>
            <w:tcBorders>
              <w:top w:val="single" w:sz="4" w:space="0" w:color="auto"/>
              <w:left w:val="nil"/>
              <w:bottom w:val="single" w:sz="4" w:space="0" w:color="auto"/>
              <w:right w:val="nil"/>
            </w:tcBorders>
            <w:shd w:val="clear" w:color="auto" w:fill="00747A"/>
          </w:tcPr>
          <w:p w14:paraId="724A9379" w14:textId="2E5FC7FA" w:rsidR="009C694F" w:rsidRPr="000D03D3" w:rsidRDefault="009C694F" w:rsidP="000D03D3">
            <w:pPr>
              <w:pStyle w:val="APVMATableHead"/>
            </w:pPr>
            <w:r w:rsidRPr="000D03D3">
              <w:t>EU</w:t>
            </w:r>
            <w:r w:rsidRPr="000F4540">
              <w:rPr>
                <w:rStyle w:val="FootnoteReference"/>
              </w:rPr>
              <w:footnoteReference w:id="8"/>
            </w:r>
          </w:p>
        </w:tc>
        <w:tc>
          <w:tcPr>
            <w:tcW w:w="644" w:type="pct"/>
            <w:tcBorders>
              <w:top w:val="single" w:sz="4" w:space="0" w:color="auto"/>
              <w:left w:val="nil"/>
              <w:bottom w:val="single" w:sz="4" w:space="0" w:color="auto"/>
              <w:right w:val="nil"/>
            </w:tcBorders>
            <w:shd w:val="clear" w:color="auto" w:fill="00747A"/>
          </w:tcPr>
          <w:p w14:paraId="32087155" w14:textId="05ACCDB3" w:rsidR="009C694F" w:rsidRPr="000D03D3" w:rsidRDefault="009C694F" w:rsidP="000D03D3">
            <w:pPr>
              <w:pStyle w:val="APVMATableHead"/>
            </w:pPr>
            <w:r w:rsidRPr="000D03D3">
              <w:t>Japan</w:t>
            </w:r>
            <w:r w:rsidRPr="000F4540">
              <w:rPr>
                <w:rStyle w:val="FootnoteReference"/>
              </w:rPr>
              <w:footnoteReference w:id="9"/>
            </w:r>
          </w:p>
        </w:tc>
        <w:tc>
          <w:tcPr>
            <w:tcW w:w="807" w:type="pct"/>
            <w:tcBorders>
              <w:top w:val="single" w:sz="4" w:space="0" w:color="auto"/>
              <w:left w:val="nil"/>
              <w:bottom w:val="single" w:sz="4" w:space="0" w:color="auto"/>
              <w:right w:val="nil"/>
            </w:tcBorders>
            <w:shd w:val="clear" w:color="auto" w:fill="00747A"/>
          </w:tcPr>
          <w:p w14:paraId="08F0A4C5" w14:textId="0D96B2DE" w:rsidR="009C694F" w:rsidRPr="000D03D3" w:rsidRDefault="009C694F" w:rsidP="000D03D3">
            <w:pPr>
              <w:pStyle w:val="APVMATableHead"/>
            </w:pPr>
            <w:r w:rsidRPr="000D03D3">
              <w:t>Codex</w:t>
            </w:r>
            <w:r w:rsidRPr="000F4540">
              <w:rPr>
                <w:rStyle w:val="FootnoteReference"/>
              </w:rPr>
              <w:footnoteReference w:id="10"/>
            </w:r>
          </w:p>
        </w:tc>
        <w:tc>
          <w:tcPr>
            <w:tcW w:w="1608" w:type="pct"/>
            <w:tcBorders>
              <w:top w:val="single" w:sz="4" w:space="0" w:color="auto"/>
              <w:left w:val="nil"/>
              <w:bottom w:val="single" w:sz="4" w:space="0" w:color="auto"/>
              <w:right w:val="nil"/>
            </w:tcBorders>
            <w:shd w:val="clear" w:color="auto" w:fill="00747A"/>
          </w:tcPr>
          <w:p w14:paraId="49C5BAD0" w14:textId="28DC4B56" w:rsidR="009C694F" w:rsidRPr="000D03D3" w:rsidRDefault="009C694F" w:rsidP="000D03D3">
            <w:pPr>
              <w:pStyle w:val="APVMATableHead"/>
            </w:pPr>
            <w:r w:rsidRPr="000D03D3">
              <w:t>USA</w:t>
            </w:r>
            <w:r w:rsidRPr="000F4540">
              <w:rPr>
                <w:rStyle w:val="FootnoteReference"/>
              </w:rPr>
              <w:footnoteReference w:id="11"/>
            </w:r>
          </w:p>
        </w:tc>
      </w:tr>
      <w:tr w:rsidR="009C694F" w14:paraId="5CD437CA" w14:textId="77777777" w:rsidTr="000F4540">
        <w:tc>
          <w:tcPr>
            <w:tcW w:w="638" w:type="pct"/>
            <w:tcBorders>
              <w:top w:val="single" w:sz="4" w:space="0" w:color="auto"/>
              <w:left w:val="nil"/>
              <w:bottom w:val="single" w:sz="4" w:space="0" w:color="auto"/>
              <w:right w:val="nil"/>
            </w:tcBorders>
          </w:tcPr>
          <w:p w14:paraId="2E74C715" w14:textId="59F9CF90" w:rsidR="009C694F" w:rsidRDefault="009C694F" w:rsidP="000D03D3">
            <w:pPr>
              <w:pStyle w:val="APVMATableText"/>
            </w:pPr>
            <w:bookmarkStart w:id="36" w:name="_Hlk151991000"/>
            <w:bookmarkStart w:id="37" w:name="_Toc231889750"/>
            <w:bookmarkStart w:id="38" w:name="_Toc2243853"/>
            <w:r>
              <w:t xml:space="preserve">Residue </w:t>
            </w:r>
            <w:r w:rsidR="006C2F1E">
              <w:t>d</w:t>
            </w:r>
            <w:r>
              <w:t>efinition</w:t>
            </w:r>
          </w:p>
        </w:tc>
        <w:tc>
          <w:tcPr>
            <w:tcW w:w="660" w:type="pct"/>
            <w:tcBorders>
              <w:top w:val="single" w:sz="4" w:space="0" w:color="auto"/>
              <w:left w:val="nil"/>
              <w:bottom w:val="single" w:sz="4" w:space="0" w:color="auto"/>
              <w:right w:val="nil"/>
            </w:tcBorders>
          </w:tcPr>
          <w:p w14:paraId="51064F0A" w14:textId="4C9016FF" w:rsidR="009C694F" w:rsidRPr="007A27B5" w:rsidRDefault="009C694F" w:rsidP="000D03D3">
            <w:pPr>
              <w:pStyle w:val="APVMATableText"/>
            </w:pPr>
            <w:r w:rsidRPr="000E58CA">
              <w:t>Cyhalothrin, sum of isomers</w:t>
            </w:r>
          </w:p>
        </w:tc>
        <w:tc>
          <w:tcPr>
            <w:tcW w:w="644" w:type="pct"/>
            <w:tcBorders>
              <w:top w:val="single" w:sz="4" w:space="0" w:color="auto"/>
              <w:left w:val="nil"/>
              <w:bottom w:val="single" w:sz="4" w:space="0" w:color="auto"/>
              <w:right w:val="nil"/>
            </w:tcBorders>
          </w:tcPr>
          <w:p w14:paraId="7A130760" w14:textId="13D9864B" w:rsidR="009C694F" w:rsidRPr="007A27B5" w:rsidRDefault="009C694F" w:rsidP="000D03D3">
            <w:pPr>
              <w:pStyle w:val="APVMATableText"/>
            </w:pPr>
            <w:r w:rsidRPr="000E58CA">
              <w:t>Lambda-cyhalothrin (includes gamma-cyhalothrin( (sum of R,S and S,R isomers) (F)</w:t>
            </w:r>
          </w:p>
        </w:tc>
        <w:tc>
          <w:tcPr>
            <w:tcW w:w="644" w:type="pct"/>
            <w:tcBorders>
              <w:top w:val="single" w:sz="4" w:space="0" w:color="auto"/>
              <w:left w:val="nil"/>
              <w:bottom w:val="single" w:sz="4" w:space="0" w:color="auto"/>
              <w:right w:val="nil"/>
            </w:tcBorders>
          </w:tcPr>
          <w:p w14:paraId="470ED86C" w14:textId="107B8081" w:rsidR="009C694F" w:rsidRPr="007A27B5" w:rsidRDefault="009C694F" w:rsidP="000D03D3">
            <w:pPr>
              <w:pStyle w:val="APVMATableText"/>
            </w:pPr>
            <w:r w:rsidRPr="000E58CA">
              <w:t>Cyhalothrin (includes lambda-cyhalothrin)</w:t>
            </w:r>
          </w:p>
        </w:tc>
        <w:tc>
          <w:tcPr>
            <w:tcW w:w="807" w:type="pct"/>
            <w:tcBorders>
              <w:top w:val="single" w:sz="4" w:space="0" w:color="auto"/>
              <w:left w:val="nil"/>
              <w:bottom w:val="single" w:sz="4" w:space="0" w:color="auto"/>
              <w:right w:val="nil"/>
            </w:tcBorders>
          </w:tcPr>
          <w:p w14:paraId="1F918C77" w14:textId="5A2DF793" w:rsidR="009C694F" w:rsidRPr="007A27B5" w:rsidRDefault="009C694F" w:rsidP="000D03D3">
            <w:pPr>
              <w:pStyle w:val="APVMATableText"/>
            </w:pPr>
            <w:r w:rsidRPr="000E58CA">
              <w:t>Cyhalothrin (sum of all isomers)</w:t>
            </w:r>
          </w:p>
        </w:tc>
        <w:tc>
          <w:tcPr>
            <w:tcW w:w="1608" w:type="pct"/>
            <w:tcBorders>
              <w:top w:val="single" w:sz="4" w:space="0" w:color="auto"/>
              <w:left w:val="nil"/>
              <w:bottom w:val="single" w:sz="4" w:space="0" w:color="auto"/>
              <w:right w:val="nil"/>
            </w:tcBorders>
          </w:tcPr>
          <w:p w14:paraId="3159CB2C" w14:textId="751D54D1" w:rsidR="009C694F" w:rsidRPr="007A27B5" w:rsidRDefault="008E7BF1" w:rsidP="000D03D3">
            <w:pPr>
              <w:pStyle w:val="APVMATableText"/>
            </w:pPr>
            <w:r>
              <w:t>C</w:t>
            </w:r>
            <w:r w:rsidR="009C694F" w:rsidRPr="000E58CA">
              <w:t xml:space="preserve">ombined residues of the pyrethroid lambda-cyhalothrin, 1:1 mixture of (S)-α-cyano-3-phenoxybenzyl-(Z)-(1R,3R)-3-(2-chloro-3,3,3-trifluoroprop-1-enyl)-2,2-dimethylcyclopropanecarboxylate and (R)-α-cyano-3-phenoxybenzyl-(Z)-(1S,3S)-3-(2-chloro-3,3,3-trifluoroprop-1-enyl)-2,2-dimethylcyclopropanecarboxylate </w:t>
            </w:r>
            <w:proofErr w:type="spellStart"/>
            <w:r w:rsidR="009C694F" w:rsidRPr="000E58CA">
              <w:t>and</w:t>
            </w:r>
            <w:proofErr w:type="spellEnd"/>
            <w:r w:rsidR="009C694F" w:rsidRPr="000E58CA">
              <w:t xml:space="preserve"> its epimer expressed as epimer of lambda-cyhalothrin, a 1:1 mixture of (S)-α-cyano-3-phenoxybenzyl-(Z)-(1S,3S)-3-(2-chloro-3,3,3-trifluoroprop-1-enyl)-2,2-dimethylcyclopropanecarboxylate and (R)-α-cyano-3-phenoxybenzyl-(Z)-(1R,3R)-3-(2-chloro-3,3,3-trifluoroprop-1-enyl)-2,2-dimethylcyclopropanecarboxylate</w:t>
            </w:r>
          </w:p>
        </w:tc>
      </w:tr>
      <w:tr w:rsidR="009C694F" w14:paraId="3F6AD3B1" w14:textId="77777777" w:rsidTr="006C2F1E">
        <w:tc>
          <w:tcPr>
            <w:tcW w:w="638" w:type="pct"/>
            <w:tcBorders>
              <w:top w:val="single" w:sz="4" w:space="0" w:color="auto"/>
              <w:left w:val="nil"/>
              <w:bottom w:val="single" w:sz="4" w:space="0" w:color="auto"/>
              <w:right w:val="nil"/>
            </w:tcBorders>
          </w:tcPr>
          <w:p w14:paraId="546D344C" w14:textId="34A1399A" w:rsidR="009C694F" w:rsidRPr="006C2F1E" w:rsidRDefault="009C694F" w:rsidP="006C2F1E">
            <w:pPr>
              <w:pStyle w:val="APVMATableText"/>
            </w:pPr>
            <w:r w:rsidRPr="006C2F1E">
              <w:t>Oaten hay</w:t>
            </w:r>
          </w:p>
        </w:tc>
        <w:tc>
          <w:tcPr>
            <w:tcW w:w="660" w:type="pct"/>
            <w:tcBorders>
              <w:top w:val="single" w:sz="4" w:space="0" w:color="auto"/>
              <w:left w:val="nil"/>
              <w:bottom w:val="single" w:sz="4" w:space="0" w:color="auto"/>
              <w:right w:val="nil"/>
            </w:tcBorders>
          </w:tcPr>
          <w:p w14:paraId="7C7C215F" w14:textId="0BF09195" w:rsidR="009C694F" w:rsidRPr="006C2F1E" w:rsidRDefault="009C694F" w:rsidP="006C2F1E">
            <w:pPr>
              <w:pStyle w:val="APVMATableText"/>
            </w:pPr>
            <w:r w:rsidRPr="006C2F1E">
              <w:t>2 (Forage and fodder of cereal grains)</w:t>
            </w:r>
          </w:p>
        </w:tc>
        <w:tc>
          <w:tcPr>
            <w:tcW w:w="644" w:type="pct"/>
            <w:tcBorders>
              <w:top w:val="single" w:sz="4" w:space="0" w:color="auto"/>
              <w:left w:val="nil"/>
              <w:bottom w:val="single" w:sz="4" w:space="0" w:color="auto"/>
              <w:right w:val="nil"/>
            </w:tcBorders>
          </w:tcPr>
          <w:p w14:paraId="41192A94" w14:textId="30572A88" w:rsidR="009C694F" w:rsidRPr="006C2F1E" w:rsidRDefault="006C2F1E" w:rsidP="006C2F1E">
            <w:pPr>
              <w:pStyle w:val="APVMATableText"/>
            </w:pPr>
            <w:r w:rsidRPr="006C2F1E">
              <w:t>–</w:t>
            </w:r>
          </w:p>
        </w:tc>
        <w:tc>
          <w:tcPr>
            <w:tcW w:w="644" w:type="pct"/>
            <w:tcBorders>
              <w:top w:val="single" w:sz="4" w:space="0" w:color="auto"/>
              <w:left w:val="nil"/>
              <w:bottom w:val="single" w:sz="4" w:space="0" w:color="auto"/>
              <w:right w:val="nil"/>
            </w:tcBorders>
          </w:tcPr>
          <w:p w14:paraId="7D834D59" w14:textId="177A89B6" w:rsidR="009C694F" w:rsidRPr="006C2F1E" w:rsidRDefault="009C694F" w:rsidP="006C2F1E">
            <w:pPr>
              <w:pStyle w:val="APVMATableText"/>
            </w:pPr>
            <w:r w:rsidRPr="006C2F1E">
              <w:t>0.6 (Forage and fodder)</w:t>
            </w:r>
          </w:p>
        </w:tc>
        <w:tc>
          <w:tcPr>
            <w:tcW w:w="807" w:type="pct"/>
            <w:tcBorders>
              <w:top w:val="single" w:sz="4" w:space="0" w:color="auto"/>
              <w:left w:val="nil"/>
              <w:bottom w:val="single" w:sz="4" w:space="0" w:color="auto"/>
              <w:right w:val="nil"/>
            </w:tcBorders>
          </w:tcPr>
          <w:p w14:paraId="313B4A84" w14:textId="10822926" w:rsidR="009C694F" w:rsidRPr="006C2F1E" w:rsidRDefault="009C694F" w:rsidP="006C2F1E">
            <w:pPr>
              <w:pStyle w:val="APVMATableText"/>
            </w:pPr>
            <w:r w:rsidRPr="006C2F1E">
              <w:t>2 (Straw and hay of cereal grains (excluding pseudocereals) (subgroup))</w:t>
            </w:r>
          </w:p>
        </w:tc>
        <w:tc>
          <w:tcPr>
            <w:tcW w:w="1608" w:type="pct"/>
            <w:tcBorders>
              <w:top w:val="single" w:sz="4" w:space="0" w:color="auto"/>
              <w:left w:val="nil"/>
              <w:bottom w:val="single" w:sz="4" w:space="0" w:color="auto"/>
              <w:right w:val="nil"/>
            </w:tcBorders>
          </w:tcPr>
          <w:p w14:paraId="6EE76DC3" w14:textId="10D374A7" w:rsidR="009C694F" w:rsidRPr="006C2F1E" w:rsidRDefault="009C694F" w:rsidP="006C2F1E">
            <w:pPr>
              <w:pStyle w:val="APVMATableText"/>
            </w:pPr>
            <w:r w:rsidRPr="006C2F1E">
              <w:t>2.0 (Oat, hay)</w:t>
            </w:r>
          </w:p>
        </w:tc>
      </w:tr>
    </w:tbl>
    <w:p w14:paraId="7421D16B" w14:textId="60C86864" w:rsidR="006D36C8" w:rsidRPr="000D03D3" w:rsidRDefault="006D36C8" w:rsidP="006C2F1E">
      <w:pPr>
        <w:pStyle w:val="Heading2"/>
      </w:pPr>
      <w:bookmarkStart w:id="39" w:name="_Toc156287462"/>
      <w:bookmarkEnd w:id="36"/>
      <w:r w:rsidRPr="000D03D3">
        <w:lastRenderedPageBreak/>
        <w:t xml:space="preserve">Current Australian MRLs for </w:t>
      </w:r>
      <w:bookmarkEnd w:id="37"/>
      <w:bookmarkEnd w:id="38"/>
      <w:r w:rsidR="005D2FA7" w:rsidRPr="000D03D3">
        <w:t>cyhalothrin</w:t>
      </w:r>
      <w:bookmarkEnd w:id="39"/>
    </w:p>
    <w:p w14:paraId="0204FF6F" w14:textId="0AD27A95" w:rsidR="006338D9" w:rsidRPr="000D03D3" w:rsidRDefault="000D03D3" w:rsidP="006C2F1E">
      <w:pPr>
        <w:pStyle w:val="Caption"/>
      </w:pPr>
      <w:bookmarkStart w:id="40" w:name="_Toc96611087"/>
      <w:bookmarkStart w:id="41" w:name="_Toc97042677"/>
      <w:bookmarkStart w:id="42" w:name="_Toc156287468"/>
      <w:r w:rsidRPr="00B05454">
        <w:t xml:space="preserve">Table </w:t>
      </w:r>
      <w:fldSimple w:instr=" SEQ Table \* ARABIC ">
        <w:r w:rsidR="00243457">
          <w:rPr>
            <w:noProof/>
          </w:rPr>
          <w:t>4</w:t>
        </w:r>
      </w:fldSimple>
      <w:r w:rsidRPr="00B05454">
        <w:t>:</w:t>
      </w:r>
      <w:r w:rsidRPr="00B05454">
        <w:tab/>
      </w:r>
      <w:r w:rsidR="006338D9" w:rsidRPr="000D03D3">
        <w:t>Current MRL Standard – Table 1</w:t>
      </w:r>
      <w:bookmarkEnd w:id="40"/>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338D9" w14:paraId="5C8E83FE" w14:textId="77777777" w:rsidTr="006C2F1E">
        <w:trPr>
          <w:tblHeader/>
        </w:trPr>
        <w:tc>
          <w:tcPr>
            <w:tcW w:w="1613" w:type="pct"/>
            <w:tcBorders>
              <w:top w:val="single" w:sz="4" w:space="0" w:color="auto"/>
              <w:left w:val="nil"/>
              <w:bottom w:val="single" w:sz="4" w:space="0" w:color="auto"/>
              <w:right w:val="nil"/>
            </w:tcBorders>
            <w:shd w:val="clear" w:color="auto" w:fill="00747A" w:themeFill="background2"/>
          </w:tcPr>
          <w:p w14:paraId="14C7E59F" w14:textId="77777777" w:rsidR="006338D9" w:rsidRPr="000D03D3" w:rsidRDefault="006338D9" w:rsidP="006C2F1E">
            <w:pPr>
              <w:pStyle w:val="APVMATableHead"/>
            </w:pPr>
            <w:r w:rsidRPr="000D03D3">
              <w:t>Compound</w:t>
            </w:r>
          </w:p>
        </w:tc>
        <w:tc>
          <w:tcPr>
            <w:tcW w:w="2392" w:type="pct"/>
            <w:tcBorders>
              <w:top w:val="single" w:sz="4" w:space="0" w:color="auto"/>
              <w:left w:val="nil"/>
              <w:bottom w:val="single" w:sz="4" w:space="0" w:color="auto"/>
              <w:right w:val="nil"/>
            </w:tcBorders>
            <w:shd w:val="clear" w:color="auto" w:fill="00747A" w:themeFill="background2"/>
          </w:tcPr>
          <w:p w14:paraId="53C0C341" w14:textId="77777777" w:rsidR="006338D9" w:rsidRPr="000D03D3" w:rsidRDefault="006338D9" w:rsidP="006C2F1E">
            <w:pPr>
              <w:pStyle w:val="APVMATableHead"/>
            </w:pPr>
            <w:r w:rsidRPr="000D03D3">
              <w:t>Food</w:t>
            </w:r>
          </w:p>
        </w:tc>
        <w:tc>
          <w:tcPr>
            <w:tcW w:w="995" w:type="pct"/>
            <w:tcBorders>
              <w:top w:val="single" w:sz="4" w:space="0" w:color="auto"/>
              <w:left w:val="nil"/>
              <w:bottom w:val="single" w:sz="4" w:space="0" w:color="auto"/>
              <w:right w:val="nil"/>
            </w:tcBorders>
            <w:shd w:val="clear" w:color="auto" w:fill="00747A" w:themeFill="background2"/>
          </w:tcPr>
          <w:p w14:paraId="250F71D3" w14:textId="77777777" w:rsidR="006338D9" w:rsidRPr="000D03D3" w:rsidRDefault="006338D9" w:rsidP="006C2F1E">
            <w:pPr>
              <w:pStyle w:val="APVMATableHeadRight"/>
            </w:pPr>
            <w:r w:rsidRPr="000D03D3">
              <w:t>MRL (mg/kg)</w:t>
            </w:r>
          </w:p>
        </w:tc>
      </w:tr>
      <w:tr w:rsidR="006338D9" w14:paraId="2BCB1CFE" w14:textId="77777777" w:rsidTr="006C2F1E">
        <w:tc>
          <w:tcPr>
            <w:tcW w:w="5000" w:type="pct"/>
            <w:gridSpan w:val="3"/>
            <w:tcBorders>
              <w:top w:val="single" w:sz="4" w:space="0" w:color="auto"/>
              <w:left w:val="nil"/>
              <w:bottom w:val="single" w:sz="4" w:space="0" w:color="auto"/>
              <w:right w:val="nil"/>
            </w:tcBorders>
          </w:tcPr>
          <w:p w14:paraId="626A8708" w14:textId="2D337094" w:rsidR="006338D9" w:rsidRPr="000D03D3" w:rsidRDefault="005D2FA7" w:rsidP="006C2F1E">
            <w:pPr>
              <w:pStyle w:val="MRLActiveName"/>
              <w:keepNext/>
              <w:keepLines/>
            </w:pPr>
            <w:r w:rsidRPr="000D03D3">
              <w:t>Cyhalothrin</w:t>
            </w:r>
          </w:p>
        </w:tc>
      </w:tr>
      <w:tr w:rsidR="006338D9" w14:paraId="270B6E77" w14:textId="77777777" w:rsidTr="006C2F1E">
        <w:tc>
          <w:tcPr>
            <w:tcW w:w="1613" w:type="pct"/>
            <w:tcBorders>
              <w:top w:val="single" w:sz="4" w:space="0" w:color="auto"/>
              <w:left w:val="nil"/>
              <w:bottom w:val="single" w:sz="4" w:space="0" w:color="auto"/>
              <w:right w:val="nil"/>
            </w:tcBorders>
          </w:tcPr>
          <w:p w14:paraId="2A240302" w14:textId="0ED7398A" w:rsidR="006338D9" w:rsidRPr="000D03D3" w:rsidRDefault="005D2FA7" w:rsidP="000D03D3">
            <w:pPr>
              <w:pStyle w:val="APVMATableText"/>
            </w:pPr>
            <w:r w:rsidRPr="000D03D3">
              <w:t>GC</w:t>
            </w:r>
            <w:r w:rsidR="006338D9" w:rsidRPr="000D03D3">
              <w:tab/>
            </w:r>
            <w:r w:rsidRPr="000D03D3">
              <w:t>0640</w:t>
            </w:r>
          </w:p>
        </w:tc>
        <w:tc>
          <w:tcPr>
            <w:tcW w:w="2392" w:type="pct"/>
            <w:tcBorders>
              <w:top w:val="single" w:sz="4" w:space="0" w:color="auto"/>
              <w:left w:val="nil"/>
              <w:bottom w:val="single" w:sz="4" w:space="0" w:color="auto"/>
              <w:right w:val="nil"/>
            </w:tcBorders>
          </w:tcPr>
          <w:p w14:paraId="4294292F" w14:textId="6C43E3AB" w:rsidR="006338D9" w:rsidRPr="000D03D3" w:rsidRDefault="005D2FA7" w:rsidP="000D03D3">
            <w:pPr>
              <w:pStyle w:val="APVMATableText"/>
            </w:pPr>
            <w:r w:rsidRPr="000D03D3">
              <w:t>Barley</w:t>
            </w:r>
          </w:p>
        </w:tc>
        <w:tc>
          <w:tcPr>
            <w:tcW w:w="995" w:type="pct"/>
            <w:tcBorders>
              <w:top w:val="single" w:sz="4" w:space="0" w:color="auto"/>
              <w:left w:val="nil"/>
              <w:bottom w:val="single" w:sz="4" w:space="0" w:color="auto"/>
              <w:right w:val="nil"/>
            </w:tcBorders>
          </w:tcPr>
          <w:p w14:paraId="48FCD886" w14:textId="0ADEF851" w:rsidR="006338D9" w:rsidRPr="000D03D3" w:rsidRDefault="006338D9" w:rsidP="000D03D3">
            <w:pPr>
              <w:pStyle w:val="APVMATableTextRight"/>
            </w:pPr>
            <w:r w:rsidRPr="000D03D3">
              <w:t>0.</w:t>
            </w:r>
            <w:r w:rsidR="005D2FA7" w:rsidRPr="000D03D3">
              <w:t>2</w:t>
            </w:r>
          </w:p>
        </w:tc>
      </w:tr>
      <w:tr w:rsidR="006338D9" w14:paraId="38D0DF9F" w14:textId="77777777" w:rsidTr="006C2F1E">
        <w:tc>
          <w:tcPr>
            <w:tcW w:w="1613" w:type="pct"/>
            <w:tcBorders>
              <w:top w:val="single" w:sz="4" w:space="0" w:color="auto"/>
              <w:left w:val="nil"/>
              <w:bottom w:val="single" w:sz="4" w:space="0" w:color="auto"/>
              <w:right w:val="nil"/>
            </w:tcBorders>
          </w:tcPr>
          <w:p w14:paraId="3E37A81B" w14:textId="23304A70" w:rsidR="006338D9" w:rsidRPr="000D03D3" w:rsidRDefault="005D2FA7" w:rsidP="000D03D3">
            <w:pPr>
              <w:pStyle w:val="APVMATableText"/>
            </w:pPr>
            <w:r w:rsidRPr="000D03D3">
              <w:t>GC</w:t>
            </w:r>
            <w:r w:rsidR="006338D9" w:rsidRPr="000D03D3">
              <w:tab/>
              <w:t>00</w:t>
            </w:r>
            <w:r w:rsidRPr="000D03D3">
              <w:t>80</w:t>
            </w:r>
          </w:p>
        </w:tc>
        <w:tc>
          <w:tcPr>
            <w:tcW w:w="2392" w:type="pct"/>
            <w:tcBorders>
              <w:top w:val="single" w:sz="4" w:space="0" w:color="auto"/>
              <w:left w:val="nil"/>
              <w:bottom w:val="single" w:sz="4" w:space="0" w:color="auto"/>
              <w:right w:val="nil"/>
            </w:tcBorders>
          </w:tcPr>
          <w:p w14:paraId="7838FBCE" w14:textId="14BDE1DA" w:rsidR="006338D9" w:rsidRPr="000D03D3" w:rsidRDefault="005D2FA7" w:rsidP="000D03D3">
            <w:pPr>
              <w:pStyle w:val="APVMATableText"/>
            </w:pPr>
            <w:r w:rsidRPr="000D03D3">
              <w:t>Cereal grains {except Barley; Sorghum; Wheat}</w:t>
            </w:r>
          </w:p>
        </w:tc>
        <w:tc>
          <w:tcPr>
            <w:tcW w:w="995" w:type="pct"/>
            <w:tcBorders>
              <w:top w:val="single" w:sz="4" w:space="0" w:color="auto"/>
              <w:left w:val="nil"/>
              <w:bottom w:val="single" w:sz="4" w:space="0" w:color="auto"/>
              <w:right w:val="nil"/>
            </w:tcBorders>
          </w:tcPr>
          <w:p w14:paraId="3D211289" w14:textId="076553F4" w:rsidR="006338D9" w:rsidRPr="000D03D3" w:rsidRDefault="005D2FA7" w:rsidP="000D03D3">
            <w:pPr>
              <w:pStyle w:val="APVMATableTextRight"/>
            </w:pPr>
            <w:r w:rsidRPr="000D03D3">
              <w:t>*0.01</w:t>
            </w:r>
          </w:p>
        </w:tc>
      </w:tr>
      <w:tr w:rsidR="005D2FA7" w14:paraId="1C855534" w14:textId="77777777" w:rsidTr="006C2F1E">
        <w:tc>
          <w:tcPr>
            <w:tcW w:w="1613" w:type="pct"/>
            <w:tcBorders>
              <w:top w:val="single" w:sz="4" w:space="0" w:color="auto"/>
              <w:left w:val="nil"/>
              <w:bottom w:val="single" w:sz="4" w:space="0" w:color="auto"/>
              <w:right w:val="nil"/>
            </w:tcBorders>
          </w:tcPr>
          <w:p w14:paraId="4726463E" w14:textId="4BC96070" w:rsidR="005D2FA7" w:rsidRPr="000D03D3" w:rsidRDefault="005D2FA7" w:rsidP="000D03D3">
            <w:pPr>
              <w:pStyle w:val="APVMATableText"/>
            </w:pPr>
            <w:r w:rsidRPr="000D03D3">
              <w:t>GC</w:t>
            </w:r>
            <w:r w:rsidRPr="000D03D3">
              <w:tab/>
              <w:t>0651</w:t>
            </w:r>
          </w:p>
        </w:tc>
        <w:tc>
          <w:tcPr>
            <w:tcW w:w="2392" w:type="pct"/>
            <w:tcBorders>
              <w:top w:val="single" w:sz="4" w:space="0" w:color="auto"/>
              <w:left w:val="nil"/>
              <w:bottom w:val="single" w:sz="4" w:space="0" w:color="auto"/>
              <w:right w:val="nil"/>
            </w:tcBorders>
          </w:tcPr>
          <w:p w14:paraId="2261A3F9" w14:textId="07FFB4B9" w:rsidR="005D2FA7" w:rsidRPr="000D03D3" w:rsidRDefault="005D2FA7" w:rsidP="000D03D3">
            <w:pPr>
              <w:pStyle w:val="APVMATableText"/>
            </w:pPr>
            <w:r w:rsidRPr="000D03D3">
              <w:t>Sorghum</w:t>
            </w:r>
          </w:p>
        </w:tc>
        <w:tc>
          <w:tcPr>
            <w:tcW w:w="995" w:type="pct"/>
            <w:tcBorders>
              <w:top w:val="single" w:sz="4" w:space="0" w:color="auto"/>
              <w:left w:val="nil"/>
              <w:bottom w:val="single" w:sz="4" w:space="0" w:color="auto"/>
              <w:right w:val="nil"/>
            </w:tcBorders>
          </w:tcPr>
          <w:p w14:paraId="16DC4D11" w14:textId="77C4CC1C" w:rsidR="005D2FA7" w:rsidRPr="000D03D3" w:rsidRDefault="005D2FA7" w:rsidP="000D03D3">
            <w:pPr>
              <w:pStyle w:val="APVMATableTextRight"/>
            </w:pPr>
            <w:r w:rsidRPr="000D03D3">
              <w:t>0.5</w:t>
            </w:r>
          </w:p>
        </w:tc>
      </w:tr>
      <w:tr w:rsidR="005D2FA7" w14:paraId="70A3479F" w14:textId="77777777" w:rsidTr="006C2F1E">
        <w:tc>
          <w:tcPr>
            <w:tcW w:w="1613" w:type="pct"/>
            <w:tcBorders>
              <w:top w:val="single" w:sz="4" w:space="0" w:color="auto"/>
              <w:left w:val="nil"/>
              <w:bottom w:val="single" w:sz="4" w:space="0" w:color="auto"/>
              <w:right w:val="nil"/>
            </w:tcBorders>
          </w:tcPr>
          <w:p w14:paraId="42225F11" w14:textId="3695160D" w:rsidR="005D2FA7" w:rsidRPr="000D03D3" w:rsidRDefault="005D2FA7" w:rsidP="000D03D3">
            <w:pPr>
              <w:pStyle w:val="APVMATableText"/>
            </w:pPr>
            <w:r w:rsidRPr="000D03D3">
              <w:t>GC</w:t>
            </w:r>
            <w:r w:rsidRPr="000D03D3">
              <w:tab/>
              <w:t>0654</w:t>
            </w:r>
          </w:p>
        </w:tc>
        <w:tc>
          <w:tcPr>
            <w:tcW w:w="2392" w:type="pct"/>
            <w:tcBorders>
              <w:top w:val="single" w:sz="4" w:space="0" w:color="auto"/>
              <w:left w:val="nil"/>
              <w:bottom w:val="single" w:sz="4" w:space="0" w:color="auto"/>
              <w:right w:val="nil"/>
            </w:tcBorders>
          </w:tcPr>
          <w:p w14:paraId="3BA5EB57" w14:textId="17762155" w:rsidR="005D2FA7" w:rsidRPr="000D03D3" w:rsidRDefault="005D2FA7" w:rsidP="000D03D3">
            <w:pPr>
              <w:pStyle w:val="APVMATableText"/>
            </w:pPr>
            <w:r w:rsidRPr="000D03D3">
              <w:t>Wheat</w:t>
            </w:r>
          </w:p>
        </w:tc>
        <w:tc>
          <w:tcPr>
            <w:tcW w:w="995" w:type="pct"/>
            <w:tcBorders>
              <w:top w:val="single" w:sz="4" w:space="0" w:color="auto"/>
              <w:left w:val="nil"/>
              <w:bottom w:val="single" w:sz="4" w:space="0" w:color="auto"/>
              <w:right w:val="nil"/>
            </w:tcBorders>
          </w:tcPr>
          <w:p w14:paraId="67422C1D" w14:textId="6C446863" w:rsidR="005D2FA7" w:rsidRPr="000D03D3" w:rsidRDefault="005D2FA7" w:rsidP="000D03D3">
            <w:pPr>
              <w:pStyle w:val="APVMATableTextRight"/>
            </w:pPr>
            <w:r w:rsidRPr="000D03D3">
              <w:t>*0.05</w:t>
            </w:r>
          </w:p>
        </w:tc>
      </w:tr>
    </w:tbl>
    <w:p w14:paraId="14C9C633" w14:textId="22D5A41C" w:rsidR="006338D9" w:rsidRPr="000D03D3" w:rsidRDefault="000D03D3" w:rsidP="000D03D3">
      <w:pPr>
        <w:pStyle w:val="Caption"/>
      </w:pPr>
      <w:bookmarkStart w:id="43" w:name="_Toc96611089"/>
      <w:bookmarkStart w:id="44" w:name="_Toc97042679"/>
      <w:bookmarkStart w:id="45" w:name="_Toc156287469"/>
      <w:r w:rsidRPr="00B05454">
        <w:t xml:space="preserve">Table </w:t>
      </w:r>
      <w:fldSimple w:instr=" SEQ Table \* ARABIC ">
        <w:r w:rsidR="00243457">
          <w:rPr>
            <w:noProof/>
          </w:rPr>
          <w:t>5</w:t>
        </w:r>
      </w:fldSimple>
      <w:r w:rsidRPr="00B05454">
        <w:t>:</w:t>
      </w:r>
      <w:r w:rsidRPr="00B05454">
        <w:tab/>
      </w:r>
      <w:r w:rsidR="006338D9" w:rsidRPr="000D03D3">
        <w:t>Current MRL Standard – Table 4</w:t>
      </w:r>
      <w:bookmarkEnd w:id="43"/>
      <w:bookmarkEnd w:id="44"/>
      <w:bookmarkEnd w:id="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338D9" w14:paraId="5C0EFAC8" w14:textId="77777777" w:rsidTr="006C2F1E">
        <w:trPr>
          <w:tblHeader/>
        </w:trPr>
        <w:tc>
          <w:tcPr>
            <w:tcW w:w="1613" w:type="pct"/>
            <w:tcBorders>
              <w:top w:val="single" w:sz="4" w:space="0" w:color="auto"/>
              <w:left w:val="nil"/>
              <w:bottom w:val="single" w:sz="4" w:space="0" w:color="auto"/>
              <w:right w:val="nil"/>
            </w:tcBorders>
            <w:shd w:val="clear" w:color="auto" w:fill="00747A" w:themeFill="background2"/>
          </w:tcPr>
          <w:p w14:paraId="1BC55537" w14:textId="77777777" w:rsidR="006338D9" w:rsidRPr="000D03D3" w:rsidRDefault="006338D9" w:rsidP="000D03D3">
            <w:pPr>
              <w:pStyle w:val="APVMATableHead"/>
            </w:pPr>
            <w:r w:rsidRPr="000D03D3">
              <w:t>Compound</w:t>
            </w:r>
          </w:p>
        </w:tc>
        <w:tc>
          <w:tcPr>
            <w:tcW w:w="2392" w:type="pct"/>
            <w:tcBorders>
              <w:top w:val="single" w:sz="4" w:space="0" w:color="auto"/>
              <w:left w:val="nil"/>
              <w:bottom w:val="single" w:sz="4" w:space="0" w:color="auto"/>
              <w:right w:val="nil"/>
            </w:tcBorders>
            <w:shd w:val="clear" w:color="auto" w:fill="00747A" w:themeFill="background2"/>
          </w:tcPr>
          <w:p w14:paraId="7C62EBC7" w14:textId="77777777" w:rsidR="006338D9" w:rsidRPr="000D03D3" w:rsidRDefault="006338D9" w:rsidP="000D03D3">
            <w:pPr>
              <w:pStyle w:val="APVMATableHead"/>
            </w:pPr>
            <w:r w:rsidRPr="000D03D3">
              <w:t>Food</w:t>
            </w:r>
          </w:p>
        </w:tc>
        <w:tc>
          <w:tcPr>
            <w:tcW w:w="995" w:type="pct"/>
            <w:tcBorders>
              <w:top w:val="single" w:sz="4" w:space="0" w:color="auto"/>
              <w:left w:val="nil"/>
              <w:bottom w:val="single" w:sz="4" w:space="0" w:color="auto"/>
              <w:right w:val="nil"/>
            </w:tcBorders>
            <w:shd w:val="clear" w:color="auto" w:fill="00747A" w:themeFill="background2"/>
          </w:tcPr>
          <w:p w14:paraId="79FC3876" w14:textId="77777777" w:rsidR="006338D9" w:rsidRPr="000D03D3" w:rsidRDefault="006338D9" w:rsidP="000D03D3">
            <w:pPr>
              <w:pStyle w:val="APVMATableHeadRight"/>
            </w:pPr>
            <w:r w:rsidRPr="000D03D3">
              <w:t>MRL (mg/kg)</w:t>
            </w:r>
          </w:p>
        </w:tc>
      </w:tr>
      <w:tr w:rsidR="006338D9" w14:paraId="312E6DCF" w14:textId="77777777" w:rsidTr="006C2F1E">
        <w:tc>
          <w:tcPr>
            <w:tcW w:w="5000" w:type="pct"/>
            <w:gridSpan w:val="3"/>
            <w:tcBorders>
              <w:top w:val="single" w:sz="4" w:space="0" w:color="auto"/>
              <w:left w:val="nil"/>
              <w:bottom w:val="single" w:sz="4" w:space="0" w:color="auto"/>
              <w:right w:val="nil"/>
            </w:tcBorders>
          </w:tcPr>
          <w:p w14:paraId="45B7A47F" w14:textId="1D4E5DB1" w:rsidR="006338D9" w:rsidRPr="000D03D3" w:rsidRDefault="005D2FA7" w:rsidP="000D03D3">
            <w:pPr>
              <w:pStyle w:val="MRLActiveName"/>
            </w:pPr>
            <w:r w:rsidRPr="000D03D3">
              <w:t>Cyhalothrin</w:t>
            </w:r>
          </w:p>
        </w:tc>
      </w:tr>
      <w:tr w:rsidR="006338D9" w14:paraId="527E8294" w14:textId="77777777" w:rsidTr="006C2F1E">
        <w:tc>
          <w:tcPr>
            <w:tcW w:w="1613" w:type="pct"/>
            <w:tcBorders>
              <w:top w:val="single" w:sz="4" w:space="0" w:color="auto"/>
              <w:left w:val="nil"/>
              <w:bottom w:val="single" w:sz="4" w:space="0" w:color="auto"/>
              <w:right w:val="nil"/>
            </w:tcBorders>
          </w:tcPr>
          <w:p w14:paraId="5D377796" w14:textId="77777777" w:rsidR="006338D9" w:rsidRPr="000D03D3" w:rsidRDefault="006338D9" w:rsidP="000D03D3">
            <w:pPr>
              <w:pStyle w:val="APVMATableText"/>
            </w:pPr>
          </w:p>
        </w:tc>
        <w:tc>
          <w:tcPr>
            <w:tcW w:w="2392" w:type="pct"/>
            <w:tcBorders>
              <w:top w:val="single" w:sz="4" w:space="0" w:color="auto"/>
              <w:left w:val="nil"/>
              <w:bottom w:val="single" w:sz="4" w:space="0" w:color="auto"/>
              <w:right w:val="nil"/>
            </w:tcBorders>
          </w:tcPr>
          <w:p w14:paraId="33F3AA15" w14:textId="48056884" w:rsidR="006338D9" w:rsidRPr="000D03D3" w:rsidRDefault="005D2FA7" w:rsidP="000D03D3">
            <w:pPr>
              <w:pStyle w:val="APVMATableText"/>
            </w:pPr>
            <w:r w:rsidRPr="000D03D3">
              <w:t>Forage and fodder of cereal grains</w:t>
            </w:r>
          </w:p>
        </w:tc>
        <w:tc>
          <w:tcPr>
            <w:tcW w:w="995" w:type="pct"/>
            <w:tcBorders>
              <w:top w:val="single" w:sz="4" w:space="0" w:color="auto"/>
              <w:left w:val="nil"/>
              <w:bottom w:val="single" w:sz="4" w:space="0" w:color="auto"/>
              <w:right w:val="nil"/>
            </w:tcBorders>
          </w:tcPr>
          <w:p w14:paraId="25D0B362" w14:textId="4A72B655" w:rsidR="006338D9" w:rsidRPr="000D03D3" w:rsidRDefault="005D2FA7" w:rsidP="000D03D3">
            <w:pPr>
              <w:pStyle w:val="APVMATableTextRight"/>
            </w:pPr>
            <w:r w:rsidRPr="000D03D3">
              <w:t>2</w:t>
            </w:r>
          </w:p>
        </w:tc>
      </w:tr>
    </w:tbl>
    <w:p w14:paraId="4E5AE5E3" w14:textId="4B00F039" w:rsidR="006338D9" w:rsidRPr="000D03D3" w:rsidRDefault="006D36C8" w:rsidP="000D03D3">
      <w:pPr>
        <w:pStyle w:val="Heading2"/>
      </w:pPr>
      <w:bookmarkStart w:id="46" w:name="_Toc231889751"/>
      <w:bookmarkStart w:id="47" w:name="_Toc2243854"/>
      <w:bookmarkStart w:id="48" w:name="_Toc156287463"/>
      <w:r w:rsidRPr="000D03D3">
        <w:t>Potential risk to trade</w:t>
      </w:r>
      <w:bookmarkEnd w:id="46"/>
      <w:bookmarkEnd w:id="47"/>
      <w:bookmarkEnd w:id="48"/>
    </w:p>
    <w:p w14:paraId="10320F62" w14:textId="60CBD821" w:rsidR="006338D9" w:rsidRDefault="006338D9" w:rsidP="000D03D3">
      <w:pPr>
        <w:pStyle w:val="APVMAText"/>
      </w:pPr>
      <w:r w:rsidRPr="00092BB9">
        <w:t xml:space="preserve">Export of treated produce containing </w:t>
      </w:r>
      <w:r>
        <w:t xml:space="preserve">finite (measurable) residues of </w:t>
      </w:r>
      <w:r w:rsidR="00E11C10">
        <w:t>cyhalothrin</w:t>
      </w:r>
      <w:r>
        <w:t xml:space="preserve"> </w:t>
      </w:r>
      <w:r w:rsidRPr="00092BB9">
        <w:t>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0751BEE5" w14:textId="1D449AC5" w:rsidR="006338D9" w:rsidRPr="006338D9" w:rsidRDefault="00E11C10" w:rsidP="006338D9">
      <w:pPr>
        <w:pStyle w:val="APVMAText"/>
        <w:sectPr w:rsidR="006338D9" w:rsidRPr="006338D9" w:rsidSect="000E58CA">
          <w:headerReference w:type="even" r:id="rId26"/>
          <w:pgSz w:w="11906" w:h="16838" w:code="9"/>
          <w:pgMar w:top="2835" w:right="1134" w:bottom="1134" w:left="1134" w:header="1701" w:footer="680" w:gutter="0"/>
          <w:cols w:space="708"/>
          <w:docGrid w:linePitch="360"/>
        </w:sectPr>
      </w:pPr>
      <w:r w:rsidRPr="00E11C10">
        <w:t>The currently established cyhalothrin MRL of 2</w:t>
      </w:r>
      <w:r w:rsidR="006C2F1E">
        <w:t> </w:t>
      </w:r>
      <w:r w:rsidRPr="00E11C10">
        <w:t>mg/kg for Forage and fodder of cereal grains is equivalent to the Codex and US MRL for Straw and hay of cereal grains (excluding pseudocereals) (subgroup) and Oat, hay, respectively. It is greater than the Japan MRL for Forage and fodder</w:t>
      </w:r>
      <w:r w:rsidR="008E7BF1">
        <w:t>;</w:t>
      </w:r>
      <w:r w:rsidRPr="00E11C10">
        <w:t xml:space="preserve"> </w:t>
      </w:r>
      <w:r w:rsidR="001C0CA7">
        <w:t>however,</w:t>
      </w:r>
      <w:r w:rsidRPr="00E11C10">
        <w:t xml:space="preserve"> the </w:t>
      </w:r>
      <w:r w:rsidR="001C0CA7">
        <w:t>high residues (</w:t>
      </w:r>
      <w:r w:rsidRPr="00E11C10">
        <w:t>HR</w:t>
      </w:r>
      <w:r w:rsidR="001C0CA7">
        <w:t>)</w:t>
      </w:r>
      <w:r w:rsidRPr="00E11C10">
        <w:t xml:space="preserve"> in oat forage and fodder in the available trials </w:t>
      </w:r>
      <w:r w:rsidR="001C0CA7">
        <w:t>at 0.26</w:t>
      </w:r>
      <w:r w:rsidR="006C2F1E">
        <w:t> </w:t>
      </w:r>
      <w:r w:rsidR="001C0CA7">
        <w:t xml:space="preserve">mg/kg </w:t>
      </w:r>
      <w:r w:rsidRPr="00E11C10">
        <w:t>was below the Japanese MRL. It is noted that an oaten hay MRL is currently not established in Japan.</w:t>
      </w:r>
    </w:p>
    <w:p w14:paraId="66150D10" w14:textId="664325A4" w:rsidR="002E20AC" w:rsidRPr="000D03D3" w:rsidRDefault="007B1953" w:rsidP="000D03D3">
      <w:pPr>
        <w:pStyle w:val="Heading1"/>
      </w:pPr>
      <w:bookmarkStart w:id="49" w:name="_Toc156287464"/>
      <w:r w:rsidRPr="000D03D3">
        <w:lastRenderedPageBreak/>
        <w:t>C</w:t>
      </w:r>
      <w:r w:rsidR="006D36C8" w:rsidRPr="000D03D3">
        <w:t>onclusion</w:t>
      </w:r>
      <w:bookmarkEnd w:id="49"/>
    </w:p>
    <w:p w14:paraId="104C2365" w14:textId="73F53AD4" w:rsidR="006338D9" w:rsidRPr="000D03D3" w:rsidRDefault="00E11C10" w:rsidP="000D03D3">
      <w:pPr>
        <w:pStyle w:val="APVMAText"/>
      </w:pPr>
      <w:r w:rsidRPr="000D03D3">
        <w:t>FMC Australasia Pty Ltd</w:t>
      </w:r>
      <w:r w:rsidR="006338D9" w:rsidRPr="000D03D3">
        <w:t xml:space="preserve"> Pty Ltd has applied to vary the registration of </w:t>
      </w:r>
      <w:r w:rsidRPr="000D03D3">
        <w:t>Trojan Insecticide</w:t>
      </w:r>
      <w:r w:rsidR="006338D9" w:rsidRPr="000D03D3">
        <w:t xml:space="preserve"> containing </w:t>
      </w:r>
      <w:r w:rsidRPr="000D03D3">
        <w:t>gamma-cyhalothrin</w:t>
      </w:r>
      <w:r w:rsidR="006338D9" w:rsidRPr="000D03D3">
        <w:t xml:space="preserve"> to add a use on </w:t>
      </w:r>
      <w:r w:rsidRPr="000D03D3">
        <w:t>oats, rye and triticale</w:t>
      </w:r>
      <w:r w:rsidR="006338D9" w:rsidRPr="000D03D3">
        <w:t>.</w:t>
      </w:r>
    </w:p>
    <w:p w14:paraId="1A9C68A4" w14:textId="7704F49C" w:rsidR="009D452E" w:rsidRDefault="006338D9" w:rsidP="000D03D3">
      <w:pPr>
        <w:pStyle w:val="APVMAText"/>
      </w:pPr>
      <w:r w:rsidRPr="000D03D3">
        <w:t xml:space="preserve">Comment is sought on the potential for the use of </w:t>
      </w:r>
      <w:r w:rsidR="00E11C10" w:rsidRPr="000D03D3">
        <w:t>Trojan Insecticide</w:t>
      </w:r>
      <w:r w:rsidRPr="000D03D3">
        <w:t xml:space="preserve"> on </w:t>
      </w:r>
      <w:r w:rsidR="00E11C10" w:rsidRPr="000D03D3">
        <w:t>oats</w:t>
      </w:r>
      <w:r w:rsidR="00127F16" w:rsidRPr="000D03D3">
        <w:t xml:space="preserve"> for hay production</w:t>
      </w:r>
      <w:r w:rsidRPr="000D03D3">
        <w:t xml:space="preserve"> to prejudice Australian trade when used according to the proposed label instructions.</w:t>
      </w:r>
    </w:p>
    <w:sectPr w:rsidR="009D452E">
      <w:headerReference w:type="even" r:id="rId27"/>
      <w:headerReference w:type="default" r:id="rId2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3C5F" w14:textId="77777777" w:rsidR="00967A80" w:rsidRDefault="00967A80">
      <w:r>
        <w:separator/>
      </w:r>
    </w:p>
    <w:p w14:paraId="0BFBE38E" w14:textId="77777777" w:rsidR="00967A80" w:rsidRDefault="00967A80"/>
    <w:p w14:paraId="5955664C" w14:textId="77777777" w:rsidR="00967A80" w:rsidRDefault="00967A80"/>
  </w:endnote>
  <w:endnote w:type="continuationSeparator" w:id="0">
    <w:p w14:paraId="57E1FA9A" w14:textId="77777777" w:rsidR="00967A80" w:rsidRDefault="00967A80">
      <w:r>
        <w:continuationSeparator/>
      </w:r>
    </w:p>
    <w:p w14:paraId="1357C615" w14:textId="77777777" w:rsidR="00967A80" w:rsidRDefault="00967A80"/>
    <w:p w14:paraId="2956C8D4" w14:textId="77777777" w:rsidR="00967A80" w:rsidRDefault="00967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ABB9" w14:textId="77777777" w:rsidR="00967A80" w:rsidRDefault="00967A80">
      <w:r>
        <w:separator/>
      </w:r>
    </w:p>
  </w:footnote>
  <w:footnote w:type="continuationSeparator" w:id="0">
    <w:p w14:paraId="30198C6E" w14:textId="77777777" w:rsidR="00967A80" w:rsidRDefault="00967A80">
      <w:pPr>
        <w:spacing w:line="180" w:lineRule="exact"/>
        <w:rPr>
          <w:sz w:val="16"/>
        </w:rPr>
      </w:pPr>
      <w:r>
        <w:rPr>
          <w:sz w:val="16"/>
        </w:rPr>
        <w:continuationSeparator/>
      </w:r>
    </w:p>
    <w:p w14:paraId="5F2D2403" w14:textId="77777777" w:rsidR="00967A80" w:rsidRDefault="00967A80"/>
    <w:p w14:paraId="61CB6EF0" w14:textId="77777777" w:rsidR="00967A80" w:rsidRDefault="00967A80"/>
  </w:footnote>
  <w:footnote w:type="continuationNotice" w:id="1">
    <w:p w14:paraId="4A14B74B" w14:textId="77777777" w:rsidR="00967A80" w:rsidRDefault="00967A80"/>
    <w:p w14:paraId="17C8A62B" w14:textId="77777777" w:rsidR="00967A80" w:rsidRDefault="00967A80"/>
    <w:p w14:paraId="079B8502" w14:textId="77777777" w:rsidR="00967A80" w:rsidRDefault="00967A80"/>
  </w:footnote>
  <w:footnote w:id="2">
    <w:p w14:paraId="6633D78B" w14:textId="4C31E1DD" w:rsidR="00BB3362" w:rsidRDefault="00BB3362">
      <w:pPr>
        <w:pStyle w:val="FootnoteText"/>
      </w:pPr>
      <w:r>
        <w:rPr>
          <w:rStyle w:val="FootnoteReference"/>
        </w:rPr>
        <w:footnoteRef/>
      </w:r>
      <w:r>
        <w:t xml:space="preserve"> </w:t>
      </w:r>
      <w:hyperlink r:id="rId1" w:anchor="major-export-food-commodity-groups" w:history="1">
        <w:r>
          <w:t>Australian Pesticides and Veterinary Medicines Authority</w:t>
        </w:r>
        <w:r w:rsidR="006C2F1E">
          <w:t xml:space="preserve"> (APVMA)</w:t>
        </w:r>
        <w:r w:rsidR="000F4540">
          <w:t>, 2024</w:t>
        </w:r>
        <w:r w:rsidR="006C2F1E">
          <w:t>.</w:t>
        </w:r>
        <w:r>
          <w:t xml:space="preserve"> </w:t>
        </w:r>
        <w:r w:rsidRPr="00BB3362">
          <w:rPr>
            <w:rStyle w:val="Hyperlink"/>
            <w:i/>
            <w:iCs/>
          </w:rPr>
          <w:t xml:space="preserve">APVMA Regulatory Guidelines </w:t>
        </w:r>
        <w:r w:rsidR="006C2F1E">
          <w:rPr>
            <w:rStyle w:val="Hyperlink"/>
            <w:i/>
            <w:iCs/>
          </w:rPr>
          <w:t xml:space="preserve">– </w:t>
        </w:r>
        <w:r w:rsidRPr="00BB3362">
          <w:rPr>
            <w:rStyle w:val="Hyperlink"/>
            <w:i/>
            <w:iCs/>
          </w:rPr>
          <w:t>Data Guidelines: Agricultural - Overseas trade (Part 5B)</w:t>
        </w:r>
      </w:hyperlink>
      <w:r>
        <w:t>, APVMA website, 20 July 2020, accessed November 2023.</w:t>
      </w:r>
    </w:p>
  </w:footnote>
  <w:footnote w:id="3">
    <w:p w14:paraId="29FEFE37" w14:textId="0A0EF198" w:rsidR="00A027B9" w:rsidRDefault="00A027B9">
      <w:pPr>
        <w:pStyle w:val="FootnoteText"/>
      </w:pPr>
      <w:r>
        <w:rPr>
          <w:rStyle w:val="FootnoteReference"/>
        </w:rPr>
        <w:footnoteRef/>
      </w:r>
      <w:r>
        <w:t xml:space="preserve"> Australian Fodder Industry Association (AFIA),</w:t>
      </w:r>
      <w:r w:rsidR="000F4540">
        <w:t xml:space="preserve"> 2023.</w:t>
      </w:r>
      <w:r>
        <w:t xml:space="preserve"> </w:t>
      </w:r>
      <w:hyperlink r:id="rId2" w:history="1">
        <w:r w:rsidRPr="00A027B9">
          <w:rPr>
            <w:rStyle w:val="Hyperlink"/>
            <w:i/>
            <w:iCs/>
          </w:rPr>
          <w:t>About Fodder</w:t>
        </w:r>
      </w:hyperlink>
      <w:r>
        <w:t>, AFIA website, accessed November 2023.</w:t>
      </w:r>
    </w:p>
  </w:footnote>
  <w:footnote w:id="4">
    <w:p w14:paraId="64132591" w14:textId="28A73090" w:rsidR="00A027B9" w:rsidRDefault="00A027B9">
      <w:pPr>
        <w:pStyle w:val="FootnoteText"/>
      </w:pPr>
      <w:r>
        <w:rPr>
          <w:rStyle w:val="FootnoteReference"/>
        </w:rPr>
        <w:footnoteRef/>
      </w:r>
      <w:r>
        <w:t xml:space="preserve"> </w:t>
      </w:r>
      <w:proofErr w:type="spellStart"/>
      <w:r>
        <w:t>AgriFutures</w:t>
      </w:r>
      <w:proofErr w:type="spellEnd"/>
      <w:r>
        <w:t xml:space="preserve"> Australia, </w:t>
      </w:r>
      <w:r w:rsidR="000F4540">
        <w:t xml:space="preserve">2020. </w:t>
      </w:r>
      <w:hyperlink r:id="rId3" w:history="1">
        <w:r w:rsidRPr="00A027B9">
          <w:rPr>
            <w:rStyle w:val="Hyperlink"/>
            <w:i/>
            <w:iCs/>
          </w:rPr>
          <w:t>Improved oat varieties</w:t>
        </w:r>
      </w:hyperlink>
      <w:r>
        <w:t xml:space="preserve">, </w:t>
      </w:r>
      <w:proofErr w:type="spellStart"/>
      <w:r>
        <w:t>AgriFutures</w:t>
      </w:r>
      <w:proofErr w:type="spellEnd"/>
      <w:r>
        <w:t xml:space="preserve"> Australia website, accessed November 2023.</w:t>
      </w:r>
    </w:p>
  </w:footnote>
  <w:footnote w:id="5">
    <w:p w14:paraId="18D4D4AD" w14:textId="7948E484" w:rsidR="00A027B9" w:rsidRDefault="00A027B9" w:rsidP="00A027B9">
      <w:pPr>
        <w:pStyle w:val="FootnoteText"/>
      </w:pPr>
      <w:r>
        <w:rPr>
          <w:rStyle w:val="FootnoteReference"/>
        </w:rPr>
        <w:footnoteRef/>
      </w:r>
      <w:r>
        <w:t xml:space="preserve"> Basic Commodities,</w:t>
      </w:r>
      <w:r w:rsidR="000F4540">
        <w:t xml:space="preserve"> 2023.</w:t>
      </w:r>
      <w:r>
        <w:t xml:space="preserve"> </w:t>
      </w:r>
      <w:hyperlink r:id="rId4" w:anchor=":~:text=According%20to%20the%20Australian%20Bureau,million%20tonnes%20of%20oaten%20hay." w:history="1">
        <w:r w:rsidRPr="00A027B9">
          <w:rPr>
            <w:rStyle w:val="Hyperlink"/>
            <w:i/>
            <w:iCs/>
          </w:rPr>
          <w:t>Australian Hay Update</w:t>
        </w:r>
      </w:hyperlink>
      <w:r>
        <w:t>, Basic Commodities website, accessed November 2023.</w:t>
      </w:r>
    </w:p>
  </w:footnote>
  <w:footnote w:id="6">
    <w:p w14:paraId="2036BF5F" w14:textId="046E8193" w:rsidR="00A027B9" w:rsidRDefault="00A027B9">
      <w:pPr>
        <w:pStyle w:val="FootnoteText"/>
      </w:pPr>
      <w:r>
        <w:rPr>
          <w:rStyle w:val="FootnoteReference"/>
        </w:rPr>
        <w:footnoteRef/>
      </w:r>
      <w:r>
        <w:t xml:space="preserve"> </w:t>
      </w:r>
      <w:proofErr w:type="spellStart"/>
      <w:r>
        <w:t>AgriFutures</w:t>
      </w:r>
      <w:proofErr w:type="spellEnd"/>
      <w:r>
        <w:t xml:space="preserve"> Australia</w:t>
      </w:r>
      <w:r w:rsidRPr="00A027B9">
        <w:rPr>
          <w:i/>
          <w:iCs/>
        </w:rPr>
        <w:t>,</w:t>
      </w:r>
      <w:r w:rsidR="000F4540">
        <w:t xml:space="preserve"> 2024.</w:t>
      </w:r>
      <w:r w:rsidRPr="00A027B9">
        <w:rPr>
          <w:i/>
          <w:iCs/>
        </w:rPr>
        <w:t xml:space="preserve"> </w:t>
      </w:r>
      <w:hyperlink r:id="rId5" w:history="1">
        <w:r w:rsidRPr="00A027B9">
          <w:rPr>
            <w:rStyle w:val="Hyperlink"/>
            <w:i/>
            <w:iCs/>
          </w:rPr>
          <w:t>Export fodder</w:t>
        </w:r>
      </w:hyperlink>
      <w:r>
        <w:t xml:space="preserve">, </w:t>
      </w:r>
      <w:proofErr w:type="spellStart"/>
      <w:r>
        <w:t>AgriFutures</w:t>
      </w:r>
      <w:proofErr w:type="spellEnd"/>
      <w:r>
        <w:t xml:space="preserve"> Australia website, accessed November 2023.</w:t>
      </w:r>
    </w:p>
  </w:footnote>
  <w:footnote w:id="7">
    <w:p w14:paraId="6DA1BCB0" w14:textId="28B83B5A" w:rsidR="009C694F" w:rsidRPr="009C694F" w:rsidRDefault="009C694F" w:rsidP="009C694F">
      <w:pPr>
        <w:pStyle w:val="FootnoteText"/>
        <w:rPr>
          <w:i/>
          <w:iCs/>
        </w:rPr>
      </w:pPr>
      <w:r>
        <w:rPr>
          <w:rStyle w:val="FootnoteReference"/>
        </w:rPr>
        <w:footnoteRef/>
      </w:r>
      <w:r>
        <w:t xml:space="preserve"> </w:t>
      </w:r>
      <w:r w:rsidR="000F4540" w:rsidRPr="000F4540">
        <w:t>Department of Agriculture, Fisheries and Forestry</w:t>
      </w:r>
      <w:r>
        <w:t xml:space="preserve"> (</w:t>
      </w:r>
      <w:r w:rsidR="000F4540">
        <w:t>DAFF</w:t>
      </w:r>
      <w:r>
        <w:t>)</w:t>
      </w:r>
      <w:r w:rsidR="000F4540">
        <w:t>, 2023</w:t>
      </w:r>
      <w:r>
        <w:t xml:space="preserve">. </w:t>
      </w:r>
      <w:hyperlink r:id="rId6" w:history="1">
        <w:r w:rsidRPr="009C694F">
          <w:rPr>
            <w:rStyle w:val="Hyperlink"/>
            <w:i/>
            <w:iCs/>
          </w:rPr>
          <w:t>Agricultural and Veterinary Chemicals Code (MRL Standard for Residues of Chemical Products) Instrument 2023</w:t>
        </w:r>
      </w:hyperlink>
      <w:r>
        <w:rPr>
          <w:rStyle w:val="Hyperlink"/>
          <w:i/>
          <w:iCs/>
        </w:rPr>
        <w:t>,</w:t>
      </w:r>
      <w:r w:rsidRPr="00E46896">
        <w:t xml:space="preserve"> </w:t>
      </w:r>
      <w:r w:rsidR="000F4540">
        <w:t>Australian Government Federal Register of Legislation</w:t>
      </w:r>
      <w:r w:rsidR="000F4540" w:rsidRPr="00E46896">
        <w:t xml:space="preserve"> </w:t>
      </w:r>
      <w:r w:rsidRPr="00E46896">
        <w:t>website, accessed November 2023.</w:t>
      </w:r>
    </w:p>
  </w:footnote>
  <w:footnote w:id="8">
    <w:p w14:paraId="2B878602" w14:textId="4369D278" w:rsidR="009C694F" w:rsidRDefault="009C694F" w:rsidP="009C694F">
      <w:pPr>
        <w:pStyle w:val="FootnoteText"/>
      </w:pPr>
      <w:r>
        <w:rPr>
          <w:rStyle w:val="FootnoteReference"/>
        </w:rPr>
        <w:footnoteRef/>
      </w:r>
      <w:r>
        <w:t xml:space="preserve"> European Commission</w:t>
      </w:r>
      <w:r w:rsidR="000F4540">
        <w:t>, 2024.</w:t>
      </w:r>
      <w:r>
        <w:t xml:space="preserve"> </w:t>
      </w:r>
      <w:hyperlink r:id="rId7" w:history="1">
        <w:r w:rsidRPr="00FD3FA5">
          <w:rPr>
            <w:rStyle w:val="Hyperlink"/>
            <w:i/>
          </w:rPr>
          <w:t>EU Pesticide residue(s) and maximum residue levels (mg/kg)</w:t>
        </w:r>
        <w:r w:rsidRPr="00FD3FA5">
          <w:rPr>
            <w:rStyle w:val="Hyperlink"/>
          </w:rPr>
          <w:t>,</w:t>
        </w:r>
      </w:hyperlink>
      <w:r>
        <w:t xml:space="preserve"> European Commission website, accessed </w:t>
      </w:r>
      <w:bookmarkStart w:id="35" w:name="_Hlk136069343"/>
      <w:r>
        <w:t>November 2023</w:t>
      </w:r>
      <w:bookmarkEnd w:id="35"/>
      <w:r>
        <w:t>.</w:t>
      </w:r>
    </w:p>
  </w:footnote>
  <w:footnote w:id="9">
    <w:p w14:paraId="10B868BC" w14:textId="1AE004B3" w:rsidR="009C694F" w:rsidRDefault="009C694F" w:rsidP="009C694F">
      <w:pPr>
        <w:pStyle w:val="FootnoteText"/>
      </w:pPr>
      <w:r>
        <w:rPr>
          <w:rStyle w:val="FootnoteReference"/>
        </w:rPr>
        <w:footnoteRef/>
      </w:r>
      <w:r>
        <w:t xml:space="preserve"> Food and Agricultural Minerals Inspection Center (FAMIC),</w:t>
      </w:r>
      <w:r w:rsidR="000F4540">
        <w:t xml:space="preserve"> 2023.</w:t>
      </w:r>
      <w:r>
        <w:t xml:space="preserve"> </w:t>
      </w:r>
      <w:hyperlink r:id="rId8" w:anchor="pesticides" w:history="1">
        <w:r>
          <w:rPr>
            <w:rStyle w:val="Hyperlink"/>
            <w:i/>
          </w:rPr>
          <w:t>Feed MRLs</w:t>
        </w:r>
      </w:hyperlink>
      <w:r w:rsidR="000F4540" w:rsidRPr="000F4540">
        <w:rPr>
          <w:rStyle w:val="Hyperlink"/>
          <w:iCs/>
          <w:color w:val="auto"/>
          <w:u w:val="none"/>
        </w:rPr>
        <w:t>,</w:t>
      </w:r>
      <w:r>
        <w:rPr>
          <w:i/>
        </w:rPr>
        <w:t xml:space="preserve"> </w:t>
      </w:r>
      <w:r>
        <w:t>FAMIC website, accessed November</w:t>
      </w:r>
      <w:r w:rsidRPr="000F72E5">
        <w:t xml:space="preserve"> 2023</w:t>
      </w:r>
      <w:r>
        <w:t>.</w:t>
      </w:r>
    </w:p>
  </w:footnote>
  <w:footnote w:id="10">
    <w:p w14:paraId="69589576" w14:textId="606709E8" w:rsidR="009C694F" w:rsidRDefault="009C694F" w:rsidP="009C694F">
      <w:pPr>
        <w:pStyle w:val="FootnoteText"/>
      </w:pPr>
      <w:r>
        <w:rPr>
          <w:rStyle w:val="FootnoteReference"/>
        </w:rPr>
        <w:footnoteRef/>
      </w:r>
      <w:r>
        <w:t xml:space="preserve"> Food and Agriculture Organisation of the United Nations</w:t>
      </w:r>
      <w:r w:rsidR="00E46896">
        <w:t xml:space="preserve"> (FAO)</w:t>
      </w:r>
      <w:r>
        <w:t>,</w:t>
      </w:r>
      <w:r w:rsidR="000F4540">
        <w:t xml:space="preserve"> 2024.</w:t>
      </w:r>
      <w:r>
        <w:t xml:space="preserve"> </w:t>
      </w:r>
      <w:hyperlink r:id="rId9" w:history="1">
        <w:r w:rsidR="000F4540" w:rsidRPr="000F4540">
          <w:rPr>
            <w:rStyle w:val="Hyperlink"/>
            <w:i/>
            <w:iCs/>
          </w:rPr>
          <w:t>Codex Alimentarius – International Food Standards Pesticides Database Search</w:t>
        </w:r>
      </w:hyperlink>
      <w:r w:rsidR="000F4540" w:rsidRPr="000F4540">
        <w:rPr>
          <w:rStyle w:val="Hyperlink"/>
          <w:color w:val="auto"/>
          <w:u w:val="none"/>
        </w:rPr>
        <w:t>,</w:t>
      </w:r>
      <w:r>
        <w:t xml:space="preserve"> FAO website, accessed November</w:t>
      </w:r>
      <w:r w:rsidRPr="000F72E5">
        <w:t xml:space="preserve"> 2023</w:t>
      </w:r>
      <w:r>
        <w:t>.</w:t>
      </w:r>
    </w:p>
  </w:footnote>
  <w:footnote w:id="11">
    <w:p w14:paraId="2642E096" w14:textId="1D158DC9" w:rsidR="009C694F" w:rsidRDefault="009C694F">
      <w:pPr>
        <w:pStyle w:val="FootnoteText"/>
      </w:pPr>
      <w:r>
        <w:rPr>
          <w:rStyle w:val="FootnoteReference"/>
        </w:rPr>
        <w:footnoteRef/>
      </w:r>
      <w:r>
        <w:t xml:space="preserve"> </w:t>
      </w:r>
      <w:r w:rsidRPr="00787A4B">
        <w:t>Electronic Code of Federal Regulations</w:t>
      </w:r>
      <w:r w:rsidR="00E46896">
        <w:t xml:space="preserve"> (</w:t>
      </w:r>
      <w:proofErr w:type="spellStart"/>
      <w:r w:rsidR="00E46896">
        <w:t>eCFR</w:t>
      </w:r>
      <w:proofErr w:type="spellEnd"/>
      <w:r w:rsidR="00E46896">
        <w:t>)</w:t>
      </w:r>
      <w:r w:rsidRPr="00787A4B">
        <w:t>,</w:t>
      </w:r>
      <w:r w:rsidR="000F4540">
        <w:t xml:space="preserve"> 2024.</w:t>
      </w:r>
      <w:r w:rsidRPr="00787A4B">
        <w:t xml:space="preserve"> </w:t>
      </w:r>
      <w:hyperlink r:id="rId10" w:history="1">
        <w:r w:rsidRPr="008250BA">
          <w:rPr>
            <w:rStyle w:val="Hyperlink"/>
            <w:i/>
            <w:iCs/>
          </w:rPr>
          <w:t>USA Electronic Code of Federal Regulations</w:t>
        </w:r>
      </w:hyperlink>
      <w:r w:rsidRPr="00787A4B">
        <w:t xml:space="preserve">, </w:t>
      </w:r>
      <w:proofErr w:type="spellStart"/>
      <w:r w:rsidRPr="00787A4B">
        <w:t>eCFR</w:t>
      </w:r>
      <w:proofErr w:type="spellEnd"/>
      <w:r w:rsidRPr="00787A4B">
        <w:t xml:space="preserve"> website, accessed </w:t>
      </w:r>
      <w:r>
        <w:t>November</w:t>
      </w:r>
      <w:r w:rsidRPr="00787A4B">
        <w:t xml:space="preserv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6D286B9E" w:rsidR="007B1953" w:rsidRPr="000F4540" w:rsidRDefault="000F4540" w:rsidP="000F4540">
    <w:pPr>
      <w:pStyle w:val="APVMAOddHeader"/>
    </w:pPr>
    <w:r>
      <w:tab/>
      <w:t>Preface</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b/>
        <w:bCs w:val="0"/>
        <w:caps/>
      </w:rPr>
      <w:t>2</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137BEFC5"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0301C9">
      <w:t>the use of gamma-cyhalothrin on oats, rye and triticale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C073" w14:textId="36F5D3EC" w:rsidR="00696A51" w:rsidRPr="000F4540" w:rsidRDefault="000F4540" w:rsidP="000F4540">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b/>
        <w:bCs w:val="0"/>
        <w:caps/>
      </w:rPr>
      <w:t>2</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B44C" w14:textId="77777777" w:rsidR="000F4540" w:rsidRPr="000F4540" w:rsidRDefault="000F4540" w:rsidP="000F4540">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b/>
        <w:bCs w:val="0"/>
        <w:caps/>
      </w:rPr>
      <w:t>2</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942C" w14:textId="00431777" w:rsidR="000F4540" w:rsidRPr="000F4540" w:rsidRDefault="000F4540" w:rsidP="000F4540">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b/>
        <w:bCs w:val="0"/>
        <w:caps/>
      </w:rPr>
      <w:t>2</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BAC" w14:textId="58146E2A" w:rsidR="00BA67F0" w:rsidRDefault="00BA67F0">
    <w:pPr>
      <w:pStyle w:val="APVMAOddHeader"/>
    </w:pPr>
    <w:r>
      <w:tab/>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num w:numId="1" w16cid:durableId="1561211871">
    <w:abstractNumId w:val="1"/>
  </w:num>
  <w:num w:numId="2" w16cid:durableId="2026588201">
    <w:abstractNumId w:val="4"/>
  </w:num>
  <w:num w:numId="3" w16cid:durableId="1920363156">
    <w:abstractNumId w:val="5"/>
  </w:num>
  <w:num w:numId="4" w16cid:durableId="1280800485">
    <w:abstractNumId w:val="0"/>
  </w:num>
  <w:num w:numId="5" w16cid:durableId="1664970106">
    <w:abstractNumId w:val="2"/>
  </w:num>
  <w:num w:numId="6" w16cid:durableId="859077828">
    <w:abstractNumId w:val="6"/>
  </w:num>
  <w:num w:numId="7" w16cid:durableId="1276712883">
    <w:abstractNumId w:val="7"/>
  </w:num>
  <w:num w:numId="8" w16cid:durableId="405340983">
    <w:abstractNumId w:val="3"/>
  </w:num>
  <w:num w:numId="9" w16cid:durableId="152851988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14F13"/>
    <w:rsid w:val="000205AF"/>
    <w:rsid w:val="00021A6A"/>
    <w:rsid w:val="000301C9"/>
    <w:rsid w:val="00030E94"/>
    <w:rsid w:val="00032787"/>
    <w:rsid w:val="00036E33"/>
    <w:rsid w:val="000642F7"/>
    <w:rsid w:val="00067828"/>
    <w:rsid w:val="000765C1"/>
    <w:rsid w:val="0008350E"/>
    <w:rsid w:val="00096163"/>
    <w:rsid w:val="000A7EF6"/>
    <w:rsid w:val="000C2C1B"/>
    <w:rsid w:val="000C56C2"/>
    <w:rsid w:val="000C5EB1"/>
    <w:rsid w:val="000D03D3"/>
    <w:rsid w:val="000D0CBF"/>
    <w:rsid w:val="000D49ED"/>
    <w:rsid w:val="000E3F4D"/>
    <w:rsid w:val="000E58CA"/>
    <w:rsid w:val="000F4540"/>
    <w:rsid w:val="001004E6"/>
    <w:rsid w:val="0011481A"/>
    <w:rsid w:val="00116540"/>
    <w:rsid w:val="00120E00"/>
    <w:rsid w:val="00125B8E"/>
    <w:rsid w:val="00127F16"/>
    <w:rsid w:val="001468EA"/>
    <w:rsid w:val="00151CC4"/>
    <w:rsid w:val="001534D8"/>
    <w:rsid w:val="0016652E"/>
    <w:rsid w:val="00167BB3"/>
    <w:rsid w:val="00174E15"/>
    <w:rsid w:val="00184190"/>
    <w:rsid w:val="00193533"/>
    <w:rsid w:val="00194B13"/>
    <w:rsid w:val="001B2BCB"/>
    <w:rsid w:val="001B335C"/>
    <w:rsid w:val="001B7360"/>
    <w:rsid w:val="001C0CA7"/>
    <w:rsid w:val="001C6607"/>
    <w:rsid w:val="001D3257"/>
    <w:rsid w:val="001F0620"/>
    <w:rsid w:val="002026BB"/>
    <w:rsid w:val="00205B10"/>
    <w:rsid w:val="00216C49"/>
    <w:rsid w:val="00227A2E"/>
    <w:rsid w:val="0024289A"/>
    <w:rsid w:val="00243457"/>
    <w:rsid w:val="0026493F"/>
    <w:rsid w:val="002659EF"/>
    <w:rsid w:val="00273344"/>
    <w:rsid w:val="00280720"/>
    <w:rsid w:val="00282A32"/>
    <w:rsid w:val="00295D71"/>
    <w:rsid w:val="002A61B5"/>
    <w:rsid w:val="002A69DD"/>
    <w:rsid w:val="002B4618"/>
    <w:rsid w:val="002B5703"/>
    <w:rsid w:val="002D7779"/>
    <w:rsid w:val="002E20AC"/>
    <w:rsid w:val="002E49F4"/>
    <w:rsid w:val="002F4591"/>
    <w:rsid w:val="0030255E"/>
    <w:rsid w:val="00306782"/>
    <w:rsid w:val="0031487D"/>
    <w:rsid w:val="003207F2"/>
    <w:rsid w:val="00336738"/>
    <w:rsid w:val="00347883"/>
    <w:rsid w:val="003506C5"/>
    <w:rsid w:val="00351D69"/>
    <w:rsid w:val="00364192"/>
    <w:rsid w:val="00381544"/>
    <w:rsid w:val="00382B7C"/>
    <w:rsid w:val="00383003"/>
    <w:rsid w:val="003A1BD7"/>
    <w:rsid w:val="003A2363"/>
    <w:rsid w:val="003A3559"/>
    <w:rsid w:val="003A558F"/>
    <w:rsid w:val="003B33AF"/>
    <w:rsid w:val="003B69C2"/>
    <w:rsid w:val="003C0891"/>
    <w:rsid w:val="004070E1"/>
    <w:rsid w:val="00407597"/>
    <w:rsid w:val="0041228F"/>
    <w:rsid w:val="00416FA8"/>
    <w:rsid w:val="00422B53"/>
    <w:rsid w:val="00444045"/>
    <w:rsid w:val="004616C8"/>
    <w:rsid w:val="00461D26"/>
    <w:rsid w:val="00462383"/>
    <w:rsid w:val="00470304"/>
    <w:rsid w:val="004A1FCB"/>
    <w:rsid w:val="004D22D0"/>
    <w:rsid w:val="004D2C4F"/>
    <w:rsid w:val="004D48AF"/>
    <w:rsid w:val="004E1991"/>
    <w:rsid w:val="004E33B8"/>
    <w:rsid w:val="004E4CD7"/>
    <w:rsid w:val="004F66B0"/>
    <w:rsid w:val="005033A8"/>
    <w:rsid w:val="005064D5"/>
    <w:rsid w:val="005148C0"/>
    <w:rsid w:val="00520963"/>
    <w:rsid w:val="00522E27"/>
    <w:rsid w:val="00525012"/>
    <w:rsid w:val="00542FDE"/>
    <w:rsid w:val="00544A1E"/>
    <w:rsid w:val="00545A0A"/>
    <w:rsid w:val="005527B9"/>
    <w:rsid w:val="00556804"/>
    <w:rsid w:val="00560E83"/>
    <w:rsid w:val="00563297"/>
    <w:rsid w:val="005645E9"/>
    <w:rsid w:val="00566590"/>
    <w:rsid w:val="0058187E"/>
    <w:rsid w:val="00596F1D"/>
    <w:rsid w:val="005D00D1"/>
    <w:rsid w:val="005D1A47"/>
    <w:rsid w:val="005D2FA7"/>
    <w:rsid w:val="005E435F"/>
    <w:rsid w:val="005F4701"/>
    <w:rsid w:val="00606E79"/>
    <w:rsid w:val="006110AE"/>
    <w:rsid w:val="00615B1A"/>
    <w:rsid w:val="0062466B"/>
    <w:rsid w:val="006338D9"/>
    <w:rsid w:val="00637AB9"/>
    <w:rsid w:val="00641B1B"/>
    <w:rsid w:val="00643052"/>
    <w:rsid w:val="00657A28"/>
    <w:rsid w:val="0066107B"/>
    <w:rsid w:val="00696A51"/>
    <w:rsid w:val="006C08BC"/>
    <w:rsid w:val="006C2F1E"/>
    <w:rsid w:val="006D36C8"/>
    <w:rsid w:val="006E33F7"/>
    <w:rsid w:val="006F4248"/>
    <w:rsid w:val="00700C27"/>
    <w:rsid w:val="00702B7D"/>
    <w:rsid w:val="00704C88"/>
    <w:rsid w:val="00713E42"/>
    <w:rsid w:val="007275CF"/>
    <w:rsid w:val="00731659"/>
    <w:rsid w:val="007368E2"/>
    <w:rsid w:val="00753ED8"/>
    <w:rsid w:val="00770B96"/>
    <w:rsid w:val="00772D8F"/>
    <w:rsid w:val="00786137"/>
    <w:rsid w:val="007862A0"/>
    <w:rsid w:val="00790A8E"/>
    <w:rsid w:val="0079772A"/>
    <w:rsid w:val="007A4C72"/>
    <w:rsid w:val="007B1953"/>
    <w:rsid w:val="007B2C31"/>
    <w:rsid w:val="007D1BE8"/>
    <w:rsid w:val="007E16DE"/>
    <w:rsid w:val="007F0146"/>
    <w:rsid w:val="007F6C64"/>
    <w:rsid w:val="00814579"/>
    <w:rsid w:val="00832D38"/>
    <w:rsid w:val="008362F6"/>
    <w:rsid w:val="00836556"/>
    <w:rsid w:val="008366A3"/>
    <w:rsid w:val="00845694"/>
    <w:rsid w:val="00847050"/>
    <w:rsid w:val="00860B66"/>
    <w:rsid w:val="00862E63"/>
    <w:rsid w:val="008763B5"/>
    <w:rsid w:val="008836D1"/>
    <w:rsid w:val="00892292"/>
    <w:rsid w:val="008B2E83"/>
    <w:rsid w:val="008C5C0D"/>
    <w:rsid w:val="008C6B9D"/>
    <w:rsid w:val="008D01CF"/>
    <w:rsid w:val="008D1A7E"/>
    <w:rsid w:val="008E7BF1"/>
    <w:rsid w:val="008F14C4"/>
    <w:rsid w:val="008F2612"/>
    <w:rsid w:val="009032EA"/>
    <w:rsid w:val="009054A8"/>
    <w:rsid w:val="0091193B"/>
    <w:rsid w:val="00915865"/>
    <w:rsid w:val="00920995"/>
    <w:rsid w:val="00955593"/>
    <w:rsid w:val="0095647E"/>
    <w:rsid w:val="00957A91"/>
    <w:rsid w:val="00966603"/>
    <w:rsid w:val="00967A80"/>
    <w:rsid w:val="00972247"/>
    <w:rsid w:val="009970A0"/>
    <w:rsid w:val="009A3578"/>
    <w:rsid w:val="009A4448"/>
    <w:rsid w:val="009A5A3B"/>
    <w:rsid w:val="009A7614"/>
    <w:rsid w:val="009B6ACE"/>
    <w:rsid w:val="009C694F"/>
    <w:rsid w:val="009C6CFF"/>
    <w:rsid w:val="009D0E59"/>
    <w:rsid w:val="009D452E"/>
    <w:rsid w:val="009F16FF"/>
    <w:rsid w:val="00A027B9"/>
    <w:rsid w:val="00A03801"/>
    <w:rsid w:val="00A11221"/>
    <w:rsid w:val="00A1629F"/>
    <w:rsid w:val="00A23729"/>
    <w:rsid w:val="00A2448D"/>
    <w:rsid w:val="00A25290"/>
    <w:rsid w:val="00A5136D"/>
    <w:rsid w:val="00A60905"/>
    <w:rsid w:val="00A6283D"/>
    <w:rsid w:val="00A77CE7"/>
    <w:rsid w:val="00A81500"/>
    <w:rsid w:val="00A82202"/>
    <w:rsid w:val="00A87101"/>
    <w:rsid w:val="00AA69F4"/>
    <w:rsid w:val="00AB659C"/>
    <w:rsid w:val="00AF1ED4"/>
    <w:rsid w:val="00AF232A"/>
    <w:rsid w:val="00B061D3"/>
    <w:rsid w:val="00B15647"/>
    <w:rsid w:val="00B15DE4"/>
    <w:rsid w:val="00B22F9F"/>
    <w:rsid w:val="00B27675"/>
    <w:rsid w:val="00B32E0B"/>
    <w:rsid w:val="00B50074"/>
    <w:rsid w:val="00BA67F0"/>
    <w:rsid w:val="00BB3362"/>
    <w:rsid w:val="00BC5423"/>
    <w:rsid w:val="00BD021C"/>
    <w:rsid w:val="00BD0287"/>
    <w:rsid w:val="00BD2289"/>
    <w:rsid w:val="00BD55DB"/>
    <w:rsid w:val="00BD62F9"/>
    <w:rsid w:val="00BD70E8"/>
    <w:rsid w:val="00BD7C8B"/>
    <w:rsid w:val="00BF0C7F"/>
    <w:rsid w:val="00C01FCE"/>
    <w:rsid w:val="00C02A44"/>
    <w:rsid w:val="00C16E90"/>
    <w:rsid w:val="00C53C96"/>
    <w:rsid w:val="00C71AAC"/>
    <w:rsid w:val="00C73D24"/>
    <w:rsid w:val="00C95323"/>
    <w:rsid w:val="00C9656F"/>
    <w:rsid w:val="00CA17DC"/>
    <w:rsid w:val="00CD6650"/>
    <w:rsid w:val="00CE0277"/>
    <w:rsid w:val="00CE3E56"/>
    <w:rsid w:val="00CE456A"/>
    <w:rsid w:val="00CE4F0A"/>
    <w:rsid w:val="00CE6C51"/>
    <w:rsid w:val="00CE7B02"/>
    <w:rsid w:val="00D10F59"/>
    <w:rsid w:val="00D20A04"/>
    <w:rsid w:val="00D22CCB"/>
    <w:rsid w:val="00D4143D"/>
    <w:rsid w:val="00D505AD"/>
    <w:rsid w:val="00D55012"/>
    <w:rsid w:val="00D67788"/>
    <w:rsid w:val="00D70A54"/>
    <w:rsid w:val="00D874AA"/>
    <w:rsid w:val="00D9318E"/>
    <w:rsid w:val="00D942C8"/>
    <w:rsid w:val="00DB3BF5"/>
    <w:rsid w:val="00DD1DEA"/>
    <w:rsid w:val="00DF6D93"/>
    <w:rsid w:val="00E11C10"/>
    <w:rsid w:val="00E203CD"/>
    <w:rsid w:val="00E318E3"/>
    <w:rsid w:val="00E35DE7"/>
    <w:rsid w:val="00E41FED"/>
    <w:rsid w:val="00E46896"/>
    <w:rsid w:val="00E63AC3"/>
    <w:rsid w:val="00E70840"/>
    <w:rsid w:val="00E830F0"/>
    <w:rsid w:val="00E84BA9"/>
    <w:rsid w:val="00E97570"/>
    <w:rsid w:val="00EA1757"/>
    <w:rsid w:val="00EA191D"/>
    <w:rsid w:val="00EA5385"/>
    <w:rsid w:val="00EC4D6F"/>
    <w:rsid w:val="00EC53C7"/>
    <w:rsid w:val="00ED3E8C"/>
    <w:rsid w:val="00EE0D34"/>
    <w:rsid w:val="00EE1887"/>
    <w:rsid w:val="00EE297E"/>
    <w:rsid w:val="00EE5B09"/>
    <w:rsid w:val="00EE6B92"/>
    <w:rsid w:val="00F00619"/>
    <w:rsid w:val="00F30BA1"/>
    <w:rsid w:val="00F30BDA"/>
    <w:rsid w:val="00F34959"/>
    <w:rsid w:val="00F453FE"/>
    <w:rsid w:val="00F51AA7"/>
    <w:rsid w:val="00F56C76"/>
    <w:rsid w:val="00F6733A"/>
    <w:rsid w:val="00F74FA6"/>
    <w:rsid w:val="00F81727"/>
    <w:rsid w:val="00FA3A6D"/>
    <w:rsid w:val="00FC09D2"/>
    <w:rsid w:val="00FC198C"/>
    <w:rsid w:val="00FD344F"/>
    <w:rsid w:val="00FD7594"/>
    <w:rsid w:val="00FE0465"/>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2"/>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1"/>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9"/>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BB3362"/>
    <w:rPr>
      <w:color w:val="605E5C"/>
      <w:shd w:val="clear" w:color="auto" w:fill="E1DFDD"/>
    </w:rPr>
  </w:style>
  <w:style w:type="character" w:customStyle="1" w:styleId="FootnoteTextChar">
    <w:name w:val="Footnote Text Char"/>
    <w:aliases w:val="APVMA_Footnote Char,DAR001 Char,Tabellenanmerkung Char"/>
    <w:basedOn w:val="DefaultParagraphFont"/>
    <w:link w:val="FootnoteText"/>
    <w:rsid w:val="001B2BCB"/>
    <w:rPr>
      <w:rFonts w:ascii="Arial" w:hAnsi="Arial" w:cs="Arial"/>
      <w:spacing w:val="6"/>
      <w:kern w:val="20"/>
      <w:sz w:val="16"/>
      <w:u w:color="000000"/>
      <w:lang w:eastAsia="en-US"/>
    </w:rPr>
  </w:style>
  <w:style w:type="paragraph" w:customStyle="1" w:styleId="BODYTEXT">
    <w:name w:val="BODYTEXT"/>
    <w:link w:val="BODYTEXTChar"/>
    <w:rsid w:val="006338D9"/>
    <w:rPr>
      <w:sz w:val="24"/>
      <w:lang w:eastAsia="en-US"/>
    </w:rPr>
  </w:style>
  <w:style w:type="character" w:customStyle="1" w:styleId="BODYTEXTChar">
    <w:name w:val="BODYTEXT Char"/>
    <w:basedOn w:val="DefaultParagraphFont"/>
    <w:link w:val="BODYTEXT"/>
    <w:rsid w:val="006338D9"/>
    <w:rPr>
      <w:sz w:val="24"/>
      <w:lang w:eastAsia="en-US"/>
    </w:rPr>
  </w:style>
  <w:style w:type="paragraph" w:customStyle="1" w:styleId="MRLTableHeading">
    <w:name w:val="MRL Table Heading"/>
    <w:basedOn w:val="Normal"/>
    <w:rsid w:val="00786137"/>
    <w:pPr>
      <w:spacing w:before="60" w:after="60" w:line="240" w:lineRule="auto"/>
    </w:pPr>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hyperlink" Target="mailto:enquiries@apvma.gov.au" TargetMode="Externa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4.xml"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yperlink" Target="http://www.apvma.gov.au" TargetMode="Externa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eader" Target="header3.xml" Id="rId23" /><Relationship Type="http://schemas.openxmlformats.org/officeDocument/2006/relationships/header" Target="header7.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2.xml" Id="rId22" /><Relationship Type="http://schemas.openxmlformats.org/officeDocument/2006/relationships/header" Target="header6.xml" Id="rId27" /><Relationship Type="http://schemas.openxmlformats.org/officeDocument/2006/relationships/theme" Target="theme/theme1.xml" Id="rId30" /><Relationship Type="http://schemas.openxmlformats.org/officeDocument/2006/relationships/customXml" Target="/customXML/item3.xml" Id="R97bc495208e04a4d" /></Relationships>
</file>

<file path=word/_rels/footnotes.xml.rels><?xml version="1.0" encoding="UTF-8" standalone="yes"?>
<Relationships xmlns="http://schemas.openxmlformats.org/package/2006/relationships"><Relationship Id="rId8" Type="http://schemas.openxmlformats.org/officeDocument/2006/relationships/hyperlink" Target="http://www.famic.go.jp/ffis/feed/r_safety/r_feeds_safety22.html" TargetMode="External"/><Relationship Id="rId3" Type="http://schemas.openxmlformats.org/officeDocument/2006/relationships/hyperlink" Target="https://www.agrifutures.com.au/wp-content/uploads/2021/01/20-103.pdf" TargetMode="External"/><Relationship Id="rId7" Type="http://schemas.openxmlformats.org/officeDocument/2006/relationships/hyperlink" Target="https://ec.europa.eu/food/plant/pesticides/eu-pesticides-database/start/screen/mrls/details?lg_code=EN&amp;pest_res_id_list=140&amp;product_id_list=" TargetMode="External"/><Relationship Id="rId2" Type="http://schemas.openxmlformats.org/officeDocument/2006/relationships/hyperlink" Target="https://afia.org.au/about-fodder/" TargetMode="External"/><Relationship Id="rId1" Type="http://schemas.openxmlformats.org/officeDocument/2006/relationships/hyperlink" Target="https://apvma.gov.au/node/1017" TargetMode="External"/><Relationship Id="rId6" Type="http://schemas.openxmlformats.org/officeDocument/2006/relationships/hyperlink" Target="https://www.legislation.gov.au/Details/F2023C00939" TargetMode="External"/><Relationship Id="rId5" Type="http://schemas.openxmlformats.org/officeDocument/2006/relationships/hyperlink" Target="https://agrifutures.com.au/rural-industries/export-fodder/" TargetMode="External"/><Relationship Id="rId10" Type="http://schemas.openxmlformats.org/officeDocument/2006/relationships/hyperlink" Target="https://www.ecfr.gov/current/title-40/chapter-I/subchapter-E/part-180/subpart-C/section-180.438" TargetMode="External"/><Relationship Id="rId4" Type="http://schemas.openxmlformats.org/officeDocument/2006/relationships/hyperlink" Target="https://www.basiscommodities.com/basis-commodities-australian-hay-update-thursday-20th-april-2023" TargetMode="External"/><Relationship Id="rId9" Type="http://schemas.openxmlformats.org/officeDocument/2006/relationships/hyperlink" Target="https://www.fao.org/fao-who-codexalimentarius/codex-texts/dbs/pestres/pesticide-detail/en/?p_id=1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A3199588</value>
    </field>
    <field name="Objective-Title">
      <value order="0">Trade Advice Notice on gamma-cyhalothrin in the product Trojan Insecticide for use on oats, rye and triticale</value>
    </field>
    <field name="Objective-Description">
      <value order="0"/>
    </field>
    <field name="Objective-CreationStamp">
      <value order="0">2024-01-12T05:01:48Z</value>
    </field>
    <field name="Objective-IsApproved">
      <value order="0">false</value>
    </field>
    <field name="Objective-IsPublished">
      <value order="0">false</value>
    </field>
    <field name="Objective-DatePublished">
      <value order="0"/>
    </field>
    <field name="Objective-ModificationStamp">
      <value order="0">2024-01-16T00:07:59Z</value>
    </field>
    <field name="Objective-Owner">
      <value order="0">Maudie Beissel</value>
    </field>
    <field name="Objective-Path">
      <value order="0">APVMA:PUBLIC AFFAIRS AND COMMUNICATION:03 - Public Affairs and Communications - Digital Communications:04 - Digital Communications - Website - Publishing Records - 2020-2025:2024:013 - TAN on gamma-cyhalothrin in the product Trojan Insecticide for use on oats, rye and triticale</value>
    </field>
    <field name="Objective-Parent">
      <value order="0">013 - TAN on gamma-cyhalothrin in the product Trojan Insecticide for use on oats, rye and triticale</value>
    </field>
    <field name="Objective-State">
      <value order="0">Being Drafted</value>
    </field>
    <field name="Objective-VersionId">
      <value order="0">vA4751240</value>
    </field>
    <field name="Objective-Version">
      <value order="0">0.12</value>
    </field>
    <field name="Objective-VersionNumber">
      <value order="0">12</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400</TotalTime>
  <Pages>1</Pages>
  <Words>2785</Words>
  <Characters>15880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Trade Advice Notice on gamma-cyhalothrin in the product Trojan Insecticide for use on oats, rye and triticale</vt:lpstr>
    </vt:vector>
  </TitlesOfParts>
  <Manager/>
  <Company>Australian Pesticides and Veterinary Medicines Authority</Company>
  <LinksUpToDate>false</LinksUpToDate>
  <CharactersWithSpaces>18628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gamma-cyhalothrin in the product Trojan Insecticide for use on oats, rye and triticale</dc:title>
  <dc:subject/>
  <dc:creator>APVMA</dc:creator>
  <cp:keywords/>
  <dc:description/>
  <cp:lastModifiedBy>BEISSEL, Maudie</cp:lastModifiedBy>
  <cp:revision>18</cp:revision>
  <cp:lastPrinted>2024-01-16T00:07:00Z</cp:lastPrinted>
  <dcterms:created xsi:type="dcterms:W3CDTF">2024-01-12T04:07:00Z</dcterms:created>
  <dcterms:modified xsi:type="dcterms:W3CDTF">2024-01-16T00:07:00Z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A3199588</vt:lpwstr>
  </property>
  <property fmtid="{D5CDD505-2E9C-101B-9397-08002B2CF9AE}" pid="4" name="Objective-Title">
    <vt:lpwstr>Trade Advice Notice on gamma-cyhalothrin in the product Trojan Insecticide for use on oats, rye and triticale</vt:lpwstr>
  </property>
  <property fmtid="{D5CDD505-2E9C-101B-9397-08002B2CF9AE}" pid="5" name="Objective-Comment">
    <vt:lpwstr/>
  </property>
  <property fmtid="{D5CDD505-2E9C-101B-9397-08002B2CF9AE}" pid="6" name="Objective-CreationStamp">
    <vt:filetime>2024-01-12T05:02:12Z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2024-01-16T00:07:59Z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- 2020-2025:2024:013 - TAN on gamma-cyhalothrin in the product Trojan Insecticide for use on oats, rye and triticale:</vt:lpwstr>
  </property>
  <property fmtid="{D5CDD505-2E9C-101B-9397-08002B2CF9AE}" pid="13" name="Objective-Parent">
    <vt:lpwstr>013 - TAN on gamma-cyhalothrin in the product Trojan Insecticide for use on oats, rye and triticale</vt:lpwstr>
  </property>
  <property fmtid="{D5CDD505-2E9C-101B-9397-08002B2CF9AE}" pid="14" name="Objective-State">
    <vt:lpwstr>Being Drafted</vt:lpwstr>
  </property>
  <property fmtid="{D5CDD505-2E9C-101B-9397-08002B2CF9AE}" pid="15" name="Objective-Version">
    <vt:lpwstr>0.12</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vA4751240</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