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2A325DC6" w:rsidR="003C0891" w:rsidRDefault="006D36C8" w:rsidP="00193533">
      <w:pPr>
        <w:pStyle w:val="APVMACoverSubtitle"/>
        <w:jc w:val="center"/>
      </w:pPr>
      <w:r>
        <w:t xml:space="preserve">on </w:t>
      </w:r>
      <w:r w:rsidR="00AE672E">
        <w:t xml:space="preserve">azoxystrobin, difenoconazole, </w:t>
      </w:r>
      <w:proofErr w:type="spellStart"/>
      <w:r w:rsidR="00AE672E">
        <w:t>fluopyram</w:t>
      </w:r>
      <w:proofErr w:type="spellEnd"/>
      <w:r w:rsidR="008E36E3">
        <w:t xml:space="preserve">, </w:t>
      </w:r>
      <w:proofErr w:type="spellStart"/>
      <w:r w:rsidR="008E36E3">
        <w:t>i</w:t>
      </w:r>
      <w:r w:rsidR="00AE672E">
        <w:t>sopyrazam</w:t>
      </w:r>
      <w:proofErr w:type="spellEnd"/>
      <w:r w:rsidR="00F65F46">
        <w:br/>
      </w:r>
      <w:r w:rsidR="00AE672E">
        <w:t>and tebuconazole</w:t>
      </w:r>
      <w:r>
        <w:t xml:space="preserve"> for use on </w:t>
      </w:r>
      <w:r w:rsidR="00AE672E">
        <w:t>plums</w:t>
      </w:r>
    </w:p>
    <w:p w14:paraId="7FB897BF" w14:textId="60819FDD" w:rsidR="006D36C8" w:rsidRDefault="00AE672E" w:rsidP="00193533">
      <w:pPr>
        <w:pStyle w:val="APVMACoverSubtitle"/>
        <w:jc w:val="center"/>
      </w:pPr>
      <w:r>
        <w:t>Permit: PER92785</w:t>
      </w:r>
    </w:p>
    <w:p w14:paraId="5C6E8565" w14:textId="0B2D29B2" w:rsidR="00193533" w:rsidRPr="00E41FED" w:rsidRDefault="00AE672E"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June 2023</w:t>
      </w:r>
    </w:p>
    <w:p w14:paraId="170061D7" w14:textId="2CBAE3BF" w:rsidR="00862E63" w:rsidRPr="005C0ACC" w:rsidRDefault="00862E63" w:rsidP="00021A6A">
      <w:pPr>
        <w:pStyle w:val="Copyrightpage"/>
      </w:pPr>
      <w:r w:rsidRPr="005C0ACC">
        <w:lastRenderedPageBreak/>
        <w:t xml:space="preserve">© Australian Pesticides and Veterinary Medicines Authority </w:t>
      </w:r>
      <w:r w:rsidR="00AE672E">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295CB36D" w14:textId="5F30484E" w:rsidR="0054252F"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38344469" w:history="1">
        <w:r w:rsidR="0054252F" w:rsidRPr="00B77074">
          <w:rPr>
            <w:rStyle w:val="Hyperlink"/>
          </w:rPr>
          <w:t>Preface</w:t>
        </w:r>
        <w:r w:rsidR="0054252F">
          <w:rPr>
            <w:webHidden/>
          </w:rPr>
          <w:tab/>
        </w:r>
        <w:r w:rsidR="0054252F">
          <w:rPr>
            <w:webHidden/>
          </w:rPr>
          <w:fldChar w:fldCharType="begin"/>
        </w:r>
        <w:r w:rsidR="0054252F">
          <w:rPr>
            <w:webHidden/>
          </w:rPr>
          <w:instrText xml:space="preserve"> PAGEREF _Toc138344469 \h </w:instrText>
        </w:r>
        <w:r w:rsidR="0054252F">
          <w:rPr>
            <w:webHidden/>
          </w:rPr>
        </w:r>
        <w:r w:rsidR="0054252F">
          <w:rPr>
            <w:webHidden/>
          </w:rPr>
          <w:fldChar w:fldCharType="separate"/>
        </w:r>
        <w:r w:rsidR="0054252F">
          <w:rPr>
            <w:webHidden/>
          </w:rPr>
          <w:t>1</w:t>
        </w:r>
        <w:r w:rsidR="0054252F">
          <w:rPr>
            <w:webHidden/>
          </w:rPr>
          <w:fldChar w:fldCharType="end"/>
        </w:r>
      </w:hyperlink>
    </w:p>
    <w:p w14:paraId="645C293F" w14:textId="0B2113EE"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0" w:history="1">
        <w:r w:rsidRPr="00B77074">
          <w:rPr>
            <w:rStyle w:val="Hyperlink"/>
          </w:rPr>
          <w:t>About this document</w:t>
        </w:r>
        <w:r>
          <w:rPr>
            <w:webHidden/>
          </w:rPr>
          <w:tab/>
        </w:r>
        <w:r>
          <w:rPr>
            <w:webHidden/>
          </w:rPr>
          <w:fldChar w:fldCharType="begin"/>
        </w:r>
        <w:r>
          <w:rPr>
            <w:webHidden/>
          </w:rPr>
          <w:instrText xml:space="preserve"> PAGEREF _Toc138344470 \h </w:instrText>
        </w:r>
        <w:r>
          <w:rPr>
            <w:webHidden/>
          </w:rPr>
        </w:r>
        <w:r>
          <w:rPr>
            <w:webHidden/>
          </w:rPr>
          <w:fldChar w:fldCharType="separate"/>
        </w:r>
        <w:r>
          <w:rPr>
            <w:webHidden/>
          </w:rPr>
          <w:t>1</w:t>
        </w:r>
        <w:r>
          <w:rPr>
            <w:webHidden/>
          </w:rPr>
          <w:fldChar w:fldCharType="end"/>
        </w:r>
      </w:hyperlink>
    </w:p>
    <w:p w14:paraId="3EA74F1F" w14:textId="3A55CBDC"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1" w:history="1">
        <w:r w:rsidRPr="00B77074">
          <w:rPr>
            <w:rStyle w:val="Hyperlink"/>
          </w:rPr>
          <w:t>Making a submission</w:t>
        </w:r>
        <w:r>
          <w:rPr>
            <w:webHidden/>
          </w:rPr>
          <w:tab/>
        </w:r>
        <w:r>
          <w:rPr>
            <w:webHidden/>
          </w:rPr>
          <w:fldChar w:fldCharType="begin"/>
        </w:r>
        <w:r>
          <w:rPr>
            <w:webHidden/>
          </w:rPr>
          <w:instrText xml:space="preserve"> PAGEREF _Toc138344471 \h </w:instrText>
        </w:r>
        <w:r>
          <w:rPr>
            <w:webHidden/>
          </w:rPr>
        </w:r>
        <w:r>
          <w:rPr>
            <w:webHidden/>
          </w:rPr>
          <w:fldChar w:fldCharType="separate"/>
        </w:r>
        <w:r>
          <w:rPr>
            <w:webHidden/>
          </w:rPr>
          <w:t>1</w:t>
        </w:r>
        <w:r>
          <w:rPr>
            <w:webHidden/>
          </w:rPr>
          <w:fldChar w:fldCharType="end"/>
        </w:r>
      </w:hyperlink>
    </w:p>
    <w:p w14:paraId="33932E0E" w14:textId="41EAB8A9"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2" w:history="1">
        <w:r w:rsidRPr="00B77074">
          <w:rPr>
            <w:rStyle w:val="Hyperlink"/>
          </w:rPr>
          <w:t>Further information</w:t>
        </w:r>
        <w:r>
          <w:rPr>
            <w:webHidden/>
          </w:rPr>
          <w:tab/>
        </w:r>
        <w:r>
          <w:rPr>
            <w:webHidden/>
          </w:rPr>
          <w:fldChar w:fldCharType="begin"/>
        </w:r>
        <w:r>
          <w:rPr>
            <w:webHidden/>
          </w:rPr>
          <w:instrText xml:space="preserve"> PAGEREF _Toc138344472 \h </w:instrText>
        </w:r>
        <w:r>
          <w:rPr>
            <w:webHidden/>
          </w:rPr>
        </w:r>
        <w:r>
          <w:rPr>
            <w:webHidden/>
          </w:rPr>
          <w:fldChar w:fldCharType="separate"/>
        </w:r>
        <w:r>
          <w:rPr>
            <w:webHidden/>
          </w:rPr>
          <w:t>2</w:t>
        </w:r>
        <w:r>
          <w:rPr>
            <w:webHidden/>
          </w:rPr>
          <w:fldChar w:fldCharType="end"/>
        </w:r>
      </w:hyperlink>
    </w:p>
    <w:p w14:paraId="305AA81A" w14:textId="38C62260" w:rsidR="0054252F" w:rsidRDefault="0054252F">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344473" w:history="1">
        <w:r w:rsidRPr="00B77074">
          <w:rPr>
            <w:rStyle w:val="Hyperlink"/>
          </w:rPr>
          <w:t>Introduction</w:t>
        </w:r>
        <w:r>
          <w:rPr>
            <w:webHidden/>
          </w:rPr>
          <w:tab/>
        </w:r>
        <w:r>
          <w:rPr>
            <w:webHidden/>
          </w:rPr>
          <w:fldChar w:fldCharType="begin"/>
        </w:r>
        <w:r>
          <w:rPr>
            <w:webHidden/>
          </w:rPr>
          <w:instrText xml:space="preserve"> PAGEREF _Toc138344473 \h </w:instrText>
        </w:r>
        <w:r>
          <w:rPr>
            <w:webHidden/>
          </w:rPr>
        </w:r>
        <w:r>
          <w:rPr>
            <w:webHidden/>
          </w:rPr>
          <w:fldChar w:fldCharType="separate"/>
        </w:r>
        <w:r>
          <w:rPr>
            <w:webHidden/>
          </w:rPr>
          <w:t>3</w:t>
        </w:r>
        <w:r>
          <w:rPr>
            <w:webHidden/>
          </w:rPr>
          <w:fldChar w:fldCharType="end"/>
        </w:r>
      </w:hyperlink>
    </w:p>
    <w:p w14:paraId="20EFBF32" w14:textId="594A973B" w:rsidR="0054252F" w:rsidRDefault="0054252F">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344474" w:history="1">
        <w:r w:rsidRPr="00B77074">
          <w:rPr>
            <w:rStyle w:val="Hyperlink"/>
          </w:rPr>
          <w:t>Trade considerations</w:t>
        </w:r>
        <w:r>
          <w:rPr>
            <w:webHidden/>
          </w:rPr>
          <w:tab/>
        </w:r>
        <w:r>
          <w:rPr>
            <w:webHidden/>
          </w:rPr>
          <w:fldChar w:fldCharType="begin"/>
        </w:r>
        <w:r>
          <w:rPr>
            <w:webHidden/>
          </w:rPr>
          <w:instrText xml:space="preserve"> PAGEREF _Toc138344474 \h </w:instrText>
        </w:r>
        <w:r>
          <w:rPr>
            <w:webHidden/>
          </w:rPr>
        </w:r>
        <w:r>
          <w:rPr>
            <w:webHidden/>
          </w:rPr>
          <w:fldChar w:fldCharType="separate"/>
        </w:r>
        <w:r>
          <w:rPr>
            <w:webHidden/>
          </w:rPr>
          <w:t>4</w:t>
        </w:r>
        <w:r>
          <w:rPr>
            <w:webHidden/>
          </w:rPr>
          <w:fldChar w:fldCharType="end"/>
        </w:r>
      </w:hyperlink>
    </w:p>
    <w:p w14:paraId="28869B29" w14:textId="477C613D"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5" w:history="1">
        <w:r w:rsidRPr="00B77074">
          <w:rPr>
            <w:rStyle w:val="Hyperlink"/>
          </w:rPr>
          <w:t>Commodities exported</w:t>
        </w:r>
        <w:r>
          <w:rPr>
            <w:webHidden/>
          </w:rPr>
          <w:tab/>
        </w:r>
        <w:r>
          <w:rPr>
            <w:webHidden/>
          </w:rPr>
          <w:fldChar w:fldCharType="begin"/>
        </w:r>
        <w:r>
          <w:rPr>
            <w:webHidden/>
          </w:rPr>
          <w:instrText xml:space="preserve"> PAGEREF _Toc138344475 \h </w:instrText>
        </w:r>
        <w:r>
          <w:rPr>
            <w:webHidden/>
          </w:rPr>
        </w:r>
        <w:r>
          <w:rPr>
            <w:webHidden/>
          </w:rPr>
          <w:fldChar w:fldCharType="separate"/>
        </w:r>
        <w:r>
          <w:rPr>
            <w:webHidden/>
          </w:rPr>
          <w:t>4</w:t>
        </w:r>
        <w:r>
          <w:rPr>
            <w:webHidden/>
          </w:rPr>
          <w:fldChar w:fldCharType="end"/>
        </w:r>
      </w:hyperlink>
    </w:p>
    <w:p w14:paraId="4EFB3DFF" w14:textId="3D2F7BC9"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6" w:history="1">
        <w:r w:rsidRPr="00B77074">
          <w:rPr>
            <w:rStyle w:val="Hyperlink"/>
          </w:rPr>
          <w:t>Destination and value of exports</w:t>
        </w:r>
        <w:r>
          <w:rPr>
            <w:webHidden/>
          </w:rPr>
          <w:tab/>
        </w:r>
        <w:r>
          <w:rPr>
            <w:webHidden/>
          </w:rPr>
          <w:fldChar w:fldCharType="begin"/>
        </w:r>
        <w:r>
          <w:rPr>
            <w:webHidden/>
          </w:rPr>
          <w:instrText xml:space="preserve"> PAGEREF _Toc138344476 \h </w:instrText>
        </w:r>
        <w:r>
          <w:rPr>
            <w:webHidden/>
          </w:rPr>
        </w:r>
        <w:r>
          <w:rPr>
            <w:webHidden/>
          </w:rPr>
          <w:fldChar w:fldCharType="separate"/>
        </w:r>
        <w:r>
          <w:rPr>
            <w:webHidden/>
          </w:rPr>
          <w:t>4</w:t>
        </w:r>
        <w:r>
          <w:rPr>
            <w:webHidden/>
          </w:rPr>
          <w:fldChar w:fldCharType="end"/>
        </w:r>
      </w:hyperlink>
    </w:p>
    <w:p w14:paraId="17865221" w14:textId="17C4EB16"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77" w:history="1">
        <w:r w:rsidRPr="00B77074">
          <w:rPr>
            <w:rStyle w:val="Hyperlink"/>
          </w:rPr>
          <w:t>Proposed Australian use patterns</w:t>
        </w:r>
        <w:r>
          <w:rPr>
            <w:webHidden/>
          </w:rPr>
          <w:tab/>
        </w:r>
        <w:r>
          <w:rPr>
            <w:webHidden/>
          </w:rPr>
          <w:fldChar w:fldCharType="begin"/>
        </w:r>
        <w:r>
          <w:rPr>
            <w:webHidden/>
          </w:rPr>
          <w:instrText xml:space="preserve"> PAGEREF _Toc138344477 \h </w:instrText>
        </w:r>
        <w:r>
          <w:rPr>
            <w:webHidden/>
          </w:rPr>
        </w:r>
        <w:r>
          <w:rPr>
            <w:webHidden/>
          </w:rPr>
          <w:fldChar w:fldCharType="separate"/>
        </w:r>
        <w:r>
          <w:rPr>
            <w:webHidden/>
          </w:rPr>
          <w:t>5</w:t>
        </w:r>
        <w:r>
          <w:rPr>
            <w:webHidden/>
          </w:rPr>
          <w:fldChar w:fldCharType="end"/>
        </w:r>
      </w:hyperlink>
    </w:p>
    <w:p w14:paraId="17098472" w14:textId="0A5D4C9E"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78" w:history="1">
        <w:r w:rsidRPr="00B77074">
          <w:rPr>
            <w:rStyle w:val="Hyperlink"/>
          </w:rPr>
          <w:t>Restraints</w:t>
        </w:r>
        <w:r>
          <w:rPr>
            <w:webHidden/>
          </w:rPr>
          <w:tab/>
        </w:r>
        <w:r>
          <w:rPr>
            <w:webHidden/>
          </w:rPr>
          <w:fldChar w:fldCharType="begin"/>
        </w:r>
        <w:r>
          <w:rPr>
            <w:webHidden/>
          </w:rPr>
          <w:instrText xml:space="preserve"> PAGEREF _Toc138344478 \h </w:instrText>
        </w:r>
        <w:r>
          <w:rPr>
            <w:webHidden/>
          </w:rPr>
        </w:r>
        <w:r>
          <w:rPr>
            <w:webHidden/>
          </w:rPr>
          <w:fldChar w:fldCharType="separate"/>
        </w:r>
        <w:r>
          <w:rPr>
            <w:webHidden/>
          </w:rPr>
          <w:t>5</w:t>
        </w:r>
        <w:r>
          <w:rPr>
            <w:webHidden/>
          </w:rPr>
          <w:fldChar w:fldCharType="end"/>
        </w:r>
      </w:hyperlink>
    </w:p>
    <w:p w14:paraId="632AD5B0" w14:textId="4B8FFC3C"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79" w:history="1">
        <w:r w:rsidRPr="00B77074">
          <w:rPr>
            <w:rStyle w:val="Hyperlink"/>
          </w:rPr>
          <w:t>Withholding period</w:t>
        </w:r>
        <w:r>
          <w:rPr>
            <w:webHidden/>
          </w:rPr>
          <w:tab/>
        </w:r>
        <w:r>
          <w:rPr>
            <w:webHidden/>
          </w:rPr>
          <w:fldChar w:fldCharType="begin"/>
        </w:r>
        <w:r>
          <w:rPr>
            <w:webHidden/>
          </w:rPr>
          <w:instrText xml:space="preserve"> PAGEREF _Toc138344479 \h </w:instrText>
        </w:r>
        <w:r>
          <w:rPr>
            <w:webHidden/>
          </w:rPr>
        </w:r>
        <w:r>
          <w:rPr>
            <w:webHidden/>
          </w:rPr>
          <w:fldChar w:fldCharType="separate"/>
        </w:r>
        <w:r>
          <w:rPr>
            <w:webHidden/>
          </w:rPr>
          <w:t>5</w:t>
        </w:r>
        <w:r>
          <w:rPr>
            <w:webHidden/>
          </w:rPr>
          <w:fldChar w:fldCharType="end"/>
        </w:r>
      </w:hyperlink>
    </w:p>
    <w:p w14:paraId="7D54BDB1" w14:textId="3B7A9361"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0" w:history="1">
        <w:r w:rsidRPr="00B77074">
          <w:rPr>
            <w:rStyle w:val="Hyperlink"/>
          </w:rPr>
          <w:t>Restraints</w:t>
        </w:r>
        <w:r>
          <w:rPr>
            <w:webHidden/>
          </w:rPr>
          <w:tab/>
        </w:r>
        <w:r>
          <w:rPr>
            <w:webHidden/>
          </w:rPr>
          <w:fldChar w:fldCharType="begin"/>
        </w:r>
        <w:r>
          <w:rPr>
            <w:webHidden/>
          </w:rPr>
          <w:instrText xml:space="preserve"> PAGEREF _Toc138344480 \h </w:instrText>
        </w:r>
        <w:r>
          <w:rPr>
            <w:webHidden/>
          </w:rPr>
        </w:r>
        <w:r>
          <w:rPr>
            <w:webHidden/>
          </w:rPr>
          <w:fldChar w:fldCharType="separate"/>
        </w:r>
        <w:r>
          <w:rPr>
            <w:webHidden/>
          </w:rPr>
          <w:t>6</w:t>
        </w:r>
        <w:r>
          <w:rPr>
            <w:webHidden/>
          </w:rPr>
          <w:fldChar w:fldCharType="end"/>
        </w:r>
      </w:hyperlink>
    </w:p>
    <w:p w14:paraId="36FE19B3" w14:textId="6F28130D"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1" w:history="1">
        <w:r w:rsidRPr="00B77074">
          <w:rPr>
            <w:rStyle w:val="Hyperlink"/>
          </w:rPr>
          <w:t>Withholding periods</w:t>
        </w:r>
        <w:r>
          <w:rPr>
            <w:webHidden/>
          </w:rPr>
          <w:tab/>
        </w:r>
        <w:r>
          <w:rPr>
            <w:webHidden/>
          </w:rPr>
          <w:fldChar w:fldCharType="begin"/>
        </w:r>
        <w:r>
          <w:rPr>
            <w:webHidden/>
          </w:rPr>
          <w:instrText xml:space="preserve"> PAGEREF _Toc138344481 \h </w:instrText>
        </w:r>
        <w:r>
          <w:rPr>
            <w:webHidden/>
          </w:rPr>
        </w:r>
        <w:r>
          <w:rPr>
            <w:webHidden/>
          </w:rPr>
          <w:fldChar w:fldCharType="separate"/>
        </w:r>
        <w:r>
          <w:rPr>
            <w:webHidden/>
          </w:rPr>
          <w:t>6</w:t>
        </w:r>
        <w:r>
          <w:rPr>
            <w:webHidden/>
          </w:rPr>
          <w:fldChar w:fldCharType="end"/>
        </w:r>
      </w:hyperlink>
    </w:p>
    <w:p w14:paraId="4D2CBF2B" w14:textId="77FA6E46"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2" w:history="1">
        <w:r w:rsidRPr="00B77074">
          <w:rPr>
            <w:rStyle w:val="Hyperlink"/>
          </w:rPr>
          <w:t>Restraints</w:t>
        </w:r>
        <w:r>
          <w:rPr>
            <w:webHidden/>
          </w:rPr>
          <w:tab/>
        </w:r>
        <w:r>
          <w:rPr>
            <w:webHidden/>
          </w:rPr>
          <w:fldChar w:fldCharType="begin"/>
        </w:r>
        <w:r>
          <w:rPr>
            <w:webHidden/>
          </w:rPr>
          <w:instrText xml:space="preserve"> PAGEREF _Toc138344482 \h </w:instrText>
        </w:r>
        <w:r>
          <w:rPr>
            <w:webHidden/>
          </w:rPr>
        </w:r>
        <w:r>
          <w:rPr>
            <w:webHidden/>
          </w:rPr>
          <w:fldChar w:fldCharType="separate"/>
        </w:r>
        <w:r>
          <w:rPr>
            <w:webHidden/>
          </w:rPr>
          <w:t>7</w:t>
        </w:r>
        <w:r>
          <w:rPr>
            <w:webHidden/>
          </w:rPr>
          <w:fldChar w:fldCharType="end"/>
        </w:r>
      </w:hyperlink>
    </w:p>
    <w:p w14:paraId="48AEB7FA" w14:textId="4B91EE7B"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3" w:history="1">
        <w:r w:rsidRPr="00B77074">
          <w:rPr>
            <w:rStyle w:val="Hyperlink"/>
          </w:rPr>
          <w:t>Withholding periods</w:t>
        </w:r>
        <w:r>
          <w:rPr>
            <w:webHidden/>
          </w:rPr>
          <w:tab/>
        </w:r>
        <w:r>
          <w:rPr>
            <w:webHidden/>
          </w:rPr>
          <w:fldChar w:fldCharType="begin"/>
        </w:r>
        <w:r>
          <w:rPr>
            <w:webHidden/>
          </w:rPr>
          <w:instrText xml:space="preserve"> PAGEREF _Toc138344483 \h </w:instrText>
        </w:r>
        <w:r>
          <w:rPr>
            <w:webHidden/>
          </w:rPr>
        </w:r>
        <w:r>
          <w:rPr>
            <w:webHidden/>
          </w:rPr>
          <w:fldChar w:fldCharType="separate"/>
        </w:r>
        <w:r>
          <w:rPr>
            <w:webHidden/>
          </w:rPr>
          <w:t>7</w:t>
        </w:r>
        <w:r>
          <w:rPr>
            <w:webHidden/>
          </w:rPr>
          <w:fldChar w:fldCharType="end"/>
        </w:r>
      </w:hyperlink>
    </w:p>
    <w:p w14:paraId="71D4C61D" w14:textId="75C37170"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84" w:history="1">
        <w:r w:rsidRPr="00B77074">
          <w:rPr>
            <w:rStyle w:val="Hyperlink"/>
          </w:rPr>
          <w:t>Results from residues trials presented to the APVMA</w:t>
        </w:r>
        <w:r>
          <w:rPr>
            <w:webHidden/>
          </w:rPr>
          <w:tab/>
        </w:r>
        <w:r>
          <w:rPr>
            <w:webHidden/>
          </w:rPr>
          <w:fldChar w:fldCharType="begin"/>
        </w:r>
        <w:r>
          <w:rPr>
            <w:webHidden/>
          </w:rPr>
          <w:instrText xml:space="preserve"> PAGEREF _Toc138344484 \h </w:instrText>
        </w:r>
        <w:r>
          <w:rPr>
            <w:webHidden/>
          </w:rPr>
        </w:r>
        <w:r>
          <w:rPr>
            <w:webHidden/>
          </w:rPr>
          <w:fldChar w:fldCharType="separate"/>
        </w:r>
        <w:r>
          <w:rPr>
            <w:webHidden/>
          </w:rPr>
          <w:t>8</w:t>
        </w:r>
        <w:r>
          <w:rPr>
            <w:webHidden/>
          </w:rPr>
          <w:fldChar w:fldCharType="end"/>
        </w:r>
      </w:hyperlink>
    </w:p>
    <w:p w14:paraId="0AC12DA4" w14:textId="74F6F849"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5" w:history="1">
        <w:r w:rsidRPr="00B77074">
          <w:rPr>
            <w:rStyle w:val="Hyperlink"/>
          </w:rPr>
          <w:t>Plums</w:t>
        </w:r>
        <w:r>
          <w:rPr>
            <w:webHidden/>
          </w:rPr>
          <w:tab/>
        </w:r>
        <w:r>
          <w:rPr>
            <w:webHidden/>
          </w:rPr>
          <w:fldChar w:fldCharType="begin"/>
        </w:r>
        <w:r>
          <w:rPr>
            <w:webHidden/>
          </w:rPr>
          <w:instrText xml:space="preserve"> PAGEREF _Toc138344485 \h </w:instrText>
        </w:r>
        <w:r>
          <w:rPr>
            <w:webHidden/>
          </w:rPr>
        </w:r>
        <w:r>
          <w:rPr>
            <w:webHidden/>
          </w:rPr>
          <w:fldChar w:fldCharType="separate"/>
        </w:r>
        <w:r>
          <w:rPr>
            <w:webHidden/>
          </w:rPr>
          <w:t>8</w:t>
        </w:r>
        <w:r>
          <w:rPr>
            <w:webHidden/>
          </w:rPr>
          <w:fldChar w:fldCharType="end"/>
        </w:r>
      </w:hyperlink>
    </w:p>
    <w:p w14:paraId="30009DA8" w14:textId="70F4381E" w:rsidR="0054252F" w:rsidRDefault="0054252F">
      <w:pPr>
        <w:pStyle w:val="TOC3"/>
        <w:rPr>
          <w:rFonts w:asciiTheme="minorHAnsi" w:eastAsiaTheme="minorEastAsia" w:hAnsiTheme="minorHAnsi" w:cstheme="minorBidi"/>
          <w:kern w:val="2"/>
          <w:sz w:val="22"/>
          <w:szCs w:val="22"/>
          <w:lang w:eastAsia="en-AU"/>
          <w14:ligatures w14:val="standardContextual"/>
        </w:rPr>
      </w:pPr>
      <w:hyperlink w:anchor="_Toc138344486" w:history="1">
        <w:r w:rsidRPr="00B77074">
          <w:rPr>
            <w:rStyle w:val="Hyperlink"/>
          </w:rPr>
          <w:t>Processing to prunes</w:t>
        </w:r>
        <w:r>
          <w:rPr>
            <w:webHidden/>
          </w:rPr>
          <w:tab/>
        </w:r>
        <w:r>
          <w:rPr>
            <w:webHidden/>
          </w:rPr>
          <w:fldChar w:fldCharType="begin"/>
        </w:r>
        <w:r>
          <w:rPr>
            <w:webHidden/>
          </w:rPr>
          <w:instrText xml:space="preserve"> PAGEREF _Toc138344486 \h </w:instrText>
        </w:r>
        <w:r>
          <w:rPr>
            <w:webHidden/>
          </w:rPr>
        </w:r>
        <w:r>
          <w:rPr>
            <w:webHidden/>
          </w:rPr>
          <w:fldChar w:fldCharType="separate"/>
        </w:r>
        <w:r>
          <w:rPr>
            <w:webHidden/>
          </w:rPr>
          <w:t>8</w:t>
        </w:r>
        <w:r>
          <w:rPr>
            <w:webHidden/>
          </w:rPr>
          <w:fldChar w:fldCharType="end"/>
        </w:r>
      </w:hyperlink>
    </w:p>
    <w:p w14:paraId="22AD0EE6" w14:textId="225E3EBE"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87" w:history="1">
        <w:r w:rsidRPr="00B77074">
          <w:rPr>
            <w:rStyle w:val="Hyperlink"/>
          </w:rPr>
          <w:t>Overseas registration and approved label instructions</w:t>
        </w:r>
        <w:r>
          <w:rPr>
            <w:webHidden/>
          </w:rPr>
          <w:tab/>
        </w:r>
        <w:r>
          <w:rPr>
            <w:webHidden/>
          </w:rPr>
          <w:fldChar w:fldCharType="begin"/>
        </w:r>
        <w:r>
          <w:rPr>
            <w:webHidden/>
          </w:rPr>
          <w:instrText xml:space="preserve"> PAGEREF _Toc138344487 \h </w:instrText>
        </w:r>
        <w:r>
          <w:rPr>
            <w:webHidden/>
          </w:rPr>
        </w:r>
        <w:r>
          <w:rPr>
            <w:webHidden/>
          </w:rPr>
          <w:fldChar w:fldCharType="separate"/>
        </w:r>
        <w:r>
          <w:rPr>
            <w:webHidden/>
          </w:rPr>
          <w:t>9</w:t>
        </w:r>
        <w:r>
          <w:rPr>
            <w:webHidden/>
          </w:rPr>
          <w:fldChar w:fldCharType="end"/>
        </w:r>
      </w:hyperlink>
    </w:p>
    <w:p w14:paraId="6421515D" w14:textId="10822554"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88" w:history="1">
        <w:r w:rsidRPr="00B77074">
          <w:rPr>
            <w:rStyle w:val="Hyperlink"/>
          </w:rPr>
          <w:t>Codex Alimentarius Commission and overseas MRLs</w:t>
        </w:r>
        <w:r>
          <w:rPr>
            <w:webHidden/>
          </w:rPr>
          <w:tab/>
        </w:r>
        <w:r>
          <w:rPr>
            <w:webHidden/>
          </w:rPr>
          <w:fldChar w:fldCharType="begin"/>
        </w:r>
        <w:r>
          <w:rPr>
            <w:webHidden/>
          </w:rPr>
          <w:instrText xml:space="preserve"> PAGEREF _Toc138344488 \h </w:instrText>
        </w:r>
        <w:r>
          <w:rPr>
            <w:webHidden/>
          </w:rPr>
        </w:r>
        <w:r>
          <w:rPr>
            <w:webHidden/>
          </w:rPr>
          <w:fldChar w:fldCharType="separate"/>
        </w:r>
        <w:r>
          <w:rPr>
            <w:webHidden/>
          </w:rPr>
          <w:t>9</w:t>
        </w:r>
        <w:r>
          <w:rPr>
            <w:webHidden/>
          </w:rPr>
          <w:fldChar w:fldCharType="end"/>
        </w:r>
      </w:hyperlink>
    </w:p>
    <w:p w14:paraId="6D3B4562" w14:textId="7B0592D5"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89" w:history="1">
        <w:r w:rsidRPr="00B77074">
          <w:rPr>
            <w:rStyle w:val="Hyperlink"/>
          </w:rPr>
          <w:t>Current and proposed Australian MRLs</w:t>
        </w:r>
        <w:r>
          <w:rPr>
            <w:webHidden/>
          </w:rPr>
          <w:tab/>
        </w:r>
        <w:r>
          <w:rPr>
            <w:webHidden/>
          </w:rPr>
          <w:fldChar w:fldCharType="begin"/>
        </w:r>
        <w:r>
          <w:rPr>
            <w:webHidden/>
          </w:rPr>
          <w:instrText xml:space="preserve"> PAGEREF _Toc138344489 \h </w:instrText>
        </w:r>
        <w:r>
          <w:rPr>
            <w:webHidden/>
          </w:rPr>
        </w:r>
        <w:r>
          <w:rPr>
            <w:webHidden/>
          </w:rPr>
          <w:fldChar w:fldCharType="separate"/>
        </w:r>
        <w:r>
          <w:rPr>
            <w:webHidden/>
          </w:rPr>
          <w:t>14</w:t>
        </w:r>
        <w:r>
          <w:rPr>
            <w:webHidden/>
          </w:rPr>
          <w:fldChar w:fldCharType="end"/>
        </w:r>
      </w:hyperlink>
    </w:p>
    <w:p w14:paraId="15E1B053" w14:textId="06846B38" w:rsidR="0054252F" w:rsidRDefault="0054252F">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344490" w:history="1">
        <w:r w:rsidRPr="00B77074">
          <w:rPr>
            <w:rStyle w:val="Hyperlink"/>
          </w:rPr>
          <w:t>Potential risk to trade</w:t>
        </w:r>
        <w:r>
          <w:rPr>
            <w:webHidden/>
          </w:rPr>
          <w:tab/>
        </w:r>
        <w:r>
          <w:rPr>
            <w:webHidden/>
          </w:rPr>
          <w:fldChar w:fldCharType="begin"/>
        </w:r>
        <w:r>
          <w:rPr>
            <w:webHidden/>
          </w:rPr>
          <w:instrText xml:space="preserve"> PAGEREF _Toc138344490 \h </w:instrText>
        </w:r>
        <w:r>
          <w:rPr>
            <w:webHidden/>
          </w:rPr>
        </w:r>
        <w:r>
          <w:rPr>
            <w:webHidden/>
          </w:rPr>
          <w:fldChar w:fldCharType="separate"/>
        </w:r>
        <w:r>
          <w:rPr>
            <w:webHidden/>
          </w:rPr>
          <w:t>15</w:t>
        </w:r>
        <w:r>
          <w:rPr>
            <w:webHidden/>
          </w:rPr>
          <w:fldChar w:fldCharType="end"/>
        </w:r>
      </w:hyperlink>
    </w:p>
    <w:p w14:paraId="0E360D0A" w14:textId="46993ECC" w:rsidR="0054252F" w:rsidRDefault="0054252F">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344491" w:history="1">
        <w:r w:rsidRPr="00B77074">
          <w:rPr>
            <w:rStyle w:val="Hyperlink"/>
          </w:rPr>
          <w:t>Conclusion</w:t>
        </w:r>
        <w:r>
          <w:rPr>
            <w:webHidden/>
          </w:rPr>
          <w:tab/>
        </w:r>
        <w:r>
          <w:rPr>
            <w:webHidden/>
          </w:rPr>
          <w:fldChar w:fldCharType="begin"/>
        </w:r>
        <w:r>
          <w:rPr>
            <w:webHidden/>
          </w:rPr>
          <w:instrText xml:space="preserve"> PAGEREF _Toc138344491 \h </w:instrText>
        </w:r>
        <w:r>
          <w:rPr>
            <w:webHidden/>
          </w:rPr>
        </w:r>
        <w:r>
          <w:rPr>
            <w:webHidden/>
          </w:rPr>
          <w:fldChar w:fldCharType="separate"/>
        </w:r>
        <w:r>
          <w:rPr>
            <w:webHidden/>
          </w:rPr>
          <w:t>16</w:t>
        </w:r>
        <w:r>
          <w:rPr>
            <w:webHidden/>
          </w:rPr>
          <w:fldChar w:fldCharType="end"/>
        </w:r>
      </w:hyperlink>
    </w:p>
    <w:p w14:paraId="2CFEBDD0" w14:textId="77777777" w:rsidR="0054252F"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43C494C7" w14:textId="5D767953"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2" w:history="1">
        <w:r w:rsidRPr="00C16509">
          <w:rPr>
            <w:rStyle w:val="Hyperlink"/>
          </w:rPr>
          <w:t>Table 1:</w:t>
        </w:r>
        <w:r>
          <w:rPr>
            <w:rFonts w:asciiTheme="minorHAnsi" w:eastAsiaTheme="minorEastAsia" w:hAnsiTheme="minorHAnsi" w:cstheme="minorBidi"/>
            <w:kern w:val="2"/>
            <w:sz w:val="22"/>
            <w:szCs w:val="22"/>
            <w:lang w:eastAsia="en-AU"/>
            <w14:ligatures w14:val="standardContextual"/>
          </w:rPr>
          <w:tab/>
        </w:r>
        <w:r w:rsidRPr="00C16509">
          <w:rPr>
            <w:rStyle w:val="Hyperlink"/>
          </w:rPr>
          <w:t>Proposed use pattern for azoxystrobin and difenoconazole on plums</w:t>
        </w:r>
        <w:r>
          <w:rPr>
            <w:webHidden/>
          </w:rPr>
          <w:tab/>
        </w:r>
        <w:r>
          <w:rPr>
            <w:webHidden/>
          </w:rPr>
          <w:fldChar w:fldCharType="begin"/>
        </w:r>
        <w:r>
          <w:rPr>
            <w:webHidden/>
          </w:rPr>
          <w:instrText xml:space="preserve"> PAGEREF _Toc138344492 \h </w:instrText>
        </w:r>
        <w:r>
          <w:rPr>
            <w:webHidden/>
          </w:rPr>
        </w:r>
        <w:r>
          <w:rPr>
            <w:webHidden/>
          </w:rPr>
          <w:fldChar w:fldCharType="separate"/>
        </w:r>
        <w:r>
          <w:rPr>
            <w:webHidden/>
          </w:rPr>
          <w:t>5</w:t>
        </w:r>
        <w:r>
          <w:rPr>
            <w:webHidden/>
          </w:rPr>
          <w:fldChar w:fldCharType="end"/>
        </w:r>
      </w:hyperlink>
    </w:p>
    <w:p w14:paraId="678C6351" w14:textId="1114F7F1"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3" w:history="1">
        <w:r w:rsidRPr="00C16509">
          <w:rPr>
            <w:rStyle w:val="Hyperlink"/>
          </w:rPr>
          <w:t>Table 2:</w:t>
        </w:r>
        <w:r>
          <w:rPr>
            <w:rFonts w:asciiTheme="minorHAnsi" w:eastAsiaTheme="minorEastAsia" w:hAnsiTheme="minorHAnsi" w:cstheme="minorBidi"/>
            <w:kern w:val="2"/>
            <w:sz w:val="22"/>
            <w:szCs w:val="22"/>
            <w:lang w:eastAsia="en-AU"/>
            <w14:ligatures w14:val="standardContextual"/>
          </w:rPr>
          <w:tab/>
        </w:r>
        <w:r w:rsidRPr="00C16509">
          <w:rPr>
            <w:rStyle w:val="Hyperlink"/>
          </w:rPr>
          <w:t>Proposed use pattern for isopyrazam on plums</w:t>
        </w:r>
        <w:r>
          <w:rPr>
            <w:webHidden/>
          </w:rPr>
          <w:tab/>
        </w:r>
        <w:r>
          <w:rPr>
            <w:webHidden/>
          </w:rPr>
          <w:fldChar w:fldCharType="begin"/>
        </w:r>
        <w:r>
          <w:rPr>
            <w:webHidden/>
          </w:rPr>
          <w:instrText xml:space="preserve"> PAGEREF _Toc138344493 \h </w:instrText>
        </w:r>
        <w:r>
          <w:rPr>
            <w:webHidden/>
          </w:rPr>
        </w:r>
        <w:r>
          <w:rPr>
            <w:webHidden/>
          </w:rPr>
          <w:fldChar w:fldCharType="separate"/>
        </w:r>
        <w:r>
          <w:rPr>
            <w:webHidden/>
          </w:rPr>
          <w:t>6</w:t>
        </w:r>
        <w:r>
          <w:rPr>
            <w:webHidden/>
          </w:rPr>
          <w:fldChar w:fldCharType="end"/>
        </w:r>
      </w:hyperlink>
    </w:p>
    <w:p w14:paraId="0FCB1024" w14:textId="44DF2A89"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4" w:history="1">
        <w:r w:rsidRPr="00C16509">
          <w:rPr>
            <w:rStyle w:val="Hyperlink"/>
          </w:rPr>
          <w:t>Table 3:</w:t>
        </w:r>
        <w:r>
          <w:rPr>
            <w:rFonts w:asciiTheme="minorHAnsi" w:eastAsiaTheme="minorEastAsia" w:hAnsiTheme="minorHAnsi" w:cstheme="minorBidi"/>
            <w:kern w:val="2"/>
            <w:sz w:val="22"/>
            <w:szCs w:val="22"/>
            <w:lang w:eastAsia="en-AU"/>
            <w14:ligatures w14:val="standardContextual"/>
          </w:rPr>
          <w:tab/>
        </w:r>
        <w:r w:rsidRPr="00C16509">
          <w:rPr>
            <w:rStyle w:val="Hyperlink"/>
          </w:rPr>
          <w:t>Proposed use pattern for isopyrazam being considered by the APVMA</w:t>
        </w:r>
        <w:r>
          <w:rPr>
            <w:webHidden/>
          </w:rPr>
          <w:tab/>
        </w:r>
        <w:r>
          <w:rPr>
            <w:webHidden/>
          </w:rPr>
          <w:fldChar w:fldCharType="begin"/>
        </w:r>
        <w:r>
          <w:rPr>
            <w:webHidden/>
          </w:rPr>
          <w:instrText xml:space="preserve"> PAGEREF _Toc138344494 \h </w:instrText>
        </w:r>
        <w:r>
          <w:rPr>
            <w:webHidden/>
          </w:rPr>
        </w:r>
        <w:r>
          <w:rPr>
            <w:webHidden/>
          </w:rPr>
          <w:fldChar w:fldCharType="separate"/>
        </w:r>
        <w:r>
          <w:rPr>
            <w:webHidden/>
          </w:rPr>
          <w:t>7</w:t>
        </w:r>
        <w:r>
          <w:rPr>
            <w:webHidden/>
          </w:rPr>
          <w:fldChar w:fldCharType="end"/>
        </w:r>
      </w:hyperlink>
    </w:p>
    <w:p w14:paraId="7C36F643" w14:textId="555C206B"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5" w:history="1">
        <w:r w:rsidRPr="00C16509">
          <w:rPr>
            <w:rStyle w:val="Hyperlink"/>
          </w:rPr>
          <w:t>Table 4:</w:t>
        </w:r>
        <w:r>
          <w:rPr>
            <w:rFonts w:asciiTheme="minorHAnsi" w:eastAsiaTheme="minorEastAsia" w:hAnsiTheme="minorHAnsi" w:cstheme="minorBidi"/>
            <w:kern w:val="2"/>
            <w:sz w:val="22"/>
            <w:szCs w:val="22"/>
            <w:lang w:eastAsia="en-AU"/>
            <w14:ligatures w14:val="standardContextual"/>
          </w:rPr>
          <w:tab/>
        </w:r>
        <w:r w:rsidRPr="00C16509">
          <w:rPr>
            <w:rStyle w:val="Hyperlink"/>
          </w:rPr>
          <w:t>Current and proposed Australian and overseas MRLs/tolerances for azoxystrobin</w:t>
        </w:r>
        <w:r>
          <w:rPr>
            <w:webHidden/>
          </w:rPr>
          <w:tab/>
        </w:r>
        <w:r>
          <w:rPr>
            <w:webHidden/>
          </w:rPr>
          <w:fldChar w:fldCharType="begin"/>
        </w:r>
        <w:r>
          <w:rPr>
            <w:webHidden/>
          </w:rPr>
          <w:instrText xml:space="preserve"> PAGEREF _Toc138344495 \h </w:instrText>
        </w:r>
        <w:r>
          <w:rPr>
            <w:webHidden/>
          </w:rPr>
        </w:r>
        <w:r>
          <w:rPr>
            <w:webHidden/>
          </w:rPr>
          <w:fldChar w:fldCharType="separate"/>
        </w:r>
        <w:r>
          <w:rPr>
            <w:webHidden/>
          </w:rPr>
          <w:t>10</w:t>
        </w:r>
        <w:r>
          <w:rPr>
            <w:webHidden/>
          </w:rPr>
          <w:fldChar w:fldCharType="end"/>
        </w:r>
      </w:hyperlink>
    </w:p>
    <w:p w14:paraId="63926997" w14:textId="4C24F109"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6" w:history="1">
        <w:r w:rsidRPr="00C16509">
          <w:rPr>
            <w:rStyle w:val="Hyperlink"/>
          </w:rPr>
          <w:t>Table 5:</w:t>
        </w:r>
        <w:r>
          <w:rPr>
            <w:rFonts w:asciiTheme="minorHAnsi" w:eastAsiaTheme="minorEastAsia" w:hAnsiTheme="minorHAnsi" w:cstheme="minorBidi"/>
            <w:kern w:val="2"/>
            <w:sz w:val="22"/>
            <w:szCs w:val="22"/>
            <w:lang w:eastAsia="en-AU"/>
            <w14:ligatures w14:val="standardContextual"/>
          </w:rPr>
          <w:tab/>
        </w:r>
        <w:r w:rsidRPr="00C16509">
          <w:rPr>
            <w:rStyle w:val="Hyperlink"/>
          </w:rPr>
          <w:t>Current and proposed Australian and overseas MRLs/tolerances for difenoconazole</w:t>
        </w:r>
        <w:r>
          <w:rPr>
            <w:webHidden/>
          </w:rPr>
          <w:tab/>
        </w:r>
        <w:r>
          <w:rPr>
            <w:webHidden/>
          </w:rPr>
          <w:fldChar w:fldCharType="begin"/>
        </w:r>
        <w:r>
          <w:rPr>
            <w:webHidden/>
          </w:rPr>
          <w:instrText xml:space="preserve"> PAGEREF _Toc138344496 \h </w:instrText>
        </w:r>
        <w:r>
          <w:rPr>
            <w:webHidden/>
          </w:rPr>
        </w:r>
        <w:r>
          <w:rPr>
            <w:webHidden/>
          </w:rPr>
          <w:fldChar w:fldCharType="separate"/>
        </w:r>
        <w:r>
          <w:rPr>
            <w:webHidden/>
          </w:rPr>
          <w:t>11</w:t>
        </w:r>
        <w:r>
          <w:rPr>
            <w:webHidden/>
          </w:rPr>
          <w:fldChar w:fldCharType="end"/>
        </w:r>
      </w:hyperlink>
    </w:p>
    <w:p w14:paraId="02E9AC70" w14:textId="2A25B423"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7" w:history="1">
        <w:r w:rsidRPr="00C16509">
          <w:rPr>
            <w:rStyle w:val="Hyperlink"/>
          </w:rPr>
          <w:t>Table 6:</w:t>
        </w:r>
        <w:r>
          <w:rPr>
            <w:rFonts w:asciiTheme="minorHAnsi" w:eastAsiaTheme="minorEastAsia" w:hAnsiTheme="minorHAnsi" w:cstheme="minorBidi"/>
            <w:kern w:val="2"/>
            <w:sz w:val="22"/>
            <w:szCs w:val="22"/>
            <w:lang w:eastAsia="en-AU"/>
            <w14:ligatures w14:val="standardContextual"/>
          </w:rPr>
          <w:tab/>
        </w:r>
        <w:r w:rsidRPr="00C16509">
          <w:rPr>
            <w:rStyle w:val="Hyperlink"/>
          </w:rPr>
          <w:t>Current and proposed Australian and overseas MRLs/tolerances for isopyrazam</w:t>
        </w:r>
        <w:r>
          <w:rPr>
            <w:webHidden/>
          </w:rPr>
          <w:tab/>
        </w:r>
        <w:r>
          <w:rPr>
            <w:webHidden/>
          </w:rPr>
          <w:fldChar w:fldCharType="begin"/>
        </w:r>
        <w:r>
          <w:rPr>
            <w:webHidden/>
          </w:rPr>
          <w:instrText xml:space="preserve"> PAGEREF _Toc138344497 \h </w:instrText>
        </w:r>
        <w:r>
          <w:rPr>
            <w:webHidden/>
          </w:rPr>
        </w:r>
        <w:r>
          <w:rPr>
            <w:webHidden/>
          </w:rPr>
          <w:fldChar w:fldCharType="separate"/>
        </w:r>
        <w:r>
          <w:rPr>
            <w:webHidden/>
          </w:rPr>
          <w:t>12</w:t>
        </w:r>
        <w:r>
          <w:rPr>
            <w:webHidden/>
          </w:rPr>
          <w:fldChar w:fldCharType="end"/>
        </w:r>
      </w:hyperlink>
    </w:p>
    <w:p w14:paraId="5988EB59" w14:textId="296013B6"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8" w:history="1">
        <w:r w:rsidRPr="00C16509">
          <w:rPr>
            <w:rStyle w:val="Hyperlink"/>
          </w:rPr>
          <w:t>Table 7:</w:t>
        </w:r>
        <w:r>
          <w:rPr>
            <w:rFonts w:asciiTheme="minorHAnsi" w:eastAsiaTheme="minorEastAsia" w:hAnsiTheme="minorHAnsi" w:cstheme="minorBidi"/>
            <w:kern w:val="2"/>
            <w:sz w:val="22"/>
            <w:szCs w:val="22"/>
            <w:lang w:eastAsia="en-AU"/>
            <w14:ligatures w14:val="standardContextual"/>
          </w:rPr>
          <w:tab/>
        </w:r>
        <w:r w:rsidRPr="00C16509">
          <w:rPr>
            <w:rStyle w:val="Hyperlink"/>
          </w:rPr>
          <w:t>Current and proposed Australian and overseas MRLs/tolerances for tebuconazole</w:t>
        </w:r>
        <w:r>
          <w:rPr>
            <w:webHidden/>
          </w:rPr>
          <w:tab/>
        </w:r>
        <w:r>
          <w:rPr>
            <w:webHidden/>
          </w:rPr>
          <w:fldChar w:fldCharType="begin"/>
        </w:r>
        <w:r>
          <w:rPr>
            <w:webHidden/>
          </w:rPr>
          <w:instrText xml:space="preserve"> PAGEREF _Toc138344498 \h </w:instrText>
        </w:r>
        <w:r>
          <w:rPr>
            <w:webHidden/>
          </w:rPr>
        </w:r>
        <w:r>
          <w:rPr>
            <w:webHidden/>
          </w:rPr>
          <w:fldChar w:fldCharType="separate"/>
        </w:r>
        <w:r>
          <w:rPr>
            <w:webHidden/>
          </w:rPr>
          <w:t>13</w:t>
        </w:r>
        <w:r>
          <w:rPr>
            <w:webHidden/>
          </w:rPr>
          <w:fldChar w:fldCharType="end"/>
        </w:r>
      </w:hyperlink>
    </w:p>
    <w:p w14:paraId="74B9AB0B" w14:textId="44A061FA"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499" w:history="1">
        <w:r w:rsidRPr="00C16509">
          <w:rPr>
            <w:rStyle w:val="Hyperlink"/>
          </w:rPr>
          <w:t>Table 8:</w:t>
        </w:r>
        <w:r>
          <w:rPr>
            <w:rFonts w:asciiTheme="minorHAnsi" w:eastAsiaTheme="minorEastAsia" w:hAnsiTheme="minorHAnsi" w:cstheme="minorBidi"/>
            <w:kern w:val="2"/>
            <w:sz w:val="22"/>
            <w:szCs w:val="22"/>
            <w:lang w:eastAsia="en-AU"/>
            <w14:ligatures w14:val="standardContextual"/>
          </w:rPr>
          <w:tab/>
        </w:r>
        <w:r w:rsidRPr="00C16509">
          <w:rPr>
            <w:rStyle w:val="Hyperlink"/>
          </w:rPr>
          <w:t>Current MRL Standard – Table 1 of the MRL standard</w:t>
        </w:r>
        <w:r>
          <w:rPr>
            <w:webHidden/>
          </w:rPr>
          <w:tab/>
        </w:r>
        <w:r>
          <w:rPr>
            <w:webHidden/>
          </w:rPr>
          <w:fldChar w:fldCharType="begin"/>
        </w:r>
        <w:r>
          <w:rPr>
            <w:webHidden/>
          </w:rPr>
          <w:instrText xml:space="preserve"> PAGEREF _Toc138344499 \h </w:instrText>
        </w:r>
        <w:r>
          <w:rPr>
            <w:webHidden/>
          </w:rPr>
        </w:r>
        <w:r>
          <w:rPr>
            <w:webHidden/>
          </w:rPr>
          <w:fldChar w:fldCharType="separate"/>
        </w:r>
        <w:r>
          <w:rPr>
            <w:webHidden/>
          </w:rPr>
          <w:t>14</w:t>
        </w:r>
        <w:r>
          <w:rPr>
            <w:webHidden/>
          </w:rPr>
          <w:fldChar w:fldCharType="end"/>
        </w:r>
      </w:hyperlink>
    </w:p>
    <w:p w14:paraId="11E3C38E" w14:textId="761CB390" w:rsidR="0054252F" w:rsidRDefault="0054252F">
      <w:pPr>
        <w:pStyle w:val="TableofFigures"/>
        <w:rPr>
          <w:rFonts w:asciiTheme="minorHAnsi" w:eastAsiaTheme="minorEastAsia" w:hAnsiTheme="minorHAnsi" w:cstheme="minorBidi"/>
          <w:kern w:val="2"/>
          <w:sz w:val="22"/>
          <w:szCs w:val="22"/>
          <w:lang w:eastAsia="en-AU"/>
          <w14:ligatures w14:val="standardContextual"/>
        </w:rPr>
      </w:pPr>
      <w:hyperlink w:anchor="_Toc138344500" w:history="1">
        <w:r w:rsidRPr="00C16509">
          <w:rPr>
            <w:rStyle w:val="Hyperlink"/>
          </w:rPr>
          <w:t>Table 9:</w:t>
        </w:r>
        <w:r>
          <w:rPr>
            <w:rFonts w:asciiTheme="minorHAnsi" w:eastAsiaTheme="minorEastAsia" w:hAnsiTheme="minorHAnsi" w:cstheme="minorBidi"/>
            <w:kern w:val="2"/>
            <w:sz w:val="22"/>
            <w:szCs w:val="22"/>
            <w:lang w:eastAsia="en-AU"/>
            <w14:ligatures w14:val="standardContextual"/>
          </w:rPr>
          <w:tab/>
        </w:r>
        <w:r w:rsidRPr="00C16509">
          <w:rPr>
            <w:rStyle w:val="Hyperlink"/>
          </w:rPr>
          <w:t>Proposed MRL Standard – Table 1 of the MRL standard</w:t>
        </w:r>
        <w:r>
          <w:rPr>
            <w:webHidden/>
          </w:rPr>
          <w:tab/>
        </w:r>
        <w:r>
          <w:rPr>
            <w:webHidden/>
          </w:rPr>
          <w:fldChar w:fldCharType="begin"/>
        </w:r>
        <w:r>
          <w:rPr>
            <w:webHidden/>
          </w:rPr>
          <w:instrText xml:space="preserve"> PAGEREF _Toc138344500 \h </w:instrText>
        </w:r>
        <w:r>
          <w:rPr>
            <w:webHidden/>
          </w:rPr>
        </w:r>
        <w:r>
          <w:rPr>
            <w:webHidden/>
          </w:rPr>
          <w:fldChar w:fldCharType="separate"/>
        </w:r>
        <w:r>
          <w:rPr>
            <w:webHidden/>
          </w:rPr>
          <w:t>14</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1C317D" w:rsidRDefault="002E20AC" w:rsidP="001C317D">
      <w:pPr>
        <w:pStyle w:val="APVMAPreliminariesH1"/>
      </w:pPr>
      <w:bookmarkStart w:id="1" w:name="_Toc234063054"/>
      <w:bookmarkStart w:id="2" w:name="_Toc414373831"/>
      <w:bookmarkStart w:id="3" w:name="_Toc138344469"/>
      <w:r w:rsidRPr="001C317D">
        <w:lastRenderedPageBreak/>
        <w:t>Preface</w:t>
      </w:r>
      <w:bookmarkEnd w:id="1"/>
      <w:bookmarkEnd w:id="2"/>
      <w:bookmarkEnd w:id="3"/>
    </w:p>
    <w:p w14:paraId="3C65F9F1" w14:textId="77777777" w:rsidR="006D36C8" w:rsidRPr="001C317D" w:rsidRDefault="006D36C8" w:rsidP="001C317D">
      <w:pPr>
        <w:pStyle w:val="APVMAText"/>
      </w:pPr>
      <w:r w:rsidRPr="001C317D">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1C317D" w:rsidRDefault="006D36C8" w:rsidP="001C317D">
      <w:pPr>
        <w:pStyle w:val="APVMAText"/>
      </w:pPr>
      <w:r w:rsidRPr="001C317D">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1C317D" w:rsidRDefault="006D36C8" w:rsidP="001C317D">
      <w:pPr>
        <w:pStyle w:val="APVMAText"/>
      </w:pPr>
      <w:r w:rsidRPr="001C317D">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1C317D" w:rsidRDefault="006D36C8" w:rsidP="001C317D">
      <w:pPr>
        <w:pStyle w:val="APVMAPreliminariesH2"/>
      </w:pPr>
      <w:bookmarkStart w:id="4" w:name="_Toc414373832"/>
      <w:bookmarkStart w:id="5" w:name="_Toc138344470"/>
      <w:r w:rsidRPr="001C317D">
        <w:t>About this document</w:t>
      </w:r>
      <w:bookmarkEnd w:id="4"/>
      <w:bookmarkEnd w:id="5"/>
    </w:p>
    <w:p w14:paraId="29EE149D" w14:textId="1E6AAF08" w:rsidR="00E63AC3" w:rsidRPr="001C317D" w:rsidRDefault="006D36C8" w:rsidP="001C317D">
      <w:pPr>
        <w:pStyle w:val="APVMAText"/>
      </w:pPr>
      <w:r w:rsidRPr="001C317D">
        <w:t xml:space="preserve">This </w:t>
      </w:r>
      <w:r w:rsidR="00F74FA6" w:rsidRPr="001C317D">
        <w:t>T</w:t>
      </w:r>
      <w:r w:rsidRPr="001C317D">
        <w:t xml:space="preserve">rade </w:t>
      </w:r>
      <w:r w:rsidR="00F74FA6" w:rsidRPr="001C317D">
        <w:t>Advice N</w:t>
      </w:r>
      <w:r w:rsidRPr="001C317D">
        <w:t>otice indicates that the APVMA is considering an application to vary the use of an existing registered agric</w:t>
      </w:r>
      <w:r w:rsidR="00E63AC3" w:rsidRPr="001C317D">
        <w:t>ultural or veterinary chemical.</w:t>
      </w:r>
    </w:p>
    <w:p w14:paraId="2D999D62" w14:textId="77777777" w:rsidR="006D36C8" w:rsidRPr="001C317D" w:rsidRDefault="006D36C8" w:rsidP="001C317D">
      <w:pPr>
        <w:pStyle w:val="APVMAText"/>
      </w:pPr>
      <w:r w:rsidRPr="001C317D">
        <w:t>It provides a summary of the APVMA’s residue and trade assessment.</w:t>
      </w:r>
    </w:p>
    <w:p w14:paraId="793783FA" w14:textId="77777777" w:rsidR="006D36C8" w:rsidRPr="001C317D" w:rsidRDefault="006D36C8" w:rsidP="001C317D">
      <w:pPr>
        <w:pStyle w:val="APVMAText"/>
      </w:pPr>
      <w:r w:rsidRPr="001C317D">
        <w:t>Comment is sought from industry groups and stakeholders on the information contained within this document.</w:t>
      </w:r>
    </w:p>
    <w:p w14:paraId="61CF03AE" w14:textId="77777777" w:rsidR="006D36C8" w:rsidRPr="001C317D" w:rsidRDefault="006D36C8" w:rsidP="001C317D">
      <w:pPr>
        <w:pStyle w:val="APVMAPreliminariesH2"/>
      </w:pPr>
      <w:bookmarkStart w:id="6" w:name="_Toc138344471"/>
      <w:r w:rsidRPr="001C317D">
        <w:t>Making a submission</w:t>
      </w:r>
      <w:bookmarkEnd w:id="6"/>
    </w:p>
    <w:p w14:paraId="5DCD1FC6" w14:textId="251062E7" w:rsidR="006D36C8" w:rsidRPr="001C317D" w:rsidRDefault="006D36C8" w:rsidP="001C317D">
      <w:pPr>
        <w:pStyle w:val="APVMAText"/>
      </w:pPr>
      <w:r w:rsidRPr="001C317D">
        <w:t xml:space="preserve">The APVMA invites any person to submit a relevant written submission as to whether the application </w:t>
      </w:r>
      <w:r w:rsidR="00AE672E" w:rsidRPr="001C317D">
        <w:t xml:space="preserve">for a permit for use of </w:t>
      </w:r>
      <w:bookmarkStart w:id="7" w:name="_Hlk137040197"/>
      <w:bookmarkStart w:id="8" w:name="_Hlk137041641"/>
      <w:r w:rsidR="00AE672E" w:rsidRPr="001C317D">
        <w:t xml:space="preserve">azoxystrobin, difenoconazole, </w:t>
      </w:r>
      <w:proofErr w:type="spellStart"/>
      <w:r w:rsidR="00AE672E" w:rsidRPr="001C317D">
        <w:t>fluopyram</w:t>
      </w:r>
      <w:proofErr w:type="spellEnd"/>
      <w:r w:rsidR="00AE672E" w:rsidRPr="001C317D">
        <w:t xml:space="preserve">, </w:t>
      </w:r>
      <w:proofErr w:type="spellStart"/>
      <w:r w:rsidR="00AE672E" w:rsidRPr="001C317D">
        <w:t>isopyrazam</w:t>
      </w:r>
      <w:proofErr w:type="spellEnd"/>
      <w:r w:rsidR="00AE672E" w:rsidRPr="001C317D">
        <w:t xml:space="preserve"> and tebuconazole on plums</w:t>
      </w:r>
      <w:bookmarkEnd w:id="7"/>
      <w:r w:rsidR="00AE672E" w:rsidRPr="001C317D">
        <w:t xml:space="preserve"> </w:t>
      </w:r>
      <w:bookmarkEnd w:id="8"/>
      <w:r w:rsidRPr="001C317D">
        <w:t>should be granted.</w:t>
      </w:r>
      <w:r w:rsidR="00BA67F0" w:rsidRPr="001C317D">
        <w:t xml:space="preserve"> </w:t>
      </w:r>
      <w:r w:rsidRPr="001C317D">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2CB215CE" w:rsidR="001C317D" w:rsidRDefault="006D36C8" w:rsidP="001C317D">
      <w:pPr>
        <w:pStyle w:val="APVMAText"/>
      </w:pPr>
      <w:r w:rsidRPr="001C317D">
        <w:t>Submissions must be received by the APVMA by close of business on</w:t>
      </w:r>
      <w:r w:rsidR="00696A51" w:rsidRPr="001C317D">
        <w:t xml:space="preserve"> </w:t>
      </w:r>
      <w:r w:rsidR="00F5697C" w:rsidRPr="001C317D">
        <w:t>21 July 2023</w:t>
      </w:r>
      <w:r w:rsidRPr="001C317D">
        <w:t xml:space="preserve"> and be directed to the contact listed below. All submissions to the APVMA will be acknowledged in writing via email or by post.</w:t>
      </w:r>
      <w:r w:rsidR="001C317D">
        <w:br w:type="page"/>
      </w:r>
    </w:p>
    <w:p w14:paraId="00425FA1" w14:textId="77777777" w:rsidR="006D36C8" w:rsidRPr="001C317D" w:rsidRDefault="006D36C8" w:rsidP="001C317D">
      <w:pPr>
        <w:pStyle w:val="APVMAText"/>
      </w:pPr>
      <w:r w:rsidRPr="001C317D">
        <w:lastRenderedPageBreak/>
        <w:t>Relevant comments will be taken into account by the APVMA in deciding whether to grant the application and in determining appropriate conditions of registration and product labelling.</w:t>
      </w:r>
    </w:p>
    <w:p w14:paraId="0D5B62E2" w14:textId="77777777" w:rsidR="006D36C8" w:rsidRPr="001C317D" w:rsidRDefault="006D36C8" w:rsidP="001C317D">
      <w:pPr>
        <w:pStyle w:val="APVMAText"/>
      </w:pPr>
      <w:r w:rsidRPr="001C317D">
        <w:t>When making a submission please include:</w:t>
      </w:r>
    </w:p>
    <w:p w14:paraId="05ED1ED8" w14:textId="77777777" w:rsidR="006D36C8" w:rsidRPr="001C317D" w:rsidRDefault="00BA67F0" w:rsidP="001C317D">
      <w:pPr>
        <w:pStyle w:val="Bullet1"/>
      </w:pPr>
      <w:r w:rsidRPr="001C317D">
        <w:t>c</w:t>
      </w:r>
      <w:r w:rsidR="006D36C8" w:rsidRPr="001C317D">
        <w:t>ontact name</w:t>
      </w:r>
    </w:p>
    <w:p w14:paraId="74C502CA" w14:textId="006BD998" w:rsidR="006D36C8" w:rsidRPr="001C317D" w:rsidRDefault="00BA67F0" w:rsidP="001C317D">
      <w:pPr>
        <w:pStyle w:val="Bullet1"/>
      </w:pPr>
      <w:r w:rsidRPr="001C317D">
        <w:t>c</w:t>
      </w:r>
      <w:r w:rsidR="006D36C8" w:rsidRPr="001C317D">
        <w:t xml:space="preserve">ompany or </w:t>
      </w:r>
      <w:r w:rsidR="00641B1B" w:rsidRPr="001C317D">
        <w:t xml:space="preserve">organisation </w:t>
      </w:r>
      <w:r w:rsidR="006D36C8" w:rsidRPr="001C317D">
        <w:t>name (if relevant)</w:t>
      </w:r>
    </w:p>
    <w:p w14:paraId="4508E5DE" w14:textId="77777777" w:rsidR="006D36C8" w:rsidRPr="001C317D" w:rsidRDefault="008836D1" w:rsidP="001C317D">
      <w:pPr>
        <w:pStyle w:val="Bullet1"/>
      </w:pPr>
      <w:r w:rsidRPr="001C317D">
        <w:t xml:space="preserve">email or </w:t>
      </w:r>
      <w:r w:rsidR="00BA67F0" w:rsidRPr="001C317D">
        <w:t>p</w:t>
      </w:r>
      <w:r w:rsidR="006D36C8" w:rsidRPr="001C317D">
        <w:t xml:space="preserve">ostal </w:t>
      </w:r>
      <w:r w:rsidR="00BA67F0" w:rsidRPr="001C317D">
        <w:t>a</w:t>
      </w:r>
      <w:r w:rsidR="006D36C8" w:rsidRPr="001C317D">
        <w:t>ddress</w:t>
      </w:r>
      <w:r w:rsidRPr="001C317D">
        <w:t xml:space="preserve"> (if available)</w:t>
      </w:r>
    </w:p>
    <w:p w14:paraId="719B1483" w14:textId="34100990" w:rsidR="006D36C8" w:rsidRPr="001C317D" w:rsidRDefault="008836D1" w:rsidP="001C317D">
      <w:pPr>
        <w:pStyle w:val="Bullet1"/>
      </w:pPr>
      <w:r w:rsidRPr="001C317D">
        <w:t xml:space="preserve">the date you made the </w:t>
      </w:r>
      <w:r w:rsidR="0024289A" w:rsidRPr="001C317D">
        <w:t>submission</w:t>
      </w:r>
      <w:r w:rsidR="006D36C8" w:rsidRPr="001C317D">
        <w:t>.</w:t>
      </w:r>
    </w:p>
    <w:p w14:paraId="5B2156FE" w14:textId="0C37EB72" w:rsidR="00F34959" w:rsidRPr="001C317D" w:rsidRDefault="00F34959" w:rsidP="001C317D">
      <w:pPr>
        <w:pStyle w:val="APVMAText"/>
      </w:pPr>
      <w:r w:rsidRPr="001C317D">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1C317D">
          <w:rPr>
            <w:rStyle w:val="Hyperlink"/>
          </w:rPr>
          <w:t>public consultation coversheet</w:t>
        </w:r>
      </w:hyperlink>
      <w:r w:rsidRPr="001C317D">
        <w:t>)</w:t>
      </w:r>
      <w:r w:rsidR="007B1953" w:rsidRPr="001C317D">
        <w:t>.</w:t>
      </w:r>
    </w:p>
    <w:p w14:paraId="272FA43D" w14:textId="7BB19674" w:rsidR="008D01CF" w:rsidRPr="001C317D" w:rsidRDefault="008D01CF" w:rsidP="001C317D">
      <w:pPr>
        <w:pStyle w:val="APVMAText"/>
      </w:pPr>
      <w:r w:rsidRPr="001C317D">
        <w:t xml:space="preserve">Please lodge your submission using the </w:t>
      </w:r>
      <w:hyperlink r:id="rId20" w:history="1">
        <w:r w:rsidRPr="001C317D">
          <w:rPr>
            <w:rStyle w:val="Hyperlink"/>
          </w:rPr>
          <w:t>public consultation coversheet</w:t>
        </w:r>
      </w:hyperlink>
      <w:r w:rsidRPr="001C317D">
        <w:t>, which provides options for how your submission will be published.</w:t>
      </w:r>
    </w:p>
    <w:p w14:paraId="30632674" w14:textId="54A84E6D" w:rsidR="0066107B" w:rsidRPr="001C317D" w:rsidRDefault="0066107B" w:rsidP="001C317D">
      <w:pPr>
        <w:pStyle w:val="APVMAText"/>
      </w:pPr>
      <w:r w:rsidRPr="001C317D">
        <w:t xml:space="preserve">Note that all APVMA documents are subject to the access provisions of the </w:t>
      </w:r>
      <w:r w:rsidRPr="001C317D">
        <w:rPr>
          <w:i/>
          <w:iCs/>
        </w:rPr>
        <w:t>Freedom of Information Act 1982</w:t>
      </w:r>
      <w:r w:rsidRPr="001C317D">
        <w:t xml:space="preserve"> and may be required to be released under that Act should a request for access be made.</w:t>
      </w:r>
    </w:p>
    <w:p w14:paraId="69BC7EE4" w14:textId="5B019BD8" w:rsidR="008D01CF" w:rsidRPr="001C317D" w:rsidRDefault="008D01CF" w:rsidP="001C317D">
      <w:pPr>
        <w:pStyle w:val="APVMAText"/>
      </w:pPr>
      <w:r w:rsidRPr="001C317D">
        <w:t>Unless you request for your submission to remain confident</w:t>
      </w:r>
      <w:r w:rsidR="00382B7C" w:rsidRPr="001C317D">
        <w:t>ial</w:t>
      </w:r>
      <w:r w:rsidRPr="001C317D">
        <w:t>, the APVMA may release your submission to the applicant for comment.</w:t>
      </w:r>
    </w:p>
    <w:p w14:paraId="7F5CDCA5" w14:textId="77777777" w:rsidR="008D01CF" w:rsidRPr="001C317D" w:rsidRDefault="008D01CF" w:rsidP="001C317D">
      <w:pPr>
        <w:pStyle w:val="APVMAText"/>
      </w:pPr>
      <w:r w:rsidRPr="001C317D">
        <w:t>Written submissions should be addressed to:</w:t>
      </w:r>
    </w:p>
    <w:p w14:paraId="4C26F201" w14:textId="4E9164BC" w:rsidR="006D36C8" w:rsidRPr="001C317D" w:rsidRDefault="008836D1" w:rsidP="001C317D">
      <w:pPr>
        <w:pStyle w:val="APVMAAddress"/>
        <w:ind w:left="0"/>
      </w:pPr>
      <w:r w:rsidRPr="001C317D">
        <w:t>Executive Director</w:t>
      </w:r>
      <w:r w:rsidR="00AE672E" w:rsidRPr="001C317D">
        <w:t>, Risk Assessment Capability</w:t>
      </w:r>
    </w:p>
    <w:p w14:paraId="0D1EE87B" w14:textId="77777777" w:rsidR="006D36C8" w:rsidRPr="001C317D" w:rsidRDefault="006D36C8" w:rsidP="001C317D">
      <w:pPr>
        <w:pStyle w:val="APVMAAddress"/>
        <w:ind w:left="0"/>
      </w:pPr>
      <w:r w:rsidRPr="001C317D">
        <w:t>Australian Pesticides and Veterinary Medicines Authority</w:t>
      </w:r>
    </w:p>
    <w:p w14:paraId="75C98189" w14:textId="77777777" w:rsidR="006D36C8" w:rsidRPr="001C317D" w:rsidRDefault="00BD0287" w:rsidP="001C317D">
      <w:pPr>
        <w:pStyle w:val="APVMAAddress"/>
        <w:ind w:left="0"/>
      </w:pPr>
      <w:r w:rsidRPr="001C317D">
        <w:t>GPO Box 3262</w:t>
      </w:r>
    </w:p>
    <w:p w14:paraId="4E7B5037" w14:textId="77777777" w:rsidR="006D36C8" w:rsidRPr="001C317D" w:rsidRDefault="00BD0287" w:rsidP="001C317D">
      <w:pPr>
        <w:pStyle w:val="APVMAAddress"/>
        <w:ind w:left="0"/>
      </w:pPr>
      <w:r w:rsidRPr="001C317D">
        <w:t>Sydney NSW 2001</w:t>
      </w:r>
    </w:p>
    <w:p w14:paraId="6BC13A1A" w14:textId="4BFC03D7" w:rsidR="006D36C8" w:rsidRPr="001C317D" w:rsidRDefault="006D36C8" w:rsidP="001C317D">
      <w:pPr>
        <w:pStyle w:val="APVMAAddress"/>
        <w:spacing w:before="240"/>
        <w:ind w:left="0"/>
      </w:pPr>
      <w:r w:rsidRPr="001C317D">
        <w:rPr>
          <w:b/>
          <w:bCs w:val="0"/>
        </w:rPr>
        <w:t>Phone:</w:t>
      </w:r>
      <w:r w:rsidR="001C317D">
        <w:t xml:space="preserve"> </w:t>
      </w:r>
      <w:r w:rsidRPr="001C317D">
        <w:t xml:space="preserve">+61 2 </w:t>
      </w:r>
      <w:r w:rsidR="00BD0287" w:rsidRPr="001C317D">
        <w:t>6770 2300</w:t>
      </w:r>
    </w:p>
    <w:p w14:paraId="6EDED567" w14:textId="1F2B9D97" w:rsidR="006D36C8" w:rsidRPr="001C317D" w:rsidRDefault="006D36C8" w:rsidP="001C317D">
      <w:pPr>
        <w:pStyle w:val="APVMAAddress"/>
        <w:ind w:left="0"/>
      </w:pPr>
      <w:r w:rsidRPr="001C317D">
        <w:rPr>
          <w:b/>
          <w:bCs w:val="0"/>
        </w:rPr>
        <w:t>Email:</w:t>
      </w:r>
      <w:r w:rsidR="001C317D">
        <w:t xml:space="preserve"> </w:t>
      </w:r>
      <w:hyperlink r:id="rId21" w:history="1">
        <w:r w:rsidR="00AE672E" w:rsidRPr="001C317D">
          <w:rPr>
            <w:rStyle w:val="Hyperlink"/>
          </w:rPr>
          <w:t>enquiries@apvma.gov.au</w:t>
        </w:r>
      </w:hyperlink>
    </w:p>
    <w:p w14:paraId="75ADC83A" w14:textId="77777777" w:rsidR="006D36C8" w:rsidRPr="001C317D" w:rsidRDefault="006D36C8" w:rsidP="001C317D">
      <w:pPr>
        <w:pStyle w:val="APVMAPreliminariesH2"/>
      </w:pPr>
      <w:bookmarkStart w:id="9" w:name="_Toc2243844"/>
      <w:bookmarkStart w:id="10" w:name="_Toc138344472"/>
      <w:r w:rsidRPr="001C317D">
        <w:t>Further information</w:t>
      </w:r>
      <w:bookmarkEnd w:id="9"/>
      <w:bookmarkEnd w:id="10"/>
    </w:p>
    <w:p w14:paraId="26E743FF" w14:textId="77777777" w:rsidR="006D36C8" w:rsidRPr="001C317D" w:rsidRDefault="006D36C8" w:rsidP="001C317D">
      <w:pPr>
        <w:pStyle w:val="APVMAText"/>
      </w:pPr>
      <w:r w:rsidRPr="001C317D">
        <w:t>Further information can be obtained via the contact details provided above.</w:t>
      </w:r>
    </w:p>
    <w:p w14:paraId="112848E8" w14:textId="22022B24" w:rsidR="00D22CCB" w:rsidRDefault="006D36C8" w:rsidP="001C317D">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1C317D">
        <w:t xml:space="preserve">Further information on </w:t>
      </w:r>
      <w:r w:rsidR="007B1953" w:rsidRPr="001C317D">
        <w:t>Trade Advice Notices</w:t>
      </w:r>
      <w:r w:rsidRPr="001C317D">
        <w:t xml:space="preserve"> can be found on the </w:t>
      </w:r>
      <w:hyperlink r:id="rId24" w:history="1">
        <w:r w:rsidRPr="001C317D">
          <w:rPr>
            <w:rStyle w:val="Hyperlink"/>
          </w:rPr>
          <w:t>APVMA website</w:t>
        </w:r>
      </w:hyperlink>
      <w:r w:rsidR="001C317D">
        <w:t>.</w:t>
      </w:r>
    </w:p>
    <w:p w14:paraId="5181B9C2" w14:textId="70DA256D" w:rsidR="002E20AC" w:rsidRPr="001C317D" w:rsidRDefault="007B1953" w:rsidP="001C317D">
      <w:pPr>
        <w:pStyle w:val="Heading1"/>
      </w:pPr>
      <w:bookmarkStart w:id="11" w:name="_Toc138344473"/>
      <w:r w:rsidRPr="001C317D">
        <w:lastRenderedPageBreak/>
        <w:t>I</w:t>
      </w:r>
      <w:r w:rsidR="006D36C8" w:rsidRPr="001C317D">
        <w:t>ntroduction</w:t>
      </w:r>
      <w:bookmarkEnd w:id="11"/>
    </w:p>
    <w:p w14:paraId="63047240" w14:textId="61B9D92D" w:rsidR="00AE672E" w:rsidRPr="001C317D" w:rsidRDefault="006D36C8" w:rsidP="001C317D">
      <w:pPr>
        <w:pStyle w:val="APVMAText"/>
      </w:pPr>
      <w:bookmarkStart w:id="12" w:name="_Toc414373835"/>
      <w:r w:rsidRPr="001C317D">
        <w:t>The APVMA has before it a</w:t>
      </w:r>
      <w:r w:rsidR="005F530F" w:rsidRPr="001C317D">
        <w:t xml:space="preserve"> minor use permit</w:t>
      </w:r>
      <w:r w:rsidRPr="001C317D">
        <w:t xml:space="preserve"> application from </w:t>
      </w:r>
      <w:bookmarkStart w:id="13" w:name="_Hlk126835158"/>
      <w:r w:rsidR="00AE672E" w:rsidRPr="001C317D">
        <w:t>Yenda Producers Co-Operative Society Ltd</w:t>
      </w:r>
      <w:bookmarkEnd w:id="13"/>
      <w:r w:rsidR="00AE672E" w:rsidRPr="001C317D">
        <w:t xml:space="preserve"> for the use of azoxystrobin, difenoconazole, </w:t>
      </w:r>
      <w:proofErr w:type="spellStart"/>
      <w:r w:rsidR="00AE672E" w:rsidRPr="001C317D">
        <w:t>fluopyram</w:t>
      </w:r>
      <w:proofErr w:type="spellEnd"/>
      <w:r w:rsidR="00AE672E" w:rsidRPr="001C317D">
        <w:t xml:space="preserve">, </w:t>
      </w:r>
      <w:proofErr w:type="spellStart"/>
      <w:r w:rsidR="00AE672E" w:rsidRPr="001C317D">
        <w:t>isopyrazam</w:t>
      </w:r>
      <w:proofErr w:type="spellEnd"/>
      <w:r w:rsidR="00AE672E" w:rsidRPr="001C317D">
        <w:t xml:space="preserve"> and tebuconazole on plums for control of prune rust.</w:t>
      </w:r>
    </w:p>
    <w:p w14:paraId="00CBA981" w14:textId="01F20C78" w:rsidR="00AE672E" w:rsidRPr="001C317D" w:rsidRDefault="00AE672E" w:rsidP="001C317D">
      <w:pPr>
        <w:pStyle w:val="APVMAText"/>
      </w:pPr>
      <w:r w:rsidRPr="001C317D">
        <w:t xml:space="preserve">The foliar use of azoxystrobin, difenoconazole, </w:t>
      </w:r>
      <w:proofErr w:type="spellStart"/>
      <w:r w:rsidRPr="001C317D">
        <w:t>isopyrazam</w:t>
      </w:r>
      <w:proofErr w:type="spellEnd"/>
      <w:r w:rsidRPr="001C317D">
        <w:t xml:space="preserve"> and tebuconazole on plums has not been previously assessed by the APVMA.</w:t>
      </w:r>
    </w:p>
    <w:p w14:paraId="1B6709A8" w14:textId="77777777" w:rsidR="00F65F46" w:rsidRDefault="00AE672E" w:rsidP="001C317D">
      <w:pPr>
        <w:pStyle w:val="APVMAText"/>
        <w:sectPr w:rsidR="00F65F46" w:rsidSect="001D035F">
          <w:headerReference w:type="even" r:id="rId25"/>
          <w:headerReference w:type="default" r:id="rId26"/>
          <w:footerReference w:type="default" r:id="rId27"/>
          <w:pgSz w:w="11906" w:h="16838" w:code="9"/>
          <w:pgMar w:top="2835" w:right="1134" w:bottom="1134" w:left="1134" w:header="1701" w:footer="680" w:gutter="0"/>
          <w:cols w:space="708"/>
          <w:docGrid w:linePitch="360"/>
        </w:sectPr>
      </w:pPr>
      <w:r w:rsidRPr="001C317D">
        <w:t xml:space="preserve">The foliar use of </w:t>
      </w:r>
      <w:proofErr w:type="spellStart"/>
      <w:r w:rsidRPr="001C317D">
        <w:t>fluopyram</w:t>
      </w:r>
      <w:proofErr w:type="spellEnd"/>
      <w:r w:rsidRPr="001C317D">
        <w:t xml:space="preserve"> is register</w:t>
      </w:r>
      <w:r w:rsidR="00633641" w:rsidRPr="001C317D">
        <w:t>ed</w:t>
      </w:r>
      <w:r w:rsidRPr="001C317D">
        <w:t xml:space="preserve"> for use on stone fruits. No change to the existing </w:t>
      </w:r>
      <w:proofErr w:type="spellStart"/>
      <w:r w:rsidRPr="001C317D">
        <w:t>fluopyram</w:t>
      </w:r>
      <w:proofErr w:type="spellEnd"/>
      <w:r w:rsidRPr="001C317D">
        <w:t xml:space="preserve"> Stone fruit MRL at 2</w:t>
      </w:r>
      <w:r w:rsidR="001C317D">
        <w:t> </w:t>
      </w:r>
      <w:r w:rsidRPr="001C317D">
        <w:t xml:space="preserve">mg/kg is required for the proposed use considered under this permit therefore no further consideration of </w:t>
      </w:r>
      <w:proofErr w:type="spellStart"/>
      <w:r w:rsidRPr="001C317D">
        <w:t>fluopyram</w:t>
      </w:r>
      <w:proofErr w:type="spellEnd"/>
      <w:r w:rsidRPr="001C317D">
        <w:t xml:space="preserve"> is required from </w:t>
      </w:r>
      <w:r w:rsidR="00633641" w:rsidRPr="001C317D">
        <w:t xml:space="preserve">a </w:t>
      </w:r>
      <w:r w:rsidRPr="001C317D">
        <w:t>trade perspective.</w:t>
      </w:r>
      <w:bookmarkEnd w:id="12"/>
    </w:p>
    <w:p w14:paraId="6FDBA0BF" w14:textId="1F2CDA12" w:rsidR="006D36C8" w:rsidRPr="001C317D" w:rsidRDefault="006D36C8" w:rsidP="001C317D">
      <w:pPr>
        <w:pStyle w:val="Heading1"/>
      </w:pPr>
      <w:bookmarkStart w:id="14" w:name="_Toc2243846"/>
      <w:bookmarkStart w:id="15" w:name="_Toc138344474"/>
      <w:r w:rsidRPr="001C317D">
        <w:lastRenderedPageBreak/>
        <w:t>Trade</w:t>
      </w:r>
      <w:r w:rsidR="007B1953" w:rsidRPr="001C317D">
        <w:t xml:space="preserve"> c</w:t>
      </w:r>
      <w:r w:rsidRPr="001C317D">
        <w:t>onsiderations</w:t>
      </w:r>
      <w:bookmarkEnd w:id="14"/>
      <w:bookmarkEnd w:id="15"/>
    </w:p>
    <w:p w14:paraId="57B2B732" w14:textId="77777777" w:rsidR="006D36C8" w:rsidRPr="001C317D" w:rsidRDefault="006D36C8" w:rsidP="001C317D">
      <w:pPr>
        <w:pStyle w:val="Heading2"/>
      </w:pPr>
      <w:bookmarkStart w:id="16" w:name="_Toc2243847"/>
      <w:bookmarkStart w:id="17" w:name="_Toc138344475"/>
      <w:r w:rsidRPr="001C317D">
        <w:t>Commodities exported</w:t>
      </w:r>
      <w:bookmarkEnd w:id="16"/>
      <w:bookmarkEnd w:id="17"/>
    </w:p>
    <w:p w14:paraId="694293DE" w14:textId="77777777" w:rsidR="00AE672E" w:rsidRPr="001C317D" w:rsidRDefault="00AE672E" w:rsidP="001C317D">
      <w:pPr>
        <w:pStyle w:val="APVMAText"/>
      </w:pPr>
      <w:r w:rsidRPr="001C317D">
        <w:t>Plums, including prunes, are considered to be major export commodities</w:t>
      </w:r>
      <w:r w:rsidRPr="001D035F">
        <w:rPr>
          <w:vertAlign w:val="superscript"/>
        </w:rPr>
        <w:footnoteReference w:id="2"/>
      </w:r>
      <w:r w:rsidRPr="001C317D">
        <w:t xml:space="preserve">. Residues in plums and prunes resulting from the proposed uses of </w:t>
      </w:r>
      <w:bookmarkStart w:id="18" w:name="_Hlk134517525"/>
      <w:r w:rsidRPr="001C317D">
        <w:t xml:space="preserve">azoxystrobin, difenoconazole, </w:t>
      </w:r>
      <w:proofErr w:type="spellStart"/>
      <w:r w:rsidRPr="001C317D">
        <w:t>isopyrazam</w:t>
      </w:r>
      <w:proofErr w:type="spellEnd"/>
      <w:r w:rsidRPr="001C317D">
        <w:t xml:space="preserve"> and tebuconazole </w:t>
      </w:r>
      <w:bookmarkEnd w:id="18"/>
      <w:r w:rsidRPr="001C317D">
        <w:t>may have the potential to unduly prejudice trade.</w:t>
      </w:r>
    </w:p>
    <w:p w14:paraId="0B29C2CE" w14:textId="506330DC" w:rsidR="00AE672E" w:rsidRPr="001C317D" w:rsidRDefault="00AE672E" w:rsidP="001C317D">
      <w:pPr>
        <w:pStyle w:val="APVMAText"/>
      </w:pPr>
      <w:bookmarkStart w:id="19" w:name="_Hlk134518937"/>
      <w:r w:rsidRPr="001C317D">
        <w:t>As finite (measurable) residues may be expected from the proposed uses on plums</w:t>
      </w:r>
      <w:r w:rsidR="00633641" w:rsidRPr="001C317D">
        <w:t>,</w:t>
      </w:r>
      <w:r w:rsidRPr="001C317D">
        <w:t xml:space="preserve"> the following trade risk mitigation statement has been recommended for inclusion on the permit.</w:t>
      </w:r>
    </w:p>
    <w:p w14:paraId="5C231F91" w14:textId="77777777" w:rsidR="00AE672E" w:rsidRPr="001C317D" w:rsidRDefault="00AE672E" w:rsidP="001C317D">
      <w:pPr>
        <w:pStyle w:val="APVMAQuote"/>
        <w:rPr>
          <w:rStyle w:val="Emphasis"/>
        </w:rPr>
      </w:pPr>
      <w:r w:rsidRPr="001C317D">
        <w:rPr>
          <w:rStyle w:val="Emphasis"/>
        </w:rPr>
        <w:t>Treated crop commodities destined for export may require extra time being allowed between application and harvest, to be accepted in some export markets. Before you use this product, you are advised to contact Yenda Producers Co-Operative Society Ltd and/or your industry body about any potential trade issues and their management.</w:t>
      </w:r>
    </w:p>
    <w:bookmarkEnd w:id="19"/>
    <w:p w14:paraId="7E2AE415" w14:textId="7E7F1668" w:rsidR="006D36C8" w:rsidRPr="001C317D" w:rsidRDefault="00AE672E" w:rsidP="001C317D">
      <w:pPr>
        <w:pStyle w:val="APVMAText"/>
      </w:pPr>
      <w:r w:rsidRPr="001C317D">
        <w:t>Plums are not considered a significant animal feed and a grazing withholding period of ‘DO NOT graze treated areas or cut for stock food’ has been recommended for each use. The existing livestock dietary burdens for each active are not expected to increase as a result of the proposed uses. The risk to trade with respect to animal commodities is considered to be low and does not require further consideration.</w:t>
      </w:r>
    </w:p>
    <w:p w14:paraId="4E7D018C" w14:textId="77777777" w:rsidR="006D36C8" w:rsidRPr="001C317D" w:rsidRDefault="006D36C8" w:rsidP="001C317D">
      <w:pPr>
        <w:pStyle w:val="Heading2"/>
      </w:pPr>
      <w:bookmarkStart w:id="20" w:name="_Toc231889745"/>
      <w:bookmarkStart w:id="21" w:name="_Toc2243848"/>
      <w:bookmarkStart w:id="22" w:name="_Toc138344476"/>
      <w:r w:rsidRPr="001C317D">
        <w:t>Destination and value of exports</w:t>
      </w:r>
      <w:bookmarkEnd w:id="20"/>
      <w:bookmarkEnd w:id="21"/>
      <w:bookmarkEnd w:id="22"/>
    </w:p>
    <w:p w14:paraId="7052F7CC" w14:textId="37739CAA" w:rsidR="00AE672E" w:rsidRPr="001C317D" w:rsidRDefault="00AE672E" w:rsidP="001C317D">
      <w:pPr>
        <w:pStyle w:val="APVMAText"/>
      </w:pPr>
      <w:r w:rsidRPr="001C317D">
        <w:t>In 2021</w:t>
      </w:r>
      <w:r w:rsidR="00F65F46">
        <w:t>–</w:t>
      </w:r>
      <w:r w:rsidRPr="001C317D">
        <w:t>22 Australia exported 6,105</w:t>
      </w:r>
      <w:r w:rsidR="001C317D">
        <w:t> </w:t>
      </w:r>
      <w:r w:rsidRPr="001C317D">
        <w:t>tonnes of fresh plums valued at $25.9</w:t>
      </w:r>
      <w:r w:rsidR="001C317D">
        <w:t> </w:t>
      </w:r>
      <w:r w:rsidRPr="001C317D">
        <w:t>million and 807</w:t>
      </w:r>
      <w:r w:rsidR="001C317D">
        <w:t> </w:t>
      </w:r>
      <w:r w:rsidRPr="001C317D">
        <w:t>tonnes of prunes valued at $2.9 million</w:t>
      </w:r>
      <w:r w:rsidRPr="001C317D">
        <w:rPr>
          <w:vertAlign w:val="superscript"/>
        </w:rPr>
        <w:footnoteReference w:id="3"/>
      </w:r>
      <w:r w:rsidRPr="001C317D">
        <w:t xml:space="preserve"> Major export markets for fresh plums were China, Singapore, Hong Kong, Indonesia and Malaysia representing 72, 12, 7, 3 and 2</w:t>
      </w:r>
      <w:r w:rsidR="00F65F46">
        <w:t xml:space="preserve">% </w:t>
      </w:r>
      <w:r w:rsidRPr="001C317D">
        <w:t>of fresh exported plums.</w:t>
      </w:r>
    </w:p>
    <w:p w14:paraId="3EC6D648" w14:textId="45727143" w:rsidR="006D36C8" w:rsidRPr="001C317D" w:rsidRDefault="001C317D" w:rsidP="001C317D">
      <w:pPr>
        <w:pStyle w:val="Heading2"/>
      </w:pPr>
      <w:bookmarkStart w:id="23" w:name="_Toc231889746"/>
      <w:bookmarkStart w:id="24" w:name="_Toc2243849"/>
      <w:r>
        <w:br w:type="page"/>
      </w:r>
      <w:bookmarkStart w:id="25" w:name="_Toc138344477"/>
      <w:r w:rsidR="007B1953" w:rsidRPr="001C317D">
        <w:lastRenderedPageBreak/>
        <w:t xml:space="preserve">Proposed Australian use </w:t>
      </w:r>
      <w:r w:rsidR="006D36C8" w:rsidRPr="001C317D">
        <w:t>pattern</w:t>
      </w:r>
      <w:bookmarkEnd w:id="23"/>
      <w:bookmarkEnd w:id="24"/>
      <w:r w:rsidR="0021215A" w:rsidRPr="001C317D">
        <w:t>s</w:t>
      </w:r>
      <w:bookmarkEnd w:id="25"/>
    </w:p>
    <w:p w14:paraId="2964F942" w14:textId="40BF0B20" w:rsidR="0021215A" w:rsidRPr="001C317D" w:rsidRDefault="0021215A" w:rsidP="001C317D">
      <w:pPr>
        <w:pStyle w:val="APVMAText"/>
      </w:pPr>
      <w:r w:rsidRPr="001C317D">
        <w:t>The proposed use of Amistar Top Fungicide (200</w:t>
      </w:r>
      <w:r w:rsidR="001C317D">
        <w:t> </w:t>
      </w:r>
      <w:r w:rsidRPr="001C317D">
        <w:t>g/L azoxystrobin and 125</w:t>
      </w:r>
      <w:r w:rsidR="001C317D">
        <w:t> </w:t>
      </w:r>
      <w:r w:rsidRPr="001C317D">
        <w:t>g/L difenoconazole) and other similar registered products involves up to 4 foliar applications per season, applied by airblast sprayer from flowering through to harvest, at up to 234</w:t>
      </w:r>
      <w:r w:rsidR="001C317D">
        <w:t> </w:t>
      </w:r>
      <w:r w:rsidRPr="001C317D">
        <w:t xml:space="preserve">g azoxystrobin/ha </w:t>
      </w:r>
      <w:r w:rsidR="001C317D">
        <w:t>plus</w:t>
      </w:r>
      <w:r w:rsidRPr="001C317D">
        <w:t xml:space="preserve"> 146</w:t>
      </w:r>
      <w:r w:rsidR="001C317D">
        <w:t> </w:t>
      </w:r>
      <w:r w:rsidRPr="001C317D">
        <w:t>g difenoconazole/ha with the addition of a non-ionic surfactant</w:t>
      </w:r>
      <w:r w:rsidR="00F65F46">
        <w:t xml:space="preserve"> (see Table 1)</w:t>
      </w:r>
      <w:r w:rsidRPr="001C317D">
        <w:t xml:space="preserve">. The proposed harvest withholding period is ‘Nil’ and the recommended grazing withholding period </w:t>
      </w:r>
      <w:bookmarkStart w:id="26" w:name="_Hlk137052020"/>
      <w:r w:rsidRPr="001C317D">
        <w:t>is ‘DO NOT graze treated areas or cut for stock food’</w:t>
      </w:r>
      <w:bookmarkEnd w:id="26"/>
      <w:r w:rsidRPr="001C317D">
        <w:t>.</w:t>
      </w:r>
    </w:p>
    <w:p w14:paraId="0C67F664" w14:textId="57652B7D" w:rsidR="00AE672E" w:rsidRPr="00AE672E" w:rsidRDefault="006D36C8" w:rsidP="001C317D">
      <w:pPr>
        <w:pStyle w:val="Caption"/>
      </w:pPr>
      <w:bookmarkStart w:id="27" w:name="_Toc252955168"/>
      <w:bookmarkStart w:id="28" w:name="_Toc138344492"/>
      <w:r w:rsidRPr="001C317D">
        <w:t xml:space="preserve">Table </w:t>
      </w:r>
      <w:bookmarkStart w:id="29" w:name="_Hlk136592840"/>
      <w:r w:rsidR="001C317D">
        <w:fldChar w:fldCharType="begin"/>
      </w:r>
      <w:r w:rsidR="001C317D">
        <w:instrText xml:space="preserve"> SEQ Table \* ARABIC </w:instrText>
      </w:r>
      <w:r w:rsidR="001C317D">
        <w:fldChar w:fldCharType="separate"/>
      </w:r>
      <w:r w:rsidR="001C317D">
        <w:rPr>
          <w:noProof/>
        </w:rPr>
        <w:t>1</w:t>
      </w:r>
      <w:bookmarkEnd w:id="29"/>
      <w:r w:rsidR="001C317D">
        <w:fldChar w:fldCharType="end"/>
      </w:r>
      <w:r w:rsidRPr="001C317D">
        <w:t>:</w:t>
      </w:r>
      <w:r w:rsidRPr="001C317D">
        <w:tab/>
      </w:r>
      <w:bookmarkStart w:id="30" w:name="_Hlk137042608"/>
      <w:r w:rsidRPr="001C317D">
        <w:t>Proposed use pattern</w:t>
      </w:r>
      <w:r w:rsidR="00AE672E" w:rsidRPr="001C317D">
        <w:t xml:space="preserve"> for azoxystrobin and difenoconazole on plums</w:t>
      </w:r>
      <w:bookmarkEnd w:id="27"/>
      <w:bookmarkEnd w:id="28"/>
      <w:bookmarkEnd w:id="30"/>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891"/>
        <w:gridCol w:w="1891"/>
        <w:gridCol w:w="3965"/>
      </w:tblGrid>
      <w:tr w:rsidR="001C317D" w:rsidRPr="00AE672E" w14:paraId="19DF0BB2" w14:textId="77777777" w:rsidTr="001D035F">
        <w:tc>
          <w:tcPr>
            <w:tcW w:w="5000" w:type="pct"/>
            <w:gridSpan w:val="4"/>
            <w:tcBorders>
              <w:left w:val="nil"/>
              <w:bottom w:val="single" w:sz="4" w:space="0" w:color="auto"/>
              <w:right w:val="nil"/>
            </w:tcBorders>
            <w:shd w:val="clear" w:color="auto" w:fill="00747A" w:themeFill="background2"/>
          </w:tcPr>
          <w:p w14:paraId="0229D50D" w14:textId="23133012" w:rsidR="001C317D" w:rsidRPr="001C317D" w:rsidRDefault="001C317D" w:rsidP="001C317D">
            <w:pPr>
              <w:pStyle w:val="APVMATableHead"/>
            </w:pPr>
            <w:r w:rsidRPr="001C317D">
              <w:t xml:space="preserve">Amistar Top Fungicide (63898), </w:t>
            </w:r>
            <w:bookmarkStart w:id="31" w:name="_Hlk132201617"/>
            <w:r w:rsidRPr="001C317D">
              <w:t>containing 200 g/L azoxystrobin and 125</w:t>
            </w:r>
            <w:r>
              <w:t> </w:t>
            </w:r>
            <w:r w:rsidRPr="001C317D">
              <w:t>g/L difenoconazole as the only active constituents and all other similar registered products</w:t>
            </w:r>
            <w:bookmarkEnd w:id="31"/>
          </w:p>
        </w:tc>
      </w:tr>
      <w:tr w:rsidR="001C317D" w:rsidRPr="00AE672E" w14:paraId="66400625" w14:textId="77777777" w:rsidTr="001D035F">
        <w:tc>
          <w:tcPr>
            <w:tcW w:w="981" w:type="pct"/>
            <w:tcBorders>
              <w:top w:val="single" w:sz="4" w:space="0" w:color="auto"/>
              <w:left w:val="nil"/>
              <w:bottom w:val="single" w:sz="4" w:space="0" w:color="auto"/>
              <w:right w:val="nil"/>
            </w:tcBorders>
            <w:shd w:val="clear" w:color="auto" w:fill="00747A" w:themeFill="background2"/>
          </w:tcPr>
          <w:p w14:paraId="30E361DE" w14:textId="71F6AC95" w:rsidR="001C317D" w:rsidRPr="001C317D" w:rsidRDefault="001C317D" w:rsidP="001C317D">
            <w:pPr>
              <w:pStyle w:val="APVMATableHead"/>
            </w:pPr>
            <w:r w:rsidRPr="001C317D">
              <w:t>Crop</w:t>
            </w:r>
          </w:p>
        </w:tc>
        <w:tc>
          <w:tcPr>
            <w:tcW w:w="981" w:type="pct"/>
            <w:tcBorders>
              <w:top w:val="single" w:sz="4" w:space="0" w:color="auto"/>
              <w:left w:val="nil"/>
              <w:bottom w:val="single" w:sz="4" w:space="0" w:color="auto"/>
              <w:right w:val="nil"/>
            </w:tcBorders>
            <w:shd w:val="clear" w:color="auto" w:fill="00747A" w:themeFill="background2"/>
          </w:tcPr>
          <w:p w14:paraId="1E2E4144" w14:textId="1B27D94C" w:rsidR="001C317D" w:rsidRPr="001C317D" w:rsidRDefault="001C317D" w:rsidP="001C317D">
            <w:pPr>
              <w:pStyle w:val="APVMATableHead"/>
            </w:pPr>
            <w:r w:rsidRPr="001C317D">
              <w:t>Pest</w:t>
            </w:r>
          </w:p>
        </w:tc>
        <w:tc>
          <w:tcPr>
            <w:tcW w:w="981" w:type="pct"/>
            <w:tcBorders>
              <w:top w:val="single" w:sz="4" w:space="0" w:color="auto"/>
              <w:left w:val="nil"/>
              <w:bottom w:val="single" w:sz="4" w:space="0" w:color="auto"/>
              <w:right w:val="nil"/>
            </w:tcBorders>
            <w:shd w:val="clear" w:color="auto" w:fill="00747A" w:themeFill="background2"/>
          </w:tcPr>
          <w:p w14:paraId="6F8A8958" w14:textId="739D9C0A" w:rsidR="001C317D" w:rsidRPr="001C317D" w:rsidRDefault="001C317D" w:rsidP="001C317D">
            <w:pPr>
              <w:pStyle w:val="APVMATableHead"/>
            </w:pPr>
            <w:r w:rsidRPr="001C317D">
              <w:t>Rate</w:t>
            </w:r>
          </w:p>
        </w:tc>
        <w:tc>
          <w:tcPr>
            <w:tcW w:w="2057" w:type="pct"/>
            <w:tcBorders>
              <w:top w:val="single" w:sz="4" w:space="0" w:color="auto"/>
              <w:left w:val="nil"/>
              <w:bottom w:val="single" w:sz="4" w:space="0" w:color="auto"/>
              <w:right w:val="nil"/>
            </w:tcBorders>
            <w:shd w:val="clear" w:color="auto" w:fill="00747A" w:themeFill="background2"/>
          </w:tcPr>
          <w:p w14:paraId="30C3E54A" w14:textId="78320A56" w:rsidR="001C317D" w:rsidRPr="001C317D" w:rsidRDefault="001C317D" w:rsidP="001C317D">
            <w:pPr>
              <w:pStyle w:val="APVMATableHead"/>
            </w:pPr>
            <w:r w:rsidRPr="001C317D">
              <w:t xml:space="preserve">Critical </w:t>
            </w:r>
            <w:r>
              <w:t>c</w:t>
            </w:r>
            <w:r w:rsidRPr="001C317D">
              <w:t>omments</w:t>
            </w:r>
          </w:p>
        </w:tc>
      </w:tr>
      <w:tr w:rsidR="00AE672E" w:rsidRPr="00AE672E" w14:paraId="09B31035" w14:textId="77777777" w:rsidTr="001D035F">
        <w:tc>
          <w:tcPr>
            <w:tcW w:w="981" w:type="pct"/>
            <w:tcBorders>
              <w:top w:val="single" w:sz="4" w:space="0" w:color="auto"/>
              <w:left w:val="nil"/>
              <w:bottom w:val="single" w:sz="4" w:space="0" w:color="auto"/>
              <w:right w:val="nil"/>
            </w:tcBorders>
          </w:tcPr>
          <w:p w14:paraId="04CFC35D" w14:textId="390CE3AC" w:rsidR="00AE672E" w:rsidRPr="001C317D" w:rsidRDefault="00AE672E" w:rsidP="001C317D">
            <w:pPr>
              <w:pStyle w:val="APVMATableText"/>
            </w:pPr>
            <w:r w:rsidRPr="001C317D">
              <w:t>Plums</w:t>
            </w:r>
            <w:r w:rsidR="001C317D">
              <w:t xml:space="preserve"> </w:t>
            </w:r>
            <w:r w:rsidRPr="001C317D">
              <w:t>(for fresh market and dried production)</w:t>
            </w:r>
          </w:p>
        </w:tc>
        <w:tc>
          <w:tcPr>
            <w:tcW w:w="981" w:type="pct"/>
            <w:tcBorders>
              <w:top w:val="single" w:sz="4" w:space="0" w:color="auto"/>
              <w:left w:val="nil"/>
              <w:bottom w:val="single" w:sz="4" w:space="0" w:color="auto"/>
              <w:right w:val="nil"/>
            </w:tcBorders>
          </w:tcPr>
          <w:p w14:paraId="0F522AE9" w14:textId="3FBEB8FB" w:rsidR="00AE672E" w:rsidRPr="001C317D" w:rsidRDefault="00AE672E" w:rsidP="001C317D">
            <w:pPr>
              <w:pStyle w:val="APVMATableText"/>
            </w:pPr>
            <w:r w:rsidRPr="001C317D">
              <w:t>Prune rust</w:t>
            </w:r>
            <w:r w:rsidR="001C317D">
              <w:t xml:space="preserve"> </w:t>
            </w:r>
            <w:r w:rsidRPr="001C317D">
              <w:t>(</w:t>
            </w:r>
            <w:proofErr w:type="spellStart"/>
            <w:r w:rsidRPr="005271C6">
              <w:rPr>
                <w:i/>
                <w:iCs/>
              </w:rPr>
              <w:t>Tranzschelia</w:t>
            </w:r>
            <w:proofErr w:type="spellEnd"/>
            <w:r w:rsidRPr="005271C6">
              <w:rPr>
                <w:i/>
                <w:iCs/>
              </w:rPr>
              <w:t xml:space="preserve"> </w:t>
            </w:r>
            <w:proofErr w:type="spellStart"/>
            <w:r w:rsidRPr="005271C6">
              <w:rPr>
                <w:i/>
                <w:iCs/>
              </w:rPr>
              <w:t>discolor</w:t>
            </w:r>
            <w:proofErr w:type="spellEnd"/>
            <w:r w:rsidRPr="001C317D">
              <w:t>)</w:t>
            </w:r>
          </w:p>
        </w:tc>
        <w:tc>
          <w:tcPr>
            <w:tcW w:w="981" w:type="pct"/>
            <w:tcBorders>
              <w:top w:val="single" w:sz="4" w:space="0" w:color="auto"/>
              <w:left w:val="nil"/>
              <w:bottom w:val="single" w:sz="4" w:space="0" w:color="auto"/>
              <w:right w:val="nil"/>
            </w:tcBorders>
          </w:tcPr>
          <w:p w14:paraId="15B27BC7" w14:textId="4010436C" w:rsidR="00AE672E" w:rsidRPr="001C317D" w:rsidRDefault="00AE672E" w:rsidP="001C317D">
            <w:pPr>
              <w:pStyle w:val="APVMATableText"/>
            </w:pPr>
            <w:r w:rsidRPr="001C317D">
              <w:t>1025</w:t>
            </w:r>
            <w:r w:rsidR="002C47AC">
              <w:t xml:space="preserve"> to </w:t>
            </w:r>
            <w:r w:rsidRPr="001C317D">
              <w:t>1170 mL product/ha</w:t>
            </w:r>
            <w:r w:rsidR="001C317D">
              <w:t xml:space="preserve"> </w:t>
            </w:r>
            <w:r w:rsidRPr="001C317D">
              <w:t>(205</w:t>
            </w:r>
            <w:r w:rsidR="002C47AC">
              <w:t xml:space="preserve"> to </w:t>
            </w:r>
            <w:r w:rsidRPr="001C317D">
              <w:t>234</w:t>
            </w:r>
            <w:r w:rsidR="001C317D">
              <w:t> </w:t>
            </w:r>
            <w:r w:rsidRPr="001C317D">
              <w:t xml:space="preserve">g azoxystrobin/ha </w:t>
            </w:r>
            <w:r w:rsidR="001C317D">
              <w:t>plus</w:t>
            </w:r>
            <w:r w:rsidRPr="001C317D">
              <w:t xml:space="preserve"> 128</w:t>
            </w:r>
            <w:r w:rsidR="002C47AC">
              <w:t xml:space="preserve"> to </w:t>
            </w:r>
            <w:r w:rsidRPr="001C317D">
              <w:t>146</w:t>
            </w:r>
            <w:r w:rsidR="001C317D">
              <w:t> </w:t>
            </w:r>
            <w:r w:rsidRPr="001C317D">
              <w:t>g difenoconazole/ha)</w:t>
            </w:r>
          </w:p>
        </w:tc>
        <w:tc>
          <w:tcPr>
            <w:tcW w:w="2057" w:type="pct"/>
            <w:tcBorders>
              <w:top w:val="single" w:sz="4" w:space="0" w:color="auto"/>
              <w:left w:val="nil"/>
              <w:bottom w:val="single" w:sz="4" w:space="0" w:color="auto"/>
              <w:right w:val="nil"/>
            </w:tcBorders>
          </w:tcPr>
          <w:p w14:paraId="7B434540" w14:textId="77777777" w:rsidR="00AE672E" w:rsidRPr="001C317D" w:rsidRDefault="00AE672E" w:rsidP="001C317D">
            <w:pPr>
              <w:pStyle w:val="APVMATableText"/>
            </w:pPr>
            <w:r w:rsidRPr="001C317D">
              <w:t>Apply foliar applications via airblast sprayer between flowering through until harvest in a sufficient volume of water to achieve thorough coverage of all foliage.</w:t>
            </w:r>
          </w:p>
          <w:p w14:paraId="5EC49EC9" w14:textId="08456E2D" w:rsidR="00AE672E" w:rsidRPr="001C317D" w:rsidRDefault="00AE672E" w:rsidP="001C317D">
            <w:pPr>
              <w:pStyle w:val="APVMATableText"/>
            </w:pPr>
            <w:r w:rsidRPr="001C317D">
              <w:t>DO NOT apply more than 4 applications per season at a minimum spray volume of 1500</w:t>
            </w:r>
            <w:r w:rsidR="001C317D">
              <w:t> </w:t>
            </w:r>
            <w:r w:rsidRPr="001C317D">
              <w:t>L/ha with a minimum retreatment interval of 7</w:t>
            </w:r>
            <w:r w:rsidR="001C317D">
              <w:t> </w:t>
            </w:r>
            <w:r w:rsidRPr="001C317D">
              <w:t>days.</w:t>
            </w:r>
          </w:p>
          <w:p w14:paraId="4FB0D7CC" w14:textId="556E9E0F" w:rsidR="00AE672E" w:rsidRPr="001C317D" w:rsidRDefault="00AE672E" w:rsidP="001C317D">
            <w:pPr>
              <w:pStyle w:val="APVMATableText"/>
            </w:pPr>
            <w:r w:rsidRPr="001C317D">
              <w:t>Resistance management</w:t>
            </w:r>
            <w:r w:rsidR="001C317D">
              <w:t xml:space="preserve">: </w:t>
            </w:r>
            <w:r w:rsidRPr="001C317D">
              <w:t>This use is subject to a CropLife Australia fungicide resistance management strategy. As per Amistar Top label.</w:t>
            </w:r>
          </w:p>
          <w:p w14:paraId="76B49B34" w14:textId="77777777" w:rsidR="00AE672E" w:rsidRPr="001C317D" w:rsidRDefault="00AE672E" w:rsidP="001C317D">
            <w:pPr>
              <w:pStyle w:val="APVMATableText"/>
            </w:pPr>
            <w:r w:rsidRPr="001C317D">
              <w:t>Use with a non-ionic based surfactant.</w:t>
            </w:r>
          </w:p>
        </w:tc>
      </w:tr>
    </w:tbl>
    <w:p w14:paraId="69921A6D" w14:textId="3AFFF66E" w:rsidR="001C317D" w:rsidRDefault="00AE672E" w:rsidP="001C317D">
      <w:pPr>
        <w:pStyle w:val="Heading3"/>
      </w:pPr>
      <w:bookmarkStart w:id="32" w:name="_Toc138344478"/>
      <w:r w:rsidRPr="00AE672E">
        <w:t>Restraints</w:t>
      </w:r>
      <w:bookmarkEnd w:id="32"/>
    </w:p>
    <w:p w14:paraId="41540805" w14:textId="7FF4B35E" w:rsidR="00AE672E" w:rsidRPr="00AE672E" w:rsidRDefault="00AE672E" w:rsidP="001C317D">
      <w:pPr>
        <w:pStyle w:val="APVMAText"/>
      </w:pPr>
      <w:r w:rsidRPr="00AE672E">
        <w:t>DO NOT apply more than 4 applications per season.</w:t>
      </w:r>
    </w:p>
    <w:p w14:paraId="426987C9" w14:textId="262FA3D3" w:rsidR="00AE672E" w:rsidRPr="00AE672E" w:rsidRDefault="00AE672E" w:rsidP="001C317D">
      <w:pPr>
        <w:pStyle w:val="Heading3"/>
      </w:pPr>
      <w:bookmarkStart w:id="33" w:name="_Toc138344479"/>
      <w:r w:rsidRPr="00AE672E">
        <w:t>Withholding period</w:t>
      </w:r>
      <w:bookmarkEnd w:id="33"/>
    </w:p>
    <w:p w14:paraId="22E811CD" w14:textId="23BAF64D" w:rsidR="001C317D" w:rsidRDefault="00AE672E" w:rsidP="001C317D">
      <w:pPr>
        <w:pStyle w:val="Heading4"/>
      </w:pPr>
      <w:r w:rsidRPr="00AE672E">
        <w:t>Harvest</w:t>
      </w:r>
    </w:p>
    <w:p w14:paraId="658B14F1" w14:textId="0E769A23" w:rsidR="00AE672E" w:rsidRPr="00AE672E" w:rsidRDefault="00AE672E" w:rsidP="001C317D">
      <w:pPr>
        <w:pStyle w:val="APVMAText"/>
      </w:pPr>
      <w:r w:rsidRPr="00AE672E">
        <w:t>Nil</w:t>
      </w:r>
      <w:r>
        <w:t>.</w:t>
      </w:r>
    </w:p>
    <w:p w14:paraId="507F5CDB" w14:textId="29E2405F" w:rsidR="001C317D" w:rsidRDefault="00AE672E" w:rsidP="001C317D">
      <w:pPr>
        <w:pStyle w:val="Heading4"/>
      </w:pPr>
      <w:r w:rsidRPr="00AE672E">
        <w:t>Grazing</w:t>
      </w:r>
    </w:p>
    <w:p w14:paraId="2E8994AF" w14:textId="77777777" w:rsidR="001C317D" w:rsidRDefault="00AE672E" w:rsidP="002C47AC">
      <w:pPr>
        <w:pStyle w:val="APVMAText"/>
      </w:pPr>
      <w:r w:rsidRPr="001C317D">
        <w:t>DO NOT graze treated areas or cut for stock food.</w:t>
      </w:r>
      <w:bookmarkStart w:id="34" w:name="_Hlk137042802"/>
    </w:p>
    <w:p w14:paraId="258833C2" w14:textId="4A93E30B" w:rsidR="00AE672E" w:rsidRDefault="00AE672E" w:rsidP="001C317D">
      <w:pPr>
        <w:pStyle w:val="Caption"/>
      </w:pPr>
      <w:bookmarkStart w:id="35" w:name="_Toc138344493"/>
      <w:r w:rsidRPr="001C317D">
        <w:lastRenderedPageBreak/>
        <w:t xml:space="preserve">Table </w:t>
      </w:r>
      <w:fldSimple w:instr=" SEQ Table \* ARABIC ">
        <w:r w:rsidR="001C317D">
          <w:rPr>
            <w:noProof/>
          </w:rPr>
          <w:t>2</w:t>
        </w:r>
      </w:fldSimple>
      <w:r w:rsidRPr="001C317D">
        <w:t>:</w:t>
      </w:r>
      <w:r w:rsidRPr="001C317D">
        <w:tab/>
      </w:r>
      <w:bookmarkStart w:id="36" w:name="_Hlk137042789"/>
      <w:r w:rsidRPr="001C317D">
        <w:t xml:space="preserve">Proposed use pattern for </w:t>
      </w:r>
      <w:proofErr w:type="spellStart"/>
      <w:r w:rsidRPr="001C317D">
        <w:t>isopyrazam</w:t>
      </w:r>
      <w:proofErr w:type="spellEnd"/>
      <w:r w:rsidRPr="001C317D">
        <w:t xml:space="preserve"> on plums</w:t>
      </w:r>
      <w:bookmarkEnd w:id="35"/>
    </w:p>
    <w:bookmarkEnd w:id="34"/>
    <w:bookmarkEnd w:id="36"/>
    <w:p w14:paraId="2216B77A" w14:textId="7DAC4B41" w:rsidR="0021215A" w:rsidRPr="001C317D" w:rsidRDefault="0021215A" w:rsidP="001C317D">
      <w:pPr>
        <w:pStyle w:val="APVMAText"/>
        <w:keepNext/>
        <w:keepLines/>
      </w:pPr>
      <w:r w:rsidRPr="001C317D">
        <w:t xml:space="preserve">The proposed use of </w:t>
      </w:r>
      <w:proofErr w:type="spellStart"/>
      <w:r w:rsidRPr="001C317D">
        <w:t>Seguris</w:t>
      </w:r>
      <w:proofErr w:type="spellEnd"/>
      <w:r w:rsidRPr="001C317D">
        <w:t xml:space="preserve"> Flexi Fungicide (125</w:t>
      </w:r>
      <w:r w:rsidR="001C317D">
        <w:t> </w:t>
      </w:r>
      <w:r w:rsidRPr="001C317D">
        <w:t xml:space="preserve">g/L </w:t>
      </w:r>
      <w:bookmarkStart w:id="37" w:name="_Hlk130913917"/>
      <w:proofErr w:type="spellStart"/>
      <w:r w:rsidRPr="001C317D">
        <w:t>isopyrazam</w:t>
      </w:r>
      <w:bookmarkEnd w:id="37"/>
      <w:proofErr w:type="spellEnd"/>
      <w:r w:rsidRPr="001C317D">
        <w:t>) involves a maximum of 2 foliar applications per season, applied by airblast sprayer from flowering through to harvest, at up to 12.5</w:t>
      </w:r>
      <w:r w:rsidR="001C317D">
        <w:t> </w:t>
      </w:r>
      <w:r w:rsidRPr="001C317D">
        <w:t>g ai/100L with a minimum spray volume of 1</w:t>
      </w:r>
      <w:r w:rsidR="00F65F46">
        <w:t>,</w:t>
      </w:r>
      <w:r w:rsidRPr="001C317D">
        <w:t>500</w:t>
      </w:r>
      <w:r w:rsidR="001C317D">
        <w:t> </w:t>
      </w:r>
      <w:r w:rsidRPr="001C317D">
        <w:t>L/ha</w:t>
      </w:r>
      <w:r w:rsidR="00F65F46">
        <w:t xml:space="preserve"> (see Table 2)</w:t>
      </w:r>
      <w:r w:rsidR="00633641" w:rsidRPr="001C317D">
        <w:t>.</w:t>
      </w:r>
      <w:r w:rsidRPr="001C317D">
        <w:t xml:space="preserve"> The proposed harvest withholding period is 14</w:t>
      </w:r>
      <w:r w:rsidR="00F65F46">
        <w:t> </w:t>
      </w:r>
      <w:r w:rsidRPr="001C317D">
        <w:t>days and the recommended grazing withholding period is ‘DO NOT graze treated areas or cut for stock food’.</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891"/>
        <w:gridCol w:w="1891"/>
        <w:gridCol w:w="3965"/>
      </w:tblGrid>
      <w:tr w:rsidR="001C317D" w:rsidRPr="00AE672E" w14:paraId="7B77B28C" w14:textId="77777777" w:rsidTr="001D035F">
        <w:tc>
          <w:tcPr>
            <w:tcW w:w="5000" w:type="pct"/>
            <w:gridSpan w:val="4"/>
            <w:tcBorders>
              <w:left w:val="nil"/>
              <w:bottom w:val="single" w:sz="4" w:space="0" w:color="auto"/>
              <w:right w:val="nil"/>
            </w:tcBorders>
            <w:shd w:val="clear" w:color="auto" w:fill="00686E" w:themeFill="background2" w:themeFillShade="E6"/>
          </w:tcPr>
          <w:p w14:paraId="15410C0B" w14:textId="1012137A" w:rsidR="001C317D" w:rsidRPr="00AE672E" w:rsidRDefault="001C317D" w:rsidP="001C317D">
            <w:pPr>
              <w:pStyle w:val="APVMATableHead"/>
              <w:rPr>
                <w:color w:val="FFFFFF"/>
                <w:szCs w:val="18"/>
              </w:rPr>
            </w:pPr>
            <w:proofErr w:type="spellStart"/>
            <w:r w:rsidRPr="00AE672E">
              <w:t>Seguris</w:t>
            </w:r>
            <w:proofErr w:type="spellEnd"/>
            <w:r w:rsidRPr="00AE672E">
              <w:t xml:space="preserve"> Flexi Fungicide (80618), containing 125</w:t>
            </w:r>
            <w:r>
              <w:t> </w:t>
            </w:r>
            <w:r w:rsidRPr="00AE672E">
              <w:t xml:space="preserve">g/L </w:t>
            </w:r>
            <w:proofErr w:type="spellStart"/>
            <w:r w:rsidRPr="00AE672E">
              <w:t>isopyrazam</w:t>
            </w:r>
            <w:proofErr w:type="spellEnd"/>
            <w:r w:rsidRPr="00AE672E">
              <w:t xml:space="preserve"> as the only active constituent</w:t>
            </w:r>
          </w:p>
        </w:tc>
      </w:tr>
      <w:tr w:rsidR="001C317D" w:rsidRPr="00AE672E" w14:paraId="2B0F8D33" w14:textId="77777777" w:rsidTr="001D035F">
        <w:tc>
          <w:tcPr>
            <w:tcW w:w="981" w:type="pct"/>
            <w:tcBorders>
              <w:top w:val="single" w:sz="4" w:space="0" w:color="auto"/>
              <w:left w:val="nil"/>
              <w:bottom w:val="single" w:sz="4" w:space="0" w:color="auto"/>
              <w:right w:val="nil"/>
            </w:tcBorders>
            <w:shd w:val="clear" w:color="auto" w:fill="00686E" w:themeFill="background2" w:themeFillShade="E6"/>
          </w:tcPr>
          <w:p w14:paraId="6D3BBB36" w14:textId="0484D987" w:rsidR="001C317D" w:rsidRPr="00AE672E" w:rsidRDefault="001C317D" w:rsidP="001C317D">
            <w:pPr>
              <w:pStyle w:val="APVMATableHead"/>
            </w:pPr>
            <w:r w:rsidRPr="00AE672E">
              <w:t>Crop</w:t>
            </w:r>
          </w:p>
        </w:tc>
        <w:tc>
          <w:tcPr>
            <w:tcW w:w="981" w:type="pct"/>
            <w:tcBorders>
              <w:top w:val="single" w:sz="4" w:space="0" w:color="auto"/>
              <w:left w:val="nil"/>
              <w:bottom w:val="single" w:sz="4" w:space="0" w:color="auto"/>
              <w:right w:val="nil"/>
            </w:tcBorders>
            <w:shd w:val="clear" w:color="auto" w:fill="00686E" w:themeFill="background2" w:themeFillShade="E6"/>
          </w:tcPr>
          <w:p w14:paraId="278A02ED" w14:textId="3974C5AD" w:rsidR="001C317D" w:rsidRPr="00AE672E" w:rsidRDefault="001C317D" w:rsidP="001C317D">
            <w:pPr>
              <w:pStyle w:val="APVMATableHead"/>
            </w:pPr>
            <w:r w:rsidRPr="00AE672E">
              <w:t>Pest</w:t>
            </w:r>
          </w:p>
        </w:tc>
        <w:tc>
          <w:tcPr>
            <w:tcW w:w="981" w:type="pct"/>
            <w:tcBorders>
              <w:top w:val="single" w:sz="4" w:space="0" w:color="auto"/>
              <w:left w:val="nil"/>
              <w:bottom w:val="single" w:sz="4" w:space="0" w:color="auto"/>
              <w:right w:val="nil"/>
            </w:tcBorders>
            <w:shd w:val="clear" w:color="auto" w:fill="00686E" w:themeFill="background2" w:themeFillShade="E6"/>
          </w:tcPr>
          <w:p w14:paraId="749EFEC2" w14:textId="55F88BFE" w:rsidR="001C317D" w:rsidRPr="00AE672E" w:rsidRDefault="001C317D" w:rsidP="001C317D">
            <w:pPr>
              <w:pStyle w:val="APVMATableHead"/>
            </w:pPr>
            <w:r w:rsidRPr="00AE672E">
              <w:t>Rate</w:t>
            </w:r>
          </w:p>
        </w:tc>
        <w:tc>
          <w:tcPr>
            <w:tcW w:w="2057" w:type="pct"/>
            <w:tcBorders>
              <w:top w:val="single" w:sz="4" w:space="0" w:color="auto"/>
              <w:left w:val="nil"/>
              <w:bottom w:val="single" w:sz="4" w:space="0" w:color="auto"/>
              <w:right w:val="nil"/>
            </w:tcBorders>
            <w:shd w:val="clear" w:color="auto" w:fill="00686E" w:themeFill="background2" w:themeFillShade="E6"/>
          </w:tcPr>
          <w:p w14:paraId="12A04F51" w14:textId="19B116A3" w:rsidR="001C317D" w:rsidRPr="00AE672E" w:rsidRDefault="001C317D" w:rsidP="001C317D">
            <w:pPr>
              <w:pStyle w:val="APVMATableHead"/>
            </w:pPr>
            <w:r w:rsidRPr="00AE672E">
              <w:t xml:space="preserve">Critical </w:t>
            </w:r>
            <w:r w:rsidR="002C47AC">
              <w:t>c</w:t>
            </w:r>
            <w:r w:rsidRPr="00AE672E">
              <w:t>omments</w:t>
            </w:r>
          </w:p>
        </w:tc>
      </w:tr>
      <w:tr w:rsidR="001D035F" w:rsidRPr="00AE672E" w14:paraId="27BDC259" w14:textId="77777777" w:rsidTr="001D035F">
        <w:tc>
          <w:tcPr>
            <w:tcW w:w="981" w:type="pct"/>
            <w:tcBorders>
              <w:top w:val="single" w:sz="4" w:space="0" w:color="auto"/>
              <w:left w:val="nil"/>
              <w:bottom w:val="single" w:sz="4" w:space="0" w:color="auto"/>
              <w:right w:val="nil"/>
            </w:tcBorders>
          </w:tcPr>
          <w:p w14:paraId="1D593C38" w14:textId="73870A1C" w:rsidR="00AE672E" w:rsidRPr="001C317D" w:rsidRDefault="00AE672E" w:rsidP="001C317D">
            <w:pPr>
              <w:pStyle w:val="APVMATableText"/>
            </w:pPr>
            <w:r w:rsidRPr="001C317D">
              <w:t>Plums</w:t>
            </w:r>
            <w:r w:rsidR="001C317D">
              <w:t xml:space="preserve"> </w:t>
            </w:r>
            <w:r w:rsidRPr="001C317D">
              <w:t>(for fresh market and dried production)</w:t>
            </w:r>
          </w:p>
        </w:tc>
        <w:tc>
          <w:tcPr>
            <w:tcW w:w="981" w:type="pct"/>
            <w:tcBorders>
              <w:top w:val="single" w:sz="4" w:space="0" w:color="auto"/>
              <w:left w:val="nil"/>
              <w:bottom w:val="single" w:sz="4" w:space="0" w:color="auto"/>
              <w:right w:val="nil"/>
            </w:tcBorders>
          </w:tcPr>
          <w:p w14:paraId="4678BFFC" w14:textId="07C012EA" w:rsidR="00AE672E" w:rsidRPr="001C317D" w:rsidRDefault="00AE672E" w:rsidP="001C317D">
            <w:pPr>
              <w:pStyle w:val="APVMATableText"/>
            </w:pPr>
            <w:r w:rsidRPr="001C317D">
              <w:t>Prune rust</w:t>
            </w:r>
            <w:r w:rsidR="001C317D">
              <w:t xml:space="preserve"> </w:t>
            </w:r>
            <w:r w:rsidRPr="001C317D">
              <w:t>(</w:t>
            </w:r>
            <w:proofErr w:type="spellStart"/>
            <w:r w:rsidRPr="005271C6">
              <w:rPr>
                <w:i/>
                <w:iCs/>
              </w:rPr>
              <w:t>Tranzschelia</w:t>
            </w:r>
            <w:proofErr w:type="spellEnd"/>
            <w:r w:rsidRPr="005271C6">
              <w:rPr>
                <w:i/>
                <w:iCs/>
              </w:rPr>
              <w:t xml:space="preserve"> </w:t>
            </w:r>
            <w:proofErr w:type="spellStart"/>
            <w:r w:rsidRPr="005271C6">
              <w:rPr>
                <w:i/>
                <w:iCs/>
              </w:rPr>
              <w:t>discolor</w:t>
            </w:r>
            <w:proofErr w:type="spellEnd"/>
            <w:r w:rsidRPr="001C317D">
              <w:t>)</w:t>
            </w:r>
          </w:p>
        </w:tc>
        <w:tc>
          <w:tcPr>
            <w:tcW w:w="981" w:type="pct"/>
            <w:tcBorders>
              <w:top w:val="single" w:sz="4" w:space="0" w:color="auto"/>
              <w:left w:val="nil"/>
              <w:bottom w:val="single" w:sz="4" w:space="0" w:color="auto"/>
              <w:right w:val="nil"/>
            </w:tcBorders>
          </w:tcPr>
          <w:p w14:paraId="784AA267" w14:textId="1270F264" w:rsidR="00AE672E" w:rsidRPr="001C317D" w:rsidRDefault="00AE672E" w:rsidP="001C317D">
            <w:pPr>
              <w:pStyle w:val="APVMATableText"/>
            </w:pPr>
            <w:r w:rsidRPr="001C317D">
              <w:t>75</w:t>
            </w:r>
            <w:r w:rsidR="002C47AC">
              <w:t xml:space="preserve"> to </w:t>
            </w:r>
            <w:r w:rsidRPr="001C317D">
              <w:t>100</w:t>
            </w:r>
            <w:r w:rsidR="001C317D">
              <w:t> </w:t>
            </w:r>
            <w:r w:rsidRPr="001C317D">
              <w:t>mL product per 100</w:t>
            </w:r>
            <w:r w:rsidR="001C317D">
              <w:t> </w:t>
            </w:r>
            <w:r w:rsidRPr="001C317D">
              <w:t>L of water</w:t>
            </w:r>
            <w:r w:rsidR="001C317D">
              <w:t xml:space="preserve"> </w:t>
            </w:r>
            <w:r w:rsidRPr="001C317D">
              <w:t>(9.4</w:t>
            </w:r>
            <w:r w:rsidR="002C47AC">
              <w:t xml:space="preserve"> to </w:t>
            </w:r>
            <w:r w:rsidRPr="001C317D">
              <w:t>12.5</w:t>
            </w:r>
            <w:r w:rsidR="001C317D">
              <w:t> </w:t>
            </w:r>
            <w:r w:rsidRPr="001C317D">
              <w:t xml:space="preserve">g </w:t>
            </w:r>
            <w:proofErr w:type="spellStart"/>
            <w:r w:rsidRPr="001C317D">
              <w:t>isopyrazam</w:t>
            </w:r>
            <w:proofErr w:type="spellEnd"/>
            <w:r w:rsidRPr="001C317D">
              <w:t>/100</w:t>
            </w:r>
            <w:r w:rsidR="001C317D">
              <w:t> </w:t>
            </w:r>
            <w:r w:rsidRPr="001C317D">
              <w:t>L)</w:t>
            </w:r>
          </w:p>
        </w:tc>
        <w:tc>
          <w:tcPr>
            <w:tcW w:w="2057" w:type="pct"/>
            <w:tcBorders>
              <w:top w:val="single" w:sz="4" w:space="0" w:color="auto"/>
              <w:left w:val="nil"/>
              <w:bottom w:val="single" w:sz="4" w:space="0" w:color="auto"/>
              <w:right w:val="nil"/>
            </w:tcBorders>
          </w:tcPr>
          <w:p w14:paraId="6245523C" w14:textId="77777777" w:rsidR="00AE672E" w:rsidRPr="001C317D" w:rsidRDefault="00AE672E" w:rsidP="001C317D">
            <w:pPr>
              <w:pStyle w:val="APVMATableText"/>
            </w:pPr>
            <w:r w:rsidRPr="001C317D">
              <w:t>Apply foliar applications via airblast sprayer between flowering through until harvest in a sufficient volume of water to achieve thorough coverage of all foliage.</w:t>
            </w:r>
          </w:p>
          <w:p w14:paraId="1870BBB7" w14:textId="22E834A4" w:rsidR="00AE672E" w:rsidRPr="001C317D" w:rsidRDefault="00AE672E" w:rsidP="001C317D">
            <w:pPr>
              <w:pStyle w:val="APVMATableText"/>
            </w:pPr>
            <w:r w:rsidRPr="001C317D">
              <w:t>DO NOT apply more than 2 applications per season at a minimum spray volume of 1</w:t>
            </w:r>
            <w:r w:rsidR="00F65F46">
              <w:t>,</w:t>
            </w:r>
            <w:r w:rsidRPr="001C317D">
              <w:t>500</w:t>
            </w:r>
            <w:r w:rsidR="001C317D">
              <w:t> </w:t>
            </w:r>
            <w:r w:rsidRPr="001C317D">
              <w:t>L/ha with a retreatment interval of 10</w:t>
            </w:r>
            <w:r w:rsidR="002C47AC">
              <w:t xml:space="preserve"> to </w:t>
            </w:r>
            <w:r w:rsidRPr="001C317D">
              <w:t>21 days.</w:t>
            </w:r>
          </w:p>
          <w:p w14:paraId="5CEDBECE" w14:textId="6EC0D3B9" w:rsidR="00AE672E" w:rsidRPr="001C317D" w:rsidRDefault="00AE672E" w:rsidP="001C317D">
            <w:pPr>
              <w:pStyle w:val="APVMATableText"/>
            </w:pPr>
            <w:r w:rsidRPr="001C317D">
              <w:t>Resistance management</w:t>
            </w:r>
            <w:r w:rsidR="001C317D">
              <w:t xml:space="preserve">: </w:t>
            </w:r>
            <w:r w:rsidRPr="001C317D">
              <w:t xml:space="preserve">This use is subject to a CropLife Australia fungicide resistance management strategy. As per </w:t>
            </w:r>
            <w:proofErr w:type="spellStart"/>
            <w:r w:rsidRPr="001C317D">
              <w:t>Seguris</w:t>
            </w:r>
            <w:proofErr w:type="spellEnd"/>
            <w:r w:rsidRPr="001C317D">
              <w:t xml:space="preserve"> Flexi label.</w:t>
            </w:r>
          </w:p>
        </w:tc>
      </w:tr>
    </w:tbl>
    <w:p w14:paraId="21D0F2EA" w14:textId="14816141" w:rsidR="001C317D" w:rsidRDefault="00AE672E" w:rsidP="001C317D">
      <w:pPr>
        <w:pStyle w:val="Heading3"/>
      </w:pPr>
      <w:bookmarkStart w:id="38" w:name="_Toc138344480"/>
      <w:r w:rsidRPr="00AE672E">
        <w:t>Restraints</w:t>
      </w:r>
      <w:bookmarkEnd w:id="38"/>
    </w:p>
    <w:p w14:paraId="5F224059" w14:textId="2E9B95DC" w:rsidR="00AE672E" w:rsidRPr="00AE672E" w:rsidRDefault="00AE672E" w:rsidP="001C317D">
      <w:pPr>
        <w:pStyle w:val="APVMAText"/>
      </w:pPr>
      <w:r w:rsidRPr="00AE672E">
        <w:t>DO NOT apply more than 2 applications per season.</w:t>
      </w:r>
    </w:p>
    <w:p w14:paraId="400B76EA" w14:textId="45EEAA9B" w:rsidR="00AE672E" w:rsidRPr="00AE672E" w:rsidRDefault="00AE672E" w:rsidP="001C317D">
      <w:pPr>
        <w:pStyle w:val="APVMAText"/>
      </w:pPr>
      <w:r w:rsidRPr="00AE672E">
        <w:t>DO NOT apply more than 2.5</w:t>
      </w:r>
      <w:r w:rsidR="001C317D">
        <w:t> </w:t>
      </w:r>
      <w:r w:rsidRPr="00AE672E">
        <w:t>L product/ha (312.5</w:t>
      </w:r>
      <w:r w:rsidR="001C317D">
        <w:t> </w:t>
      </w:r>
      <w:r w:rsidRPr="00AE672E">
        <w:t>g ai/ha) per application.</w:t>
      </w:r>
    </w:p>
    <w:p w14:paraId="62355594" w14:textId="427CA88B" w:rsidR="00AE672E" w:rsidRPr="00AE672E" w:rsidRDefault="00AE672E" w:rsidP="001C317D">
      <w:pPr>
        <w:pStyle w:val="Heading3"/>
      </w:pPr>
      <w:bookmarkStart w:id="39" w:name="_Toc138344481"/>
      <w:r w:rsidRPr="00AE672E">
        <w:t>Withholding periods</w:t>
      </w:r>
      <w:bookmarkEnd w:id="39"/>
    </w:p>
    <w:p w14:paraId="7126F2C2" w14:textId="435AC399" w:rsidR="001C317D" w:rsidRDefault="00AE672E" w:rsidP="001C317D">
      <w:pPr>
        <w:pStyle w:val="Heading4"/>
      </w:pPr>
      <w:r w:rsidRPr="00AE672E">
        <w:t>Harvest</w:t>
      </w:r>
    </w:p>
    <w:p w14:paraId="3320FEB6" w14:textId="27846B0C" w:rsidR="00AE672E" w:rsidRPr="00AE672E" w:rsidRDefault="00AE672E" w:rsidP="001C317D">
      <w:pPr>
        <w:pStyle w:val="APVMAText"/>
      </w:pPr>
      <w:r w:rsidRPr="00AE672E">
        <w:t>DO NOT harvest for 14 days after application.</w:t>
      </w:r>
    </w:p>
    <w:p w14:paraId="5CB8A3C9" w14:textId="1E0B6F2C" w:rsidR="001C317D" w:rsidRDefault="00AE672E" w:rsidP="001C317D">
      <w:pPr>
        <w:pStyle w:val="Heading4"/>
      </w:pPr>
      <w:r w:rsidRPr="00AE672E">
        <w:t>Grazing</w:t>
      </w:r>
    </w:p>
    <w:p w14:paraId="601E4F40" w14:textId="55CFE583" w:rsidR="00AE672E" w:rsidRDefault="00AE672E" w:rsidP="00F65F46">
      <w:pPr>
        <w:pStyle w:val="APVMAText"/>
        <w:rPr>
          <w:kern w:val="20"/>
          <w:sz w:val="19"/>
        </w:rPr>
      </w:pPr>
      <w:r w:rsidRPr="00AE672E">
        <w:t>DO NOT graze treated areas or cut for stock food.</w:t>
      </w:r>
      <w:r>
        <w:br w:type="page"/>
      </w:r>
    </w:p>
    <w:p w14:paraId="65CFDF96" w14:textId="10B35349" w:rsidR="00AE672E" w:rsidRPr="001C317D" w:rsidRDefault="00AE672E" w:rsidP="001C317D">
      <w:pPr>
        <w:pStyle w:val="Caption"/>
      </w:pPr>
      <w:bookmarkStart w:id="40" w:name="_Toc138344494"/>
      <w:r w:rsidRPr="001C317D">
        <w:lastRenderedPageBreak/>
        <w:t xml:space="preserve">Table </w:t>
      </w:r>
      <w:fldSimple w:instr=" SEQ Table \* ARABIC ">
        <w:r w:rsidR="001C317D" w:rsidRPr="001C317D">
          <w:t>3</w:t>
        </w:r>
      </w:fldSimple>
      <w:r w:rsidRPr="001C317D">
        <w:t>:</w:t>
      </w:r>
      <w:r w:rsidRPr="001C317D">
        <w:tab/>
        <w:t xml:space="preserve">Proposed use pattern for </w:t>
      </w:r>
      <w:proofErr w:type="spellStart"/>
      <w:r w:rsidRPr="001C317D">
        <w:t>isopyrazam</w:t>
      </w:r>
      <w:proofErr w:type="spellEnd"/>
      <w:r w:rsidRPr="001C317D">
        <w:t xml:space="preserve"> being considered by the APVMA</w:t>
      </w:r>
      <w:bookmarkEnd w:id="40"/>
    </w:p>
    <w:p w14:paraId="0DB4BEB3" w14:textId="63055742" w:rsidR="00AE672E" w:rsidRPr="00AE672E" w:rsidRDefault="0021215A" w:rsidP="001C317D">
      <w:pPr>
        <w:pStyle w:val="APVMAText"/>
      </w:pPr>
      <w:r w:rsidRPr="001C317D">
        <w:t>The proposed use of Luna Experience Fungicide (200</w:t>
      </w:r>
      <w:r w:rsidR="001C317D">
        <w:t> </w:t>
      </w:r>
      <w:r w:rsidRPr="001C317D">
        <w:t xml:space="preserve">g/L </w:t>
      </w:r>
      <w:proofErr w:type="spellStart"/>
      <w:r w:rsidRPr="001C317D">
        <w:t>fluopyram</w:t>
      </w:r>
      <w:proofErr w:type="spellEnd"/>
      <w:r w:rsidRPr="001C317D">
        <w:t xml:space="preserve"> and 200</w:t>
      </w:r>
      <w:r w:rsidR="001C317D">
        <w:t> </w:t>
      </w:r>
      <w:r w:rsidRPr="001C317D">
        <w:t>g/L tebuconazole) involves 2</w:t>
      </w:r>
      <w:r w:rsidR="00F65F46">
        <w:t> </w:t>
      </w:r>
      <w:r w:rsidRPr="001C317D">
        <w:t>foliar applications per season, applied by airblast sprayer from flowering through to harvest, at up to 148</w:t>
      </w:r>
      <w:r w:rsidR="001C317D">
        <w:t> </w:t>
      </w:r>
      <w:r w:rsidRPr="001C317D">
        <w:t xml:space="preserve">g </w:t>
      </w:r>
      <w:proofErr w:type="spellStart"/>
      <w:r w:rsidRPr="001C317D">
        <w:t>fluopyram</w:t>
      </w:r>
      <w:proofErr w:type="spellEnd"/>
      <w:r w:rsidRPr="001C317D">
        <w:t xml:space="preserve">/ha </w:t>
      </w:r>
      <w:r w:rsidR="001C317D">
        <w:t>plus</w:t>
      </w:r>
      <w:r w:rsidRPr="001C317D">
        <w:t xml:space="preserve"> 148</w:t>
      </w:r>
      <w:r w:rsidR="001C317D">
        <w:t> </w:t>
      </w:r>
      <w:r w:rsidRPr="001C317D">
        <w:t>g tebuconazole/ha</w:t>
      </w:r>
      <w:r w:rsidR="00F65F46">
        <w:t xml:space="preserve"> (see Table 3)</w:t>
      </w:r>
      <w:r w:rsidRPr="001C317D">
        <w:t>. The proposed harvest withholding period is ‘Nil’ and the recommended grazing withholding period is ‘DO NOT graze treated areas or cut for stock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891"/>
        <w:gridCol w:w="1891"/>
        <w:gridCol w:w="3965"/>
      </w:tblGrid>
      <w:tr w:rsidR="001C317D" w:rsidRPr="00AE672E" w14:paraId="2DA1F91B" w14:textId="77777777" w:rsidTr="001D035F">
        <w:tc>
          <w:tcPr>
            <w:tcW w:w="5000" w:type="pct"/>
            <w:gridSpan w:val="4"/>
            <w:tcBorders>
              <w:left w:val="nil"/>
              <w:right w:val="nil"/>
            </w:tcBorders>
            <w:shd w:val="clear" w:color="auto" w:fill="00686E" w:themeFill="background2" w:themeFillShade="E6"/>
          </w:tcPr>
          <w:p w14:paraId="3454A09A" w14:textId="570FBF05" w:rsidR="001C317D" w:rsidRPr="001C317D" w:rsidRDefault="001C317D" w:rsidP="001C317D">
            <w:pPr>
              <w:pStyle w:val="APVMATableHead"/>
            </w:pPr>
            <w:r w:rsidRPr="001C317D">
              <w:t>Luna Experience Fungicide (87841), containing 200</w:t>
            </w:r>
            <w:r>
              <w:t> </w:t>
            </w:r>
            <w:r w:rsidRPr="001C317D">
              <w:t xml:space="preserve">g/L </w:t>
            </w:r>
            <w:proofErr w:type="spellStart"/>
            <w:r w:rsidRPr="001C317D">
              <w:t>fluopyram</w:t>
            </w:r>
            <w:proofErr w:type="spellEnd"/>
            <w:r w:rsidRPr="001C317D">
              <w:t xml:space="preserve"> and 200</w:t>
            </w:r>
            <w:r>
              <w:t> </w:t>
            </w:r>
            <w:r w:rsidRPr="001C317D">
              <w:t>g/L tebuconazole as the only active constituents</w:t>
            </w:r>
          </w:p>
        </w:tc>
      </w:tr>
      <w:tr w:rsidR="001C317D" w:rsidRPr="00AE672E" w14:paraId="10E9887D" w14:textId="77777777" w:rsidTr="001D035F">
        <w:tc>
          <w:tcPr>
            <w:tcW w:w="981" w:type="pct"/>
            <w:tcBorders>
              <w:left w:val="nil"/>
              <w:right w:val="nil"/>
            </w:tcBorders>
            <w:shd w:val="clear" w:color="auto" w:fill="00686E" w:themeFill="background2" w:themeFillShade="E6"/>
          </w:tcPr>
          <w:p w14:paraId="0F5E576A" w14:textId="0E79D710" w:rsidR="001C317D" w:rsidRPr="00AE672E" w:rsidRDefault="001C317D" w:rsidP="001C317D">
            <w:pPr>
              <w:pStyle w:val="APVMATableHead"/>
            </w:pPr>
            <w:r w:rsidRPr="00AE672E">
              <w:t>Crop</w:t>
            </w:r>
          </w:p>
        </w:tc>
        <w:tc>
          <w:tcPr>
            <w:tcW w:w="981" w:type="pct"/>
            <w:tcBorders>
              <w:left w:val="nil"/>
              <w:right w:val="nil"/>
            </w:tcBorders>
            <w:shd w:val="clear" w:color="auto" w:fill="00686E" w:themeFill="background2" w:themeFillShade="E6"/>
          </w:tcPr>
          <w:p w14:paraId="314C45AA" w14:textId="733C4A77" w:rsidR="001C317D" w:rsidRPr="00AE672E" w:rsidRDefault="001C317D" w:rsidP="001C317D">
            <w:pPr>
              <w:pStyle w:val="APVMATableHead"/>
            </w:pPr>
            <w:r w:rsidRPr="00AE672E">
              <w:t>Pest</w:t>
            </w:r>
          </w:p>
        </w:tc>
        <w:tc>
          <w:tcPr>
            <w:tcW w:w="981" w:type="pct"/>
            <w:tcBorders>
              <w:left w:val="nil"/>
              <w:right w:val="nil"/>
            </w:tcBorders>
            <w:shd w:val="clear" w:color="auto" w:fill="00686E" w:themeFill="background2" w:themeFillShade="E6"/>
          </w:tcPr>
          <w:p w14:paraId="56196186" w14:textId="6B01A646" w:rsidR="001C317D" w:rsidRPr="00AE672E" w:rsidRDefault="001C317D" w:rsidP="001C317D">
            <w:pPr>
              <w:pStyle w:val="APVMATableHead"/>
            </w:pPr>
            <w:r w:rsidRPr="00AE672E">
              <w:t>Rate</w:t>
            </w:r>
          </w:p>
        </w:tc>
        <w:tc>
          <w:tcPr>
            <w:tcW w:w="2057" w:type="pct"/>
            <w:tcBorders>
              <w:left w:val="nil"/>
              <w:right w:val="nil"/>
            </w:tcBorders>
            <w:shd w:val="clear" w:color="auto" w:fill="00686E" w:themeFill="background2" w:themeFillShade="E6"/>
          </w:tcPr>
          <w:p w14:paraId="26BF388F" w14:textId="3954ACC3" w:rsidR="001C317D" w:rsidRPr="00AE672E" w:rsidRDefault="001C317D" w:rsidP="001C317D">
            <w:pPr>
              <w:pStyle w:val="APVMATableHead"/>
            </w:pPr>
            <w:r w:rsidRPr="00AE672E">
              <w:t>Critical Comments</w:t>
            </w:r>
          </w:p>
        </w:tc>
      </w:tr>
      <w:tr w:rsidR="00AE672E" w:rsidRPr="00AE672E" w14:paraId="14DEA869" w14:textId="77777777" w:rsidTr="001D035F">
        <w:tc>
          <w:tcPr>
            <w:tcW w:w="981" w:type="pct"/>
            <w:tcBorders>
              <w:left w:val="nil"/>
              <w:right w:val="nil"/>
            </w:tcBorders>
          </w:tcPr>
          <w:p w14:paraId="204B9ADF" w14:textId="29870620" w:rsidR="00AE672E" w:rsidRPr="001C317D" w:rsidRDefault="00AE672E" w:rsidP="001C317D">
            <w:pPr>
              <w:pStyle w:val="APVMATableText"/>
            </w:pPr>
            <w:r w:rsidRPr="001C317D">
              <w:t>Plums</w:t>
            </w:r>
            <w:r w:rsidR="001C317D" w:rsidRPr="001C317D">
              <w:t xml:space="preserve"> </w:t>
            </w:r>
            <w:r w:rsidRPr="001C317D">
              <w:t>(for fresh market and dried production)</w:t>
            </w:r>
          </w:p>
        </w:tc>
        <w:tc>
          <w:tcPr>
            <w:tcW w:w="981" w:type="pct"/>
            <w:tcBorders>
              <w:left w:val="nil"/>
              <w:right w:val="nil"/>
            </w:tcBorders>
          </w:tcPr>
          <w:p w14:paraId="65653CF3" w14:textId="51552679" w:rsidR="00AE672E" w:rsidRPr="001C317D" w:rsidRDefault="00AE672E" w:rsidP="001C317D">
            <w:pPr>
              <w:pStyle w:val="APVMATableText"/>
            </w:pPr>
            <w:r w:rsidRPr="001C317D">
              <w:t>Prune rust</w:t>
            </w:r>
            <w:r w:rsidR="001C317D" w:rsidRPr="001C317D">
              <w:t xml:space="preserve"> </w:t>
            </w:r>
            <w:r w:rsidRPr="001C317D">
              <w:t>(</w:t>
            </w:r>
            <w:proofErr w:type="spellStart"/>
            <w:r w:rsidRPr="005271C6">
              <w:rPr>
                <w:i/>
                <w:iCs/>
              </w:rPr>
              <w:t>Tranzschelia</w:t>
            </w:r>
            <w:proofErr w:type="spellEnd"/>
            <w:r w:rsidRPr="005271C6">
              <w:rPr>
                <w:i/>
                <w:iCs/>
              </w:rPr>
              <w:t xml:space="preserve"> </w:t>
            </w:r>
            <w:proofErr w:type="spellStart"/>
            <w:r w:rsidRPr="005271C6">
              <w:rPr>
                <w:i/>
                <w:iCs/>
              </w:rPr>
              <w:t>discolor</w:t>
            </w:r>
            <w:proofErr w:type="spellEnd"/>
            <w:r w:rsidRPr="001C317D">
              <w:t>)</w:t>
            </w:r>
          </w:p>
        </w:tc>
        <w:tc>
          <w:tcPr>
            <w:tcW w:w="981" w:type="pct"/>
            <w:tcBorders>
              <w:left w:val="nil"/>
              <w:right w:val="nil"/>
            </w:tcBorders>
          </w:tcPr>
          <w:p w14:paraId="6EE7863E" w14:textId="212545E8" w:rsidR="00AE672E" w:rsidRPr="001C317D" w:rsidRDefault="00AE672E" w:rsidP="001C317D">
            <w:pPr>
              <w:pStyle w:val="APVMATableText"/>
            </w:pPr>
            <w:r w:rsidRPr="001C317D">
              <w:t>593</w:t>
            </w:r>
            <w:r w:rsidR="002C47AC">
              <w:t xml:space="preserve"> to </w:t>
            </w:r>
            <w:r w:rsidRPr="001C317D">
              <w:t>740</w:t>
            </w:r>
            <w:r w:rsidR="001C317D">
              <w:t> </w:t>
            </w:r>
            <w:r w:rsidRPr="001C317D">
              <w:t>mL product/ha</w:t>
            </w:r>
            <w:r w:rsidR="001C317D" w:rsidRPr="001C317D">
              <w:t xml:space="preserve"> </w:t>
            </w:r>
            <w:r w:rsidRPr="001C317D">
              <w:t>(119</w:t>
            </w:r>
            <w:r w:rsidR="002C47AC">
              <w:t xml:space="preserve"> to </w:t>
            </w:r>
            <w:r w:rsidRPr="001C317D">
              <w:t>148</w:t>
            </w:r>
            <w:r w:rsidR="001C317D">
              <w:t> </w:t>
            </w:r>
            <w:r w:rsidRPr="001C317D">
              <w:t xml:space="preserve">g </w:t>
            </w:r>
            <w:proofErr w:type="spellStart"/>
            <w:r w:rsidRPr="001C317D">
              <w:t>fluopyram</w:t>
            </w:r>
            <w:proofErr w:type="spellEnd"/>
            <w:r w:rsidRPr="001C317D">
              <w:t xml:space="preserve">/ha </w:t>
            </w:r>
            <w:r w:rsidR="001C317D">
              <w:t>plus</w:t>
            </w:r>
            <w:r w:rsidRPr="001C317D">
              <w:t xml:space="preserve"> 119</w:t>
            </w:r>
            <w:r w:rsidR="002C47AC">
              <w:t xml:space="preserve"> to </w:t>
            </w:r>
            <w:r w:rsidRPr="001C317D">
              <w:t>148</w:t>
            </w:r>
            <w:r w:rsidR="001C317D">
              <w:t> </w:t>
            </w:r>
            <w:r w:rsidRPr="001C317D">
              <w:t>g tebuconazole/ha)</w:t>
            </w:r>
          </w:p>
        </w:tc>
        <w:tc>
          <w:tcPr>
            <w:tcW w:w="2057" w:type="pct"/>
            <w:tcBorders>
              <w:left w:val="nil"/>
              <w:right w:val="nil"/>
            </w:tcBorders>
          </w:tcPr>
          <w:p w14:paraId="4315E731" w14:textId="77777777" w:rsidR="00AE672E" w:rsidRPr="001C317D" w:rsidRDefault="00AE672E" w:rsidP="001C317D">
            <w:pPr>
              <w:pStyle w:val="APVMATableText"/>
            </w:pPr>
            <w:r w:rsidRPr="001C317D">
              <w:t>Apply foliar applications via airblast sprayer between flowering through until harvest in a sufficient volume of water to achieve thorough coverage of all foliage.</w:t>
            </w:r>
          </w:p>
          <w:p w14:paraId="3A532794" w14:textId="0C1E0DF6" w:rsidR="00AE672E" w:rsidRPr="001C317D" w:rsidRDefault="00AE672E" w:rsidP="001C317D">
            <w:pPr>
              <w:pStyle w:val="APVMATableText"/>
            </w:pPr>
            <w:r w:rsidRPr="001C317D">
              <w:t>DO NOT apply more than 2 applications per season at a minimum spray volume of 1500</w:t>
            </w:r>
            <w:r w:rsidR="001C317D">
              <w:t> </w:t>
            </w:r>
            <w:r w:rsidRPr="001C317D">
              <w:t>L/ha with a retreatment interval of 7</w:t>
            </w:r>
            <w:r w:rsidR="002C47AC">
              <w:t xml:space="preserve"> to </w:t>
            </w:r>
            <w:r w:rsidRPr="001C317D">
              <w:t>14</w:t>
            </w:r>
            <w:r w:rsidR="001C317D">
              <w:t> </w:t>
            </w:r>
            <w:r w:rsidRPr="001C317D">
              <w:t>days.</w:t>
            </w:r>
          </w:p>
          <w:p w14:paraId="73BF81AC" w14:textId="2B56C185" w:rsidR="00AE672E" w:rsidRPr="001C317D" w:rsidRDefault="00AE672E" w:rsidP="001C317D">
            <w:pPr>
              <w:pStyle w:val="APVMATableText"/>
            </w:pPr>
            <w:r w:rsidRPr="001C317D">
              <w:t>Resistance management</w:t>
            </w:r>
            <w:r w:rsidR="001C317D" w:rsidRPr="001C317D">
              <w:t xml:space="preserve">: </w:t>
            </w:r>
            <w:r w:rsidRPr="001C317D">
              <w:t>This use is subject to a CropLife Australia fungicide resistance management strategy. As per Luna Experience label.</w:t>
            </w:r>
          </w:p>
        </w:tc>
      </w:tr>
    </w:tbl>
    <w:p w14:paraId="1E793584" w14:textId="77777777" w:rsidR="001C317D" w:rsidRDefault="00AE672E" w:rsidP="001C317D">
      <w:pPr>
        <w:pStyle w:val="Heading3"/>
      </w:pPr>
      <w:bookmarkStart w:id="41" w:name="_Toc138344482"/>
      <w:r w:rsidRPr="00AE672E">
        <w:t>Restraints</w:t>
      </w:r>
      <w:bookmarkEnd w:id="41"/>
    </w:p>
    <w:p w14:paraId="4B25D0EA" w14:textId="3EB0C007" w:rsidR="00AE672E" w:rsidRPr="00AE672E" w:rsidRDefault="00AE672E" w:rsidP="00AE672E">
      <w:pPr>
        <w:pStyle w:val="NormalText"/>
      </w:pPr>
      <w:r w:rsidRPr="00AE672E">
        <w:t>DO NOT apply more than 2 applications per season.</w:t>
      </w:r>
    </w:p>
    <w:p w14:paraId="3421620A" w14:textId="15F048E8" w:rsidR="00AE672E" w:rsidRPr="00AE672E" w:rsidRDefault="00AE672E" w:rsidP="001C317D">
      <w:pPr>
        <w:pStyle w:val="Heading3"/>
      </w:pPr>
      <w:bookmarkStart w:id="42" w:name="_Toc138344483"/>
      <w:r w:rsidRPr="00AE672E">
        <w:t>Withholding periods</w:t>
      </w:r>
      <w:bookmarkEnd w:id="42"/>
    </w:p>
    <w:p w14:paraId="5D9DAA40" w14:textId="0ADD0877" w:rsidR="001C317D" w:rsidRDefault="00AE672E" w:rsidP="001C317D">
      <w:pPr>
        <w:pStyle w:val="Heading4"/>
      </w:pPr>
      <w:r w:rsidRPr="00AE672E">
        <w:t>Harvest</w:t>
      </w:r>
    </w:p>
    <w:p w14:paraId="7FBAE4C8" w14:textId="3E299DF6" w:rsidR="00AE672E" w:rsidRPr="00AE672E" w:rsidRDefault="00AE672E" w:rsidP="00AE672E">
      <w:pPr>
        <w:pStyle w:val="NormalText"/>
      </w:pPr>
      <w:r w:rsidRPr="00AE672E">
        <w:t>Nil</w:t>
      </w:r>
      <w:r>
        <w:t>.</w:t>
      </w:r>
    </w:p>
    <w:p w14:paraId="078B6587" w14:textId="5C9A7C9E" w:rsidR="001C317D" w:rsidRDefault="00AE672E" w:rsidP="001C317D">
      <w:pPr>
        <w:pStyle w:val="Heading4"/>
      </w:pPr>
      <w:r w:rsidRPr="00AE672E">
        <w:t>Grazing</w:t>
      </w:r>
    </w:p>
    <w:p w14:paraId="2081EC16" w14:textId="5EF17955" w:rsidR="00AE672E" w:rsidRDefault="00AE672E" w:rsidP="00F65F46">
      <w:pPr>
        <w:pStyle w:val="NormalText"/>
      </w:pPr>
      <w:r w:rsidRPr="00AE672E">
        <w:t>DO NOT graze treated areas or cut for stock food.</w:t>
      </w:r>
      <w:r>
        <w:br w:type="page"/>
      </w:r>
    </w:p>
    <w:p w14:paraId="28529C15" w14:textId="77777777" w:rsidR="006D36C8" w:rsidRPr="001C317D" w:rsidRDefault="006D36C8" w:rsidP="001C317D">
      <w:pPr>
        <w:pStyle w:val="Heading2"/>
      </w:pPr>
      <w:bookmarkStart w:id="43" w:name="_Toc231889747"/>
      <w:bookmarkStart w:id="44" w:name="_Toc2243850"/>
      <w:bookmarkStart w:id="45" w:name="_Toc138344484"/>
      <w:r w:rsidRPr="001C317D">
        <w:lastRenderedPageBreak/>
        <w:t>Results from residues trials presented to the APVMA</w:t>
      </w:r>
      <w:bookmarkEnd w:id="43"/>
      <w:bookmarkEnd w:id="44"/>
      <w:bookmarkEnd w:id="45"/>
    </w:p>
    <w:p w14:paraId="258852DC" w14:textId="50B61272" w:rsidR="00AE672E" w:rsidRPr="001C317D" w:rsidRDefault="00AE672E" w:rsidP="001C317D">
      <w:pPr>
        <w:pStyle w:val="Heading3"/>
      </w:pPr>
      <w:bookmarkStart w:id="46" w:name="_Toc62825931"/>
      <w:bookmarkStart w:id="47" w:name="_Toc86911741"/>
      <w:bookmarkStart w:id="48" w:name="_Toc93490443"/>
      <w:bookmarkStart w:id="49" w:name="_Toc138344485"/>
      <w:r w:rsidRPr="001C317D">
        <w:t>Plums</w:t>
      </w:r>
      <w:bookmarkEnd w:id="46"/>
      <w:bookmarkEnd w:id="47"/>
      <w:bookmarkEnd w:id="48"/>
      <w:bookmarkEnd w:id="49"/>
    </w:p>
    <w:p w14:paraId="1011D190" w14:textId="520D4B89" w:rsidR="00AE672E" w:rsidRPr="001C317D" w:rsidRDefault="00AE672E" w:rsidP="001C317D">
      <w:pPr>
        <w:pStyle w:val="APVMAText"/>
      </w:pPr>
      <w:r w:rsidRPr="001C317D">
        <w:t>The azoxystrobin dataset suitable for MRL estimation of the proposed GAP on plums is, in rank order, 0.02, 0.09, 0.24 (2), 0.25, 0.30, 0.37 and 0.42</w:t>
      </w:r>
      <w:r w:rsidR="001C317D">
        <w:t> </w:t>
      </w:r>
      <w:r w:rsidRPr="001C317D">
        <w:t>mg/kg (n=8). The supervised trial median residue (STMR) was 0.25</w:t>
      </w:r>
      <w:r w:rsidR="001C317D">
        <w:t> </w:t>
      </w:r>
      <w:r w:rsidRPr="001C317D">
        <w:t>mg/kg. An azoxystrobin MRL of T0.8</w:t>
      </w:r>
      <w:r w:rsidR="001C317D">
        <w:t> </w:t>
      </w:r>
      <w:r w:rsidRPr="001C317D">
        <w:t xml:space="preserve">mg/kg for FS 0014 Plums is considered appropriate in conjunction with the proposed harvest withholding period of ‘Nil’. </w:t>
      </w:r>
    </w:p>
    <w:p w14:paraId="41E03624" w14:textId="0A004862" w:rsidR="00AE672E" w:rsidRPr="001C317D" w:rsidRDefault="00AE672E" w:rsidP="001C317D">
      <w:pPr>
        <w:pStyle w:val="APVMAText"/>
      </w:pPr>
      <w:r w:rsidRPr="001C317D">
        <w:t>The difenoconazole dataset suitable for MRL estimation in plums is, in rank order, 0.07, 0.09, 0.13, 0.15, 0.16, 0.18 and 0.20</w:t>
      </w:r>
      <w:r w:rsidR="001C317D">
        <w:t> </w:t>
      </w:r>
      <w:r w:rsidRPr="001C317D">
        <w:t>mg/kg (n=7).</w:t>
      </w:r>
      <w:r w:rsidR="002C47AC">
        <w:t xml:space="preserve"> </w:t>
      </w:r>
      <w:r w:rsidRPr="001C317D">
        <w:t>The STMR was 0.15</w:t>
      </w:r>
      <w:r w:rsidR="001C317D">
        <w:t> </w:t>
      </w:r>
      <w:r w:rsidRPr="001C317D">
        <w:t>mg/kg.</w:t>
      </w:r>
      <w:r w:rsidR="002C47AC">
        <w:t xml:space="preserve"> </w:t>
      </w:r>
      <w:r w:rsidRPr="001C317D">
        <w:t>A difenoconazole MRL of T0.5</w:t>
      </w:r>
      <w:r w:rsidR="001C317D">
        <w:t> </w:t>
      </w:r>
      <w:r w:rsidRPr="001C317D">
        <w:t>mg/kg for FS</w:t>
      </w:r>
      <w:r w:rsidR="001C317D">
        <w:t> </w:t>
      </w:r>
      <w:r w:rsidRPr="001C317D">
        <w:t>0014 Plums is considered appropriate in conjunction with the proposed harvest withholding period of ‘Nil’.</w:t>
      </w:r>
    </w:p>
    <w:p w14:paraId="3062FB40" w14:textId="5FB2DBE0" w:rsidR="00AE672E" w:rsidRPr="001C317D" w:rsidRDefault="00AE672E" w:rsidP="001C317D">
      <w:pPr>
        <w:pStyle w:val="APVMAText"/>
      </w:pPr>
      <w:r w:rsidRPr="001C317D">
        <w:t xml:space="preserve">For </w:t>
      </w:r>
      <w:proofErr w:type="spellStart"/>
      <w:r w:rsidRPr="001C317D">
        <w:t>isopyrazam</w:t>
      </w:r>
      <w:proofErr w:type="spellEnd"/>
      <w:r w:rsidRPr="001C317D">
        <w:t>, the combined apricot and peach dataset considered suitable for extrapolation and MRL estimation in plums is, in rank order, 0.08, 0.11, 0.12, 0.17, 0.18, 0.25, 0.33 and 0.39</w:t>
      </w:r>
      <w:r w:rsidR="001C317D">
        <w:t> </w:t>
      </w:r>
      <w:r w:rsidRPr="001C317D">
        <w:t>mg/kg (n=8).</w:t>
      </w:r>
      <w:r w:rsidR="002C47AC">
        <w:t xml:space="preserve"> </w:t>
      </w:r>
      <w:r w:rsidRPr="001C317D">
        <w:t>The STMR was 0.17</w:t>
      </w:r>
      <w:r w:rsidR="001C317D">
        <w:t> </w:t>
      </w:r>
      <w:r w:rsidRPr="001C317D">
        <w:t>mg/kg.</w:t>
      </w:r>
      <w:r w:rsidR="002C47AC">
        <w:t xml:space="preserve"> </w:t>
      </w:r>
      <w:r w:rsidRPr="001C317D">
        <w:t xml:space="preserve">An </w:t>
      </w:r>
      <w:proofErr w:type="spellStart"/>
      <w:r w:rsidRPr="001C317D">
        <w:t>isopyrazam</w:t>
      </w:r>
      <w:proofErr w:type="spellEnd"/>
      <w:r w:rsidRPr="001C317D">
        <w:t xml:space="preserve"> MRL of T0.7</w:t>
      </w:r>
      <w:r w:rsidR="001C317D">
        <w:t> </w:t>
      </w:r>
      <w:r w:rsidRPr="001C317D">
        <w:t>mg/kg for FS</w:t>
      </w:r>
      <w:r w:rsidR="001C317D">
        <w:t> </w:t>
      </w:r>
      <w:r w:rsidRPr="001C317D">
        <w:t>0014 Plums is recommended in conjunction with the proposed harvest withholding period of 14 days.</w:t>
      </w:r>
    </w:p>
    <w:p w14:paraId="1DD81A76" w14:textId="3A279E14" w:rsidR="00AE672E" w:rsidRPr="001C317D" w:rsidRDefault="00AE672E" w:rsidP="001C317D">
      <w:pPr>
        <w:pStyle w:val="APVMAText"/>
      </w:pPr>
      <w:r w:rsidRPr="001C317D">
        <w:t>The tebuconazole dataset suitable for MRL estimation in plums is, in rank order, &lt;0.05 (4), 0.05 (2), 0.06 (2), 0.07 (2), 0.08 (2), 0.10, 0.11 (2) and 0.21</w:t>
      </w:r>
      <w:r w:rsidR="001C317D">
        <w:t> </w:t>
      </w:r>
      <w:r w:rsidRPr="001C317D">
        <w:t>mg/kg (n=16).</w:t>
      </w:r>
      <w:r w:rsidR="002C47AC">
        <w:t xml:space="preserve"> </w:t>
      </w:r>
      <w:r w:rsidRPr="001C317D">
        <w:t>The STMR was 0.07</w:t>
      </w:r>
      <w:r w:rsidR="001C317D">
        <w:t> </w:t>
      </w:r>
      <w:r w:rsidRPr="001C317D">
        <w:t>mg/kg.</w:t>
      </w:r>
      <w:r w:rsidR="002C47AC">
        <w:t xml:space="preserve"> </w:t>
      </w:r>
      <w:r w:rsidRPr="001C317D">
        <w:t>A tebuconazole MRL of T0.3</w:t>
      </w:r>
      <w:r w:rsidR="001C317D">
        <w:t> </w:t>
      </w:r>
      <w:r w:rsidRPr="001C317D">
        <w:t xml:space="preserve">mg/kg for FS 0014 Plums is recommended in conjunction with the proposed harvest withholding period of ‘Nil’. Consequently, the established tebuconazole MRL of </w:t>
      </w:r>
      <w:r w:rsidR="00CC7D7F">
        <w:t>*</w:t>
      </w:r>
      <w:r w:rsidRPr="001C317D">
        <w:t>0.01</w:t>
      </w:r>
      <w:r w:rsidR="001C317D">
        <w:t> </w:t>
      </w:r>
      <w:r w:rsidRPr="001C317D">
        <w:t xml:space="preserve">mg/kg for FS 0012 Stone fruits should be deleted and replace with an MRL at </w:t>
      </w:r>
      <w:r w:rsidR="00CC7D7F">
        <w:t>*</w:t>
      </w:r>
      <w:r w:rsidRPr="001C317D">
        <w:t>0.01</w:t>
      </w:r>
      <w:r w:rsidR="001C317D">
        <w:t> </w:t>
      </w:r>
      <w:r w:rsidRPr="001C317D">
        <w:t>mg/kg for FS 0012 Stone fruits {except plums}.</w:t>
      </w:r>
    </w:p>
    <w:p w14:paraId="1B2D8E98" w14:textId="6FEEFBBA" w:rsidR="00AE672E" w:rsidRPr="001C317D" w:rsidRDefault="00AE672E" w:rsidP="001C317D">
      <w:pPr>
        <w:pStyle w:val="Heading3"/>
      </w:pPr>
      <w:bookmarkStart w:id="50" w:name="_Hlk137046138"/>
      <w:bookmarkStart w:id="51" w:name="_Toc138344486"/>
      <w:r w:rsidRPr="001C317D">
        <w:t>Processing to prunes</w:t>
      </w:r>
      <w:bookmarkEnd w:id="51"/>
    </w:p>
    <w:bookmarkEnd w:id="50"/>
    <w:p w14:paraId="2F003C4A" w14:textId="40D8BBCE" w:rsidR="00AE672E" w:rsidRPr="001C317D" w:rsidRDefault="00AE672E" w:rsidP="001C317D">
      <w:pPr>
        <w:pStyle w:val="APVMAText"/>
      </w:pPr>
      <w:r w:rsidRPr="001C317D">
        <w:t>From the 2008 JMPR, residues of azoxystrobin were not observed to concentrate in prunes with a processing factor of 0.19 reported. Based on the HR of 0.42</w:t>
      </w:r>
      <w:r w:rsidR="001C317D">
        <w:t> </w:t>
      </w:r>
      <w:r w:rsidRPr="001C317D">
        <w:t>mg/kg in plums and the PF of 0.19 the HR-P is estimated to be 0.08</w:t>
      </w:r>
      <w:r w:rsidR="001C317D">
        <w:t> </w:t>
      </w:r>
      <w:r w:rsidRPr="001C317D">
        <w:t>mg/kg in prunes. It is concluded that residues of azoxystrobin in prunes will be covered by the MRL at T0.8</w:t>
      </w:r>
      <w:r w:rsidR="001C317D">
        <w:t> </w:t>
      </w:r>
      <w:r w:rsidRPr="001C317D">
        <w:t>mg/kg recommended for the raw agricultural commodity (RAC).</w:t>
      </w:r>
    </w:p>
    <w:p w14:paraId="54D6BAD5" w14:textId="6CFA2A36" w:rsidR="00AE672E" w:rsidRPr="001C317D" w:rsidRDefault="00AE672E" w:rsidP="001C317D">
      <w:pPr>
        <w:pStyle w:val="APVMAText"/>
      </w:pPr>
      <w:r w:rsidRPr="001C317D">
        <w:t>From the 2007 JMPR, no processing data was reported for difenoconazole in prunes, however a processing factor of 1.2 was reported for raisins. Based on the HR of 0.20</w:t>
      </w:r>
      <w:r w:rsidR="001C317D">
        <w:t> </w:t>
      </w:r>
      <w:r w:rsidRPr="001C317D">
        <w:t>mg/kg in plums and the PF of 1.2 the HR-P is estimated to be 0.24</w:t>
      </w:r>
      <w:r w:rsidR="001C317D">
        <w:t> </w:t>
      </w:r>
      <w:r w:rsidRPr="001C317D">
        <w:t>mg/kg in prunes. It is concluded that residues of difenoconazole in prunes will be covered by the MRL at T0.5</w:t>
      </w:r>
      <w:r w:rsidR="001C317D">
        <w:t> </w:t>
      </w:r>
      <w:r w:rsidRPr="001C317D">
        <w:t>mg/kg recommended for the RAC.</w:t>
      </w:r>
    </w:p>
    <w:p w14:paraId="08A65AD9" w14:textId="6B8AEEE7" w:rsidR="00AE672E" w:rsidRPr="001C317D" w:rsidRDefault="00AE672E" w:rsidP="001C317D">
      <w:pPr>
        <w:pStyle w:val="APVMAText"/>
      </w:pPr>
      <w:r w:rsidRPr="001C317D">
        <w:t xml:space="preserve">No relevant processing factor for </w:t>
      </w:r>
      <w:proofErr w:type="spellStart"/>
      <w:r w:rsidRPr="001C317D">
        <w:t>isopyrazam</w:t>
      </w:r>
      <w:proofErr w:type="spellEnd"/>
      <w:r w:rsidRPr="001C317D">
        <w:t xml:space="preserve"> residues in prunes is available, therefore using a moisture content on 90% for fresh plums and 20% for prunes</w:t>
      </w:r>
      <w:r w:rsidR="004D654E" w:rsidRPr="001C317D">
        <w:t>,</w:t>
      </w:r>
      <w:r w:rsidRPr="001C317D">
        <w:t xml:space="preserve"> a default processing factor of 4.5 will be used for MRL estimation in prunes. Based on the HR of 0.39</w:t>
      </w:r>
      <w:r w:rsidR="001C317D">
        <w:t> </w:t>
      </w:r>
      <w:r w:rsidRPr="001C317D">
        <w:t>mg/kg in peaches and the PF of 4.5 the HR-P is estimated to be 1.76</w:t>
      </w:r>
      <w:r w:rsidR="001C317D">
        <w:t> </w:t>
      </w:r>
      <w:r w:rsidRPr="001C317D">
        <w:t xml:space="preserve">mg/kg in prunes. It is recommended that an </w:t>
      </w:r>
      <w:proofErr w:type="spellStart"/>
      <w:r w:rsidRPr="001C317D">
        <w:t>isopyrazam</w:t>
      </w:r>
      <w:proofErr w:type="spellEnd"/>
      <w:r w:rsidRPr="001C317D">
        <w:t xml:space="preserve"> MRL for DF 0014 Prunes at T3</w:t>
      </w:r>
      <w:r w:rsidR="001C317D">
        <w:t> </w:t>
      </w:r>
      <w:r w:rsidRPr="001C317D">
        <w:t>mg/kg should be established to cover residues in prunes from the proposed use.</w:t>
      </w:r>
    </w:p>
    <w:p w14:paraId="067BD5D8" w14:textId="7C313DA1" w:rsidR="00AE672E" w:rsidRPr="001C317D" w:rsidRDefault="00AE672E" w:rsidP="001C317D">
      <w:pPr>
        <w:pStyle w:val="APVMAText"/>
      </w:pPr>
      <w:r w:rsidRPr="001C317D">
        <w:t>From the 2008 JMPR, residues of tebuconazole were observed to concentrate in prunes with a processing factor of 4.7 reported for prunes. Based on the HR of 0.21</w:t>
      </w:r>
      <w:r w:rsidR="001C317D">
        <w:t> </w:t>
      </w:r>
      <w:r w:rsidRPr="001C317D">
        <w:t>mg/kg in plums and the PF of 4.7 the HR-P is estimated to be 0.99</w:t>
      </w:r>
      <w:r w:rsidR="001C317D">
        <w:t> </w:t>
      </w:r>
      <w:r w:rsidRPr="001C317D">
        <w:t>mg/kg in prunes. It is recommended that a tebuconazole MRL for DF 0014 Prunes at T2</w:t>
      </w:r>
      <w:r w:rsidR="001C317D">
        <w:t> </w:t>
      </w:r>
      <w:r w:rsidRPr="001C317D">
        <w:t>mg/kg should be established to cover residues in prunes from the proposed use.</w:t>
      </w:r>
    </w:p>
    <w:p w14:paraId="5472EA15" w14:textId="77777777" w:rsidR="006D36C8" w:rsidRPr="001C317D" w:rsidRDefault="006D36C8" w:rsidP="001C317D">
      <w:pPr>
        <w:pStyle w:val="Heading2"/>
      </w:pPr>
      <w:bookmarkStart w:id="52" w:name="_Toc231889748"/>
      <w:bookmarkStart w:id="53" w:name="_Toc2243851"/>
      <w:bookmarkStart w:id="54" w:name="_Toc138344487"/>
      <w:r w:rsidRPr="001C317D">
        <w:lastRenderedPageBreak/>
        <w:t>Overseas registration and approved label instructions</w:t>
      </w:r>
      <w:bookmarkEnd w:id="52"/>
      <w:bookmarkEnd w:id="53"/>
      <w:bookmarkEnd w:id="54"/>
    </w:p>
    <w:p w14:paraId="1E955A8E" w14:textId="77777777" w:rsidR="001D035F" w:rsidRDefault="006D36C8" w:rsidP="001C317D">
      <w:pPr>
        <w:pStyle w:val="APVMAText"/>
      </w:pPr>
      <w:r w:rsidRPr="001C317D">
        <w:t xml:space="preserve">The applicant indicated that </w:t>
      </w:r>
      <w:r w:rsidR="00AE672E" w:rsidRPr="001C317D">
        <w:t xml:space="preserve">products containing azoxystrobin, difenoconazole, </w:t>
      </w:r>
      <w:proofErr w:type="spellStart"/>
      <w:r w:rsidR="00AE672E" w:rsidRPr="001C317D">
        <w:t>fluopyram</w:t>
      </w:r>
      <w:proofErr w:type="spellEnd"/>
      <w:r w:rsidR="00AE672E" w:rsidRPr="001C317D">
        <w:t xml:space="preserve"> and tebuconazole </w:t>
      </w:r>
      <w:r w:rsidRPr="001C317D">
        <w:t xml:space="preserve">products are registered for use on </w:t>
      </w:r>
      <w:r w:rsidR="004D654E" w:rsidRPr="001C317D">
        <w:t xml:space="preserve">stone </w:t>
      </w:r>
      <w:r w:rsidR="00AE672E" w:rsidRPr="001C317D">
        <w:t>fruits in the United States of America</w:t>
      </w:r>
      <w:r w:rsidR="007B1953" w:rsidRPr="001C317D">
        <w:t>.</w:t>
      </w:r>
    </w:p>
    <w:p w14:paraId="6670D518" w14:textId="77777777" w:rsidR="003B56DE" w:rsidRPr="001C317D" w:rsidRDefault="003B56DE" w:rsidP="003B56DE">
      <w:pPr>
        <w:pStyle w:val="Heading2"/>
      </w:pPr>
      <w:bookmarkStart w:id="55" w:name="_Toc231889749"/>
      <w:bookmarkStart w:id="56" w:name="_Toc2243852"/>
      <w:bookmarkStart w:id="57" w:name="_Toc138344488"/>
      <w:r w:rsidRPr="001C317D">
        <w:t>Codex Alimentarius Commission and overseas MRLs</w:t>
      </w:r>
      <w:bookmarkEnd w:id="55"/>
      <w:bookmarkEnd w:id="56"/>
      <w:bookmarkEnd w:id="57"/>
    </w:p>
    <w:p w14:paraId="4643494C" w14:textId="7233EB13" w:rsidR="003B56DE" w:rsidRDefault="003B56DE" w:rsidP="001C317D">
      <w:pPr>
        <w:pStyle w:val="APVMAText"/>
        <w:sectPr w:rsidR="003B56DE" w:rsidSect="001D035F">
          <w:pgSz w:w="11906" w:h="16838" w:code="9"/>
          <w:pgMar w:top="2835" w:right="1134" w:bottom="1134" w:left="1134" w:header="1701" w:footer="680" w:gutter="0"/>
          <w:cols w:space="708"/>
          <w:docGrid w:linePitch="360"/>
        </w:sectPr>
      </w:pPr>
      <w:r w:rsidRPr="001C317D">
        <w:t>The Codex Alimentarius Commission (Codex) is responsible for establishing Codex Maximum Residue Limits (CXLs) for pesticides.</w:t>
      </w:r>
      <w:r>
        <w:t xml:space="preserve"> </w:t>
      </w:r>
      <w:r w:rsidRPr="001C317D">
        <w:t>Codex CXLs are primarily intended to facilitate international trade and accommodate differences in Good Agricultural Practice (GAP) employed by various countries.</w:t>
      </w:r>
      <w:r>
        <w:t xml:space="preserve"> </w:t>
      </w:r>
      <w:r w:rsidRPr="001C317D">
        <w:t>Some countries may accept Codex CXLs when importing foods.</w:t>
      </w:r>
      <w:r>
        <w:t xml:space="preserve"> </w:t>
      </w:r>
      <w:r w:rsidRPr="001C317D">
        <w:t xml:space="preserve">Azoxystrobin, difenoconazole, </w:t>
      </w:r>
      <w:proofErr w:type="spellStart"/>
      <w:r w:rsidRPr="001C317D">
        <w:t>isopyrazam</w:t>
      </w:r>
      <w:proofErr w:type="spellEnd"/>
      <w:r w:rsidRPr="001C317D">
        <w:t xml:space="preserve"> and tebuconazole have been considered by Codex.</w:t>
      </w:r>
      <w:r>
        <w:t xml:space="preserve"> </w:t>
      </w:r>
      <w:r w:rsidRPr="001C317D">
        <w:t xml:space="preserve">The following relevant Codex CXLs and/or international MRLs have been established for azoxystrobin, difenoconazole, </w:t>
      </w:r>
      <w:proofErr w:type="spellStart"/>
      <w:r w:rsidRPr="001C317D">
        <w:t>isopyrazam</w:t>
      </w:r>
      <w:proofErr w:type="spellEnd"/>
      <w:r w:rsidRPr="001C317D">
        <w:t xml:space="preserve"> and tebuconazole</w:t>
      </w:r>
      <w:r w:rsidR="00F65F46">
        <w:t xml:space="preserve"> (see Tables 4, 5, 6 and 7)</w:t>
      </w:r>
      <w:r w:rsidRPr="001C317D">
        <w:t>:</w:t>
      </w:r>
    </w:p>
    <w:p w14:paraId="3237E5D2" w14:textId="32E85DC8" w:rsidR="006D36C8" w:rsidRPr="001C317D" w:rsidRDefault="006D36C8" w:rsidP="001C317D">
      <w:pPr>
        <w:pStyle w:val="Caption"/>
      </w:pPr>
      <w:bookmarkStart w:id="58" w:name="_Toc252955169"/>
      <w:bookmarkStart w:id="59" w:name="_Hlk137046681"/>
      <w:bookmarkStart w:id="60" w:name="_Toc138344495"/>
      <w:r w:rsidRPr="001C317D">
        <w:lastRenderedPageBreak/>
        <w:t xml:space="preserve">Table </w:t>
      </w:r>
      <w:fldSimple w:instr=" SEQ Table \* ARABIC ">
        <w:r w:rsidR="001C317D" w:rsidRPr="001C317D">
          <w:t>4</w:t>
        </w:r>
      </w:fldSimple>
      <w:r w:rsidRPr="001C317D">
        <w:t>:</w:t>
      </w:r>
      <w:r w:rsidRPr="001C317D">
        <w:tab/>
        <w:t>C</w:t>
      </w:r>
      <w:r w:rsidR="00AE672E" w:rsidRPr="001C317D">
        <w:t>urrent and proposed Australian and overseas MRLs/tolerances for azoxystrobin</w:t>
      </w:r>
      <w:bookmarkEnd w:id="58"/>
      <w:bookmarkEnd w:id="6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638"/>
        <w:gridCol w:w="1859"/>
        <w:gridCol w:w="1859"/>
        <w:gridCol w:w="1859"/>
        <w:gridCol w:w="1705"/>
        <w:gridCol w:w="1859"/>
        <w:gridCol w:w="1865"/>
      </w:tblGrid>
      <w:tr w:rsidR="00AE672E" w:rsidRPr="008D593D" w14:paraId="4F0BCE51" w14:textId="77777777" w:rsidTr="001D035F">
        <w:trPr>
          <w:tblHeader/>
        </w:trPr>
        <w:tc>
          <w:tcPr>
            <w:tcW w:w="661" w:type="pct"/>
            <w:vMerge w:val="restart"/>
            <w:tcBorders>
              <w:top w:val="single" w:sz="4" w:space="0" w:color="auto"/>
              <w:left w:val="nil"/>
              <w:bottom w:val="single" w:sz="4" w:space="0" w:color="291427" w:themeColor="accent5" w:themeShade="80"/>
              <w:right w:val="nil"/>
            </w:tcBorders>
            <w:shd w:val="clear" w:color="auto" w:fill="00686E" w:themeFill="background2" w:themeFillShade="E6"/>
            <w:vAlign w:val="center"/>
          </w:tcPr>
          <w:p w14:paraId="2C7A0BD3" w14:textId="77777777" w:rsidR="00AE672E" w:rsidRPr="001C317D" w:rsidRDefault="00AE672E" w:rsidP="001C317D">
            <w:pPr>
              <w:pStyle w:val="APVMATableHead"/>
            </w:pPr>
            <w:bookmarkStart w:id="61" w:name="_Hlk133924137"/>
            <w:bookmarkEnd w:id="59"/>
            <w:r w:rsidRPr="001C317D">
              <w:t>Commodity</w:t>
            </w:r>
          </w:p>
        </w:tc>
        <w:tc>
          <w:tcPr>
            <w:tcW w:w="4339" w:type="pct"/>
            <w:gridSpan w:val="7"/>
            <w:tcBorders>
              <w:top w:val="single" w:sz="4" w:space="0" w:color="auto"/>
              <w:left w:val="nil"/>
              <w:bottom w:val="single" w:sz="4" w:space="0" w:color="291427" w:themeColor="accent5" w:themeShade="80"/>
              <w:right w:val="nil"/>
            </w:tcBorders>
            <w:shd w:val="clear" w:color="auto" w:fill="00686E" w:themeFill="background2" w:themeFillShade="E6"/>
          </w:tcPr>
          <w:p w14:paraId="61247791" w14:textId="77777777" w:rsidR="00AE672E" w:rsidRPr="001C317D" w:rsidRDefault="00AE672E" w:rsidP="002C47AC">
            <w:pPr>
              <w:pStyle w:val="APVMATableHead"/>
            </w:pPr>
            <w:r w:rsidRPr="001C317D">
              <w:t>Tolerance for residues arising from the use of azoxystrobin (mg/kg)</w:t>
            </w:r>
          </w:p>
        </w:tc>
      </w:tr>
      <w:tr w:rsidR="001D035F" w:rsidRPr="008D593D" w14:paraId="7E084085" w14:textId="77777777" w:rsidTr="00F65F46">
        <w:trPr>
          <w:tblHeader/>
        </w:trPr>
        <w:tc>
          <w:tcPr>
            <w:tcW w:w="661" w:type="pct"/>
            <w:vMerge/>
            <w:tcBorders>
              <w:top w:val="single" w:sz="4" w:space="0" w:color="291427" w:themeColor="accent5" w:themeShade="80"/>
              <w:left w:val="nil"/>
              <w:bottom w:val="single" w:sz="4" w:space="0" w:color="auto"/>
              <w:right w:val="nil"/>
            </w:tcBorders>
            <w:shd w:val="clear" w:color="auto" w:fill="00686E" w:themeFill="background2" w:themeFillShade="E6"/>
          </w:tcPr>
          <w:p w14:paraId="12F6CEB2" w14:textId="77777777" w:rsidR="00AE672E" w:rsidRPr="001C317D" w:rsidRDefault="00AE672E" w:rsidP="001C317D">
            <w:pPr>
              <w:pStyle w:val="APVMATableHead"/>
            </w:pPr>
          </w:p>
        </w:tc>
        <w:tc>
          <w:tcPr>
            <w:tcW w:w="562" w:type="pct"/>
            <w:tcBorders>
              <w:top w:val="single" w:sz="4" w:space="0" w:color="291427" w:themeColor="accent5" w:themeShade="80"/>
              <w:left w:val="nil"/>
              <w:bottom w:val="single" w:sz="4" w:space="0" w:color="auto"/>
              <w:right w:val="nil"/>
            </w:tcBorders>
            <w:shd w:val="clear" w:color="auto" w:fill="00686E" w:themeFill="background2" w:themeFillShade="E6"/>
          </w:tcPr>
          <w:p w14:paraId="21645144" w14:textId="77777777" w:rsidR="00AE672E" w:rsidRPr="001C317D" w:rsidRDefault="00AE672E" w:rsidP="002C47AC">
            <w:pPr>
              <w:pStyle w:val="APVMATableHead"/>
              <w:jc w:val="right"/>
            </w:pPr>
            <w:r w:rsidRPr="001C317D">
              <w:t>Australia</w:t>
            </w:r>
            <w:r w:rsidRPr="00241879">
              <w:rPr>
                <w:vertAlign w:val="superscript"/>
              </w:rPr>
              <w:footnoteReference w:id="4"/>
            </w:r>
          </w:p>
        </w:tc>
        <w:tc>
          <w:tcPr>
            <w:tcW w:w="638" w:type="pct"/>
            <w:tcBorders>
              <w:top w:val="single" w:sz="4" w:space="0" w:color="291427" w:themeColor="accent5" w:themeShade="80"/>
              <w:left w:val="nil"/>
              <w:bottom w:val="single" w:sz="4" w:space="0" w:color="auto"/>
              <w:right w:val="nil"/>
            </w:tcBorders>
            <w:shd w:val="clear" w:color="auto" w:fill="00686E" w:themeFill="background2" w:themeFillShade="E6"/>
          </w:tcPr>
          <w:p w14:paraId="208E65F0" w14:textId="77777777" w:rsidR="00AE672E" w:rsidRPr="001C317D" w:rsidRDefault="00AE672E" w:rsidP="002C47AC">
            <w:pPr>
              <w:pStyle w:val="APVMATableHead"/>
              <w:jc w:val="right"/>
            </w:pPr>
            <w:r w:rsidRPr="001C317D">
              <w:t>Codex</w:t>
            </w:r>
            <w:r w:rsidRPr="00241879">
              <w:rPr>
                <w:vertAlign w:val="superscript"/>
              </w:rPr>
              <w:footnoteReference w:id="5"/>
            </w:r>
          </w:p>
        </w:tc>
        <w:tc>
          <w:tcPr>
            <w:tcW w:w="638" w:type="pct"/>
            <w:tcBorders>
              <w:top w:val="single" w:sz="4" w:space="0" w:color="291427" w:themeColor="accent5" w:themeShade="80"/>
              <w:left w:val="nil"/>
              <w:bottom w:val="single" w:sz="4" w:space="0" w:color="auto"/>
              <w:right w:val="nil"/>
            </w:tcBorders>
            <w:shd w:val="clear" w:color="auto" w:fill="00686E" w:themeFill="background2" w:themeFillShade="E6"/>
          </w:tcPr>
          <w:p w14:paraId="11E95F90" w14:textId="77777777" w:rsidR="00AE672E" w:rsidRPr="001C317D" w:rsidRDefault="00AE672E" w:rsidP="002C47AC">
            <w:pPr>
              <w:pStyle w:val="APVMATableHead"/>
              <w:jc w:val="right"/>
            </w:pPr>
            <w:r w:rsidRPr="001C317D">
              <w:t>China</w:t>
            </w:r>
            <w:r w:rsidRPr="00241879">
              <w:rPr>
                <w:rStyle w:val="FootnoteReference"/>
              </w:rPr>
              <w:footnoteReference w:id="6"/>
            </w:r>
          </w:p>
        </w:tc>
        <w:tc>
          <w:tcPr>
            <w:tcW w:w="638" w:type="pct"/>
            <w:tcBorders>
              <w:top w:val="single" w:sz="4" w:space="0" w:color="291427" w:themeColor="accent5" w:themeShade="80"/>
              <w:left w:val="nil"/>
              <w:bottom w:val="single" w:sz="4" w:space="0" w:color="auto"/>
              <w:right w:val="nil"/>
            </w:tcBorders>
            <w:shd w:val="clear" w:color="auto" w:fill="00686E" w:themeFill="background2" w:themeFillShade="E6"/>
          </w:tcPr>
          <w:p w14:paraId="4103D3B4" w14:textId="77777777" w:rsidR="00AE672E" w:rsidRPr="001C317D" w:rsidRDefault="00AE672E" w:rsidP="002C47AC">
            <w:pPr>
              <w:pStyle w:val="APVMATableHead"/>
              <w:jc w:val="right"/>
            </w:pPr>
            <w:r w:rsidRPr="001C317D">
              <w:t>Hong Kong</w:t>
            </w:r>
            <w:r w:rsidRPr="00241879">
              <w:rPr>
                <w:rStyle w:val="FootnoteReference"/>
              </w:rPr>
              <w:footnoteReference w:id="7"/>
            </w:r>
          </w:p>
        </w:tc>
        <w:tc>
          <w:tcPr>
            <w:tcW w:w="585" w:type="pct"/>
            <w:tcBorders>
              <w:top w:val="single" w:sz="4" w:space="0" w:color="291427" w:themeColor="accent5" w:themeShade="80"/>
              <w:left w:val="nil"/>
              <w:bottom w:val="single" w:sz="4" w:space="0" w:color="auto"/>
              <w:right w:val="nil"/>
            </w:tcBorders>
            <w:shd w:val="clear" w:color="auto" w:fill="00686E" w:themeFill="background2" w:themeFillShade="E6"/>
          </w:tcPr>
          <w:p w14:paraId="4ADD89AA" w14:textId="77777777" w:rsidR="00AE672E" w:rsidRPr="001C317D" w:rsidRDefault="00AE672E" w:rsidP="002C47AC">
            <w:pPr>
              <w:pStyle w:val="APVMATableHead"/>
              <w:jc w:val="right"/>
            </w:pPr>
            <w:r w:rsidRPr="001C317D">
              <w:t>Singapore</w:t>
            </w:r>
            <w:r w:rsidRPr="00241879">
              <w:rPr>
                <w:rStyle w:val="FootnoteReference"/>
              </w:rPr>
              <w:footnoteReference w:id="8"/>
            </w:r>
          </w:p>
        </w:tc>
        <w:tc>
          <w:tcPr>
            <w:tcW w:w="638" w:type="pct"/>
            <w:tcBorders>
              <w:top w:val="single" w:sz="4" w:space="0" w:color="291427" w:themeColor="accent5" w:themeShade="80"/>
              <w:left w:val="nil"/>
              <w:bottom w:val="single" w:sz="4" w:space="0" w:color="auto"/>
              <w:right w:val="nil"/>
            </w:tcBorders>
            <w:shd w:val="clear" w:color="auto" w:fill="00686E" w:themeFill="background2" w:themeFillShade="E6"/>
          </w:tcPr>
          <w:p w14:paraId="2FF72077" w14:textId="77777777" w:rsidR="00AE672E" w:rsidRPr="001C317D" w:rsidRDefault="00AE672E" w:rsidP="002C47AC">
            <w:pPr>
              <w:pStyle w:val="APVMATableHead"/>
              <w:jc w:val="right"/>
            </w:pPr>
            <w:r w:rsidRPr="001C317D">
              <w:t>EU</w:t>
            </w:r>
            <w:r w:rsidRPr="00241879">
              <w:rPr>
                <w:rStyle w:val="FootnoteReference"/>
              </w:rPr>
              <w:footnoteReference w:id="9"/>
            </w:r>
          </w:p>
        </w:tc>
        <w:tc>
          <w:tcPr>
            <w:tcW w:w="639" w:type="pct"/>
            <w:tcBorders>
              <w:top w:val="single" w:sz="4" w:space="0" w:color="291427" w:themeColor="accent5" w:themeShade="80"/>
              <w:left w:val="nil"/>
              <w:bottom w:val="single" w:sz="4" w:space="0" w:color="auto"/>
              <w:right w:val="nil"/>
            </w:tcBorders>
            <w:shd w:val="clear" w:color="auto" w:fill="00686E" w:themeFill="background2" w:themeFillShade="E6"/>
          </w:tcPr>
          <w:p w14:paraId="36A549AD" w14:textId="77777777" w:rsidR="00AE672E" w:rsidRPr="001C317D" w:rsidRDefault="00AE672E" w:rsidP="002C47AC">
            <w:pPr>
              <w:pStyle w:val="APVMATableHead"/>
              <w:jc w:val="right"/>
            </w:pPr>
            <w:r w:rsidRPr="001C317D">
              <w:t>USA</w:t>
            </w:r>
            <w:r w:rsidRPr="00241879">
              <w:rPr>
                <w:rStyle w:val="FootnoteReference"/>
              </w:rPr>
              <w:footnoteReference w:id="10"/>
            </w:r>
          </w:p>
        </w:tc>
      </w:tr>
      <w:tr w:rsidR="00AE672E" w:rsidRPr="008D593D" w14:paraId="4C6E4B12" w14:textId="77777777" w:rsidTr="00F65F46">
        <w:tc>
          <w:tcPr>
            <w:tcW w:w="661" w:type="pct"/>
            <w:tcBorders>
              <w:top w:val="single" w:sz="4" w:space="0" w:color="auto"/>
              <w:left w:val="nil"/>
              <w:bottom w:val="single" w:sz="4" w:space="0" w:color="291427" w:themeColor="accent5" w:themeShade="80"/>
              <w:right w:val="nil"/>
            </w:tcBorders>
          </w:tcPr>
          <w:p w14:paraId="1DA023E2" w14:textId="71FBB66E" w:rsidR="00AE672E" w:rsidRPr="001C317D" w:rsidRDefault="00AE672E" w:rsidP="001C317D">
            <w:pPr>
              <w:pStyle w:val="APVMATableText"/>
            </w:pPr>
            <w:r w:rsidRPr="001C317D">
              <w:t xml:space="preserve">Residue </w:t>
            </w:r>
            <w:r w:rsidR="002C47AC">
              <w:t>d</w:t>
            </w:r>
            <w:r w:rsidRPr="001C317D">
              <w:t>efinition</w:t>
            </w:r>
          </w:p>
        </w:tc>
        <w:tc>
          <w:tcPr>
            <w:tcW w:w="562" w:type="pct"/>
            <w:tcBorders>
              <w:top w:val="single" w:sz="4" w:space="0" w:color="auto"/>
              <w:left w:val="nil"/>
              <w:bottom w:val="single" w:sz="4" w:space="0" w:color="291427" w:themeColor="accent5" w:themeShade="80"/>
              <w:right w:val="nil"/>
            </w:tcBorders>
          </w:tcPr>
          <w:p w14:paraId="238D486E" w14:textId="77777777" w:rsidR="00AE672E" w:rsidRPr="001C317D" w:rsidRDefault="00AE672E" w:rsidP="002C47AC">
            <w:pPr>
              <w:pStyle w:val="APVMATableText"/>
              <w:jc w:val="right"/>
            </w:pPr>
            <w:r w:rsidRPr="001C317D">
              <w:t>Azoxystrobin</w:t>
            </w:r>
          </w:p>
        </w:tc>
        <w:tc>
          <w:tcPr>
            <w:tcW w:w="638" w:type="pct"/>
            <w:tcBorders>
              <w:top w:val="single" w:sz="4" w:space="0" w:color="auto"/>
              <w:left w:val="nil"/>
              <w:bottom w:val="single" w:sz="4" w:space="0" w:color="291427" w:themeColor="accent5" w:themeShade="80"/>
              <w:right w:val="nil"/>
            </w:tcBorders>
          </w:tcPr>
          <w:p w14:paraId="7E2067B1" w14:textId="77777777" w:rsidR="00AE672E" w:rsidRPr="001C317D" w:rsidRDefault="00AE672E" w:rsidP="002C47AC">
            <w:pPr>
              <w:pStyle w:val="APVMATableText"/>
              <w:jc w:val="right"/>
            </w:pPr>
            <w:r w:rsidRPr="001C317D">
              <w:t>Azoxystrobin</w:t>
            </w:r>
          </w:p>
        </w:tc>
        <w:tc>
          <w:tcPr>
            <w:tcW w:w="638" w:type="pct"/>
            <w:tcBorders>
              <w:top w:val="single" w:sz="4" w:space="0" w:color="auto"/>
              <w:left w:val="nil"/>
              <w:bottom w:val="single" w:sz="4" w:space="0" w:color="291427" w:themeColor="accent5" w:themeShade="80"/>
              <w:right w:val="nil"/>
            </w:tcBorders>
          </w:tcPr>
          <w:p w14:paraId="3C36F94C" w14:textId="77777777" w:rsidR="00AE672E" w:rsidRPr="001C317D" w:rsidRDefault="00AE672E" w:rsidP="002C47AC">
            <w:pPr>
              <w:pStyle w:val="APVMATableText"/>
              <w:jc w:val="right"/>
            </w:pPr>
            <w:r w:rsidRPr="001C317D">
              <w:t>Azoxystrobin</w:t>
            </w:r>
          </w:p>
        </w:tc>
        <w:tc>
          <w:tcPr>
            <w:tcW w:w="638" w:type="pct"/>
            <w:tcBorders>
              <w:top w:val="single" w:sz="4" w:space="0" w:color="auto"/>
              <w:left w:val="nil"/>
              <w:bottom w:val="single" w:sz="4" w:space="0" w:color="291427" w:themeColor="accent5" w:themeShade="80"/>
              <w:right w:val="nil"/>
            </w:tcBorders>
          </w:tcPr>
          <w:p w14:paraId="2406A62A" w14:textId="77777777" w:rsidR="00AE672E" w:rsidRPr="001C317D" w:rsidRDefault="00AE672E" w:rsidP="002C47AC">
            <w:pPr>
              <w:pStyle w:val="APVMATableText"/>
              <w:jc w:val="right"/>
            </w:pPr>
            <w:r w:rsidRPr="001C317D">
              <w:t>Azoxystrobin</w:t>
            </w:r>
          </w:p>
        </w:tc>
        <w:tc>
          <w:tcPr>
            <w:tcW w:w="585" w:type="pct"/>
            <w:tcBorders>
              <w:top w:val="single" w:sz="4" w:space="0" w:color="auto"/>
              <w:left w:val="nil"/>
              <w:bottom w:val="single" w:sz="4" w:space="0" w:color="291427" w:themeColor="accent5" w:themeShade="80"/>
              <w:right w:val="nil"/>
            </w:tcBorders>
          </w:tcPr>
          <w:p w14:paraId="2E214CA9" w14:textId="27917C3F" w:rsidR="00AE672E" w:rsidRPr="001C317D" w:rsidRDefault="002C47AC" w:rsidP="002C47AC">
            <w:pPr>
              <w:pStyle w:val="APVMATableText"/>
              <w:jc w:val="right"/>
            </w:pPr>
            <w:r>
              <w:t>–</w:t>
            </w:r>
          </w:p>
        </w:tc>
        <w:tc>
          <w:tcPr>
            <w:tcW w:w="638" w:type="pct"/>
            <w:tcBorders>
              <w:top w:val="single" w:sz="4" w:space="0" w:color="auto"/>
              <w:left w:val="nil"/>
              <w:bottom w:val="single" w:sz="4" w:space="0" w:color="291427" w:themeColor="accent5" w:themeShade="80"/>
              <w:right w:val="nil"/>
            </w:tcBorders>
          </w:tcPr>
          <w:p w14:paraId="4E86BA19" w14:textId="77777777" w:rsidR="00AE672E" w:rsidRPr="001C317D" w:rsidRDefault="00AE672E" w:rsidP="002C47AC">
            <w:pPr>
              <w:pStyle w:val="APVMATableText"/>
              <w:jc w:val="right"/>
            </w:pPr>
            <w:r w:rsidRPr="001C317D">
              <w:t>Azoxystrobin</w:t>
            </w:r>
          </w:p>
        </w:tc>
        <w:tc>
          <w:tcPr>
            <w:tcW w:w="639" w:type="pct"/>
            <w:tcBorders>
              <w:top w:val="single" w:sz="4" w:space="0" w:color="auto"/>
              <w:left w:val="nil"/>
              <w:bottom w:val="single" w:sz="4" w:space="0" w:color="291427" w:themeColor="accent5" w:themeShade="80"/>
              <w:right w:val="nil"/>
            </w:tcBorders>
          </w:tcPr>
          <w:p w14:paraId="219E2E98" w14:textId="77777777" w:rsidR="00AE672E" w:rsidRPr="001C317D" w:rsidRDefault="00AE672E" w:rsidP="002C47AC">
            <w:pPr>
              <w:pStyle w:val="APVMATableText"/>
              <w:jc w:val="right"/>
            </w:pPr>
            <w:r w:rsidRPr="001C317D">
              <w:t>Azoxystrobin</w:t>
            </w:r>
          </w:p>
        </w:tc>
      </w:tr>
      <w:tr w:rsidR="00AE672E" w:rsidRPr="008D593D" w14:paraId="00D5CA4F" w14:textId="77777777" w:rsidTr="001D035F">
        <w:tc>
          <w:tcPr>
            <w:tcW w:w="661" w:type="pct"/>
            <w:tcBorders>
              <w:top w:val="single" w:sz="4" w:space="0" w:color="291427" w:themeColor="accent5" w:themeShade="80"/>
              <w:left w:val="nil"/>
              <w:bottom w:val="single" w:sz="4" w:space="0" w:color="291427" w:themeColor="accent5" w:themeShade="80"/>
              <w:right w:val="nil"/>
            </w:tcBorders>
            <w:vAlign w:val="center"/>
          </w:tcPr>
          <w:p w14:paraId="3E42C0D0" w14:textId="77777777" w:rsidR="00AE672E" w:rsidRPr="001C317D" w:rsidRDefault="00AE672E" w:rsidP="001C317D">
            <w:pPr>
              <w:pStyle w:val="APVMATableText"/>
            </w:pPr>
            <w:r w:rsidRPr="001C317D">
              <w:t>Plums</w:t>
            </w:r>
          </w:p>
        </w:tc>
        <w:tc>
          <w:tcPr>
            <w:tcW w:w="562" w:type="pct"/>
            <w:tcBorders>
              <w:top w:val="single" w:sz="4" w:space="0" w:color="291427" w:themeColor="accent5" w:themeShade="80"/>
              <w:left w:val="nil"/>
              <w:bottom w:val="single" w:sz="4" w:space="0" w:color="291427" w:themeColor="accent5" w:themeShade="80"/>
              <w:right w:val="nil"/>
            </w:tcBorders>
          </w:tcPr>
          <w:p w14:paraId="21EBCC26" w14:textId="77777777" w:rsidR="00AE672E" w:rsidRPr="001C317D" w:rsidRDefault="00AE672E" w:rsidP="002C47AC">
            <w:pPr>
              <w:pStyle w:val="APVMATableText"/>
              <w:jc w:val="right"/>
            </w:pPr>
            <w:r w:rsidRPr="001C317D">
              <w:t>T0.8 (proposed)</w:t>
            </w:r>
          </w:p>
        </w:tc>
        <w:tc>
          <w:tcPr>
            <w:tcW w:w="638" w:type="pct"/>
            <w:tcBorders>
              <w:top w:val="single" w:sz="4" w:space="0" w:color="291427" w:themeColor="accent5" w:themeShade="80"/>
              <w:left w:val="nil"/>
              <w:bottom w:val="single" w:sz="4" w:space="0" w:color="291427" w:themeColor="accent5" w:themeShade="80"/>
              <w:right w:val="nil"/>
            </w:tcBorders>
          </w:tcPr>
          <w:p w14:paraId="6E038673" w14:textId="2EB0749A"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1849CFE8" w14:textId="77777777" w:rsidR="00AE672E" w:rsidRPr="001C317D" w:rsidRDefault="00AE672E" w:rsidP="002C47AC">
            <w:pPr>
              <w:pStyle w:val="APVMATableText"/>
              <w:jc w:val="right"/>
            </w:pPr>
            <w:r w:rsidRPr="001C317D">
              <w:t>2</w:t>
            </w:r>
          </w:p>
        </w:tc>
        <w:tc>
          <w:tcPr>
            <w:tcW w:w="638" w:type="pct"/>
            <w:tcBorders>
              <w:top w:val="single" w:sz="4" w:space="0" w:color="291427" w:themeColor="accent5" w:themeShade="80"/>
              <w:left w:val="nil"/>
              <w:bottom w:val="single" w:sz="4" w:space="0" w:color="291427" w:themeColor="accent5" w:themeShade="80"/>
              <w:right w:val="nil"/>
            </w:tcBorders>
          </w:tcPr>
          <w:p w14:paraId="62B9C0EF" w14:textId="41EC335D" w:rsidR="00AE672E" w:rsidRPr="001C317D" w:rsidRDefault="002C47AC" w:rsidP="002C47AC">
            <w:pPr>
              <w:pStyle w:val="APVMATableText"/>
              <w:jc w:val="right"/>
            </w:pPr>
            <w:r>
              <w:t>–</w:t>
            </w:r>
          </w:p>
        </w:tc>
        <w:tc>
          <w:tcPr>
            <w:tcW w:w="585" w:type="pct"/>
            <w:tcBorders>
              <w:top w:val="single" w:sz="4" w:space="0" w:color="291427" w:themeColor="accent5" w:themeShade="80"/>
              <w:left w:val="nil"/>
              <w:bottom w:val="single" w:sz="4" w:space="0" w:color="291427" w:themeColor="accent5" w:themeShade="80"/>
              <w:right w:val="nil"/>
            </w:tcBorders>
          </w:tcPr>
          <w:p w14:paraId="0B2B7FDF" w14:textId="1C559861"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1ED548D5" w14:textId="77777777" w:rsidR="00AE672E" w:rsidRPr="001C317D" w:rsidRDefault="00AE672E" w:rsidP="002C47AC">
            <w:pPr>
              <w:pStyle w:val="APVMATableText"/>
              <w:jc w:val="right"/>
            </w:pPr>
            <w:r w:rsidRPr="001C317D">
              <w:t>2</w:t>
            </w:r>
          </w:p>
        </w:tc>
        <w:tc>
          <w:tcPr>
            <w:tcW w:w="639" w:type="pct"/>
            <w:tcBorders>
              <w:top w:val="single" w:sz="4" w:space="0" w:color="291427" w:themeColor="accent5" w:themeShade="80"/>
              <w:left w:val="nil"/>
              <w:bottom w:val="single" w:sz="4" w:space="0" w:color="291427" w:themeColor="accent5" w:themeShade="80"/>
              <w:right w:val="nil"/>
            </w:tcBorders>
          </w:tcPr>
          <w:p w14:paraId="7757DD68" w14:textId="5B9191EA" w:rsidR="00AE672E" w:rsidRPr="001C317D" w:rsidRDefault="002C47AC" w:rsidP="002C47AC">
            <w:pPr>
              <w:pStyle w:val="APVMATableText"/>
              <w:jc w:val="right"/>
            </w:pPr>
            <w:r>
              <w:t>–</w:t>
            </w:r>
          </w:p>
        </w:tc>
      </w:tr>
      <w:tr w:rsidR="00AE672E" w:rsidRPr="008D593D" w14:paraId="614EA178" w14:textId="77777777" w:rsidTr="001D035F">
        <w:tc>
          <w:tcPr>
            <w:tcW w:w="661" w:type="pct"/>
            <w:tcBorders>
              <w:top w:val="single" w:sz="4" w:space="0" w:color="291427" w:themeColor="accent5" w:themeShade="80"/>
              <w:left w:val="nil"/>
              <w:bottom w:val="single" w:sz="4" w:space="0" w:color="291427" w:themeColor="accent5" w:themeShade="80"/>
              <w:right w:val="nil"/>
            </w:tcBorders>
            <w:vAlign w:val="center"/>
          </w:tcPr>
          <w:p w14:paraId="24BEDEFD" w14:textId="77777777" w:rsidR="00AE672E" w:rsidRPr="001C317D" w:rsidRDefault="00AE672E" w:rsidP="001C317D">
            <w:pPr>
              <w:pStyle w:val="APVMATableText"/>
            </w:pPr>
            <w:r w:rsidRPr="001C317D">
              <w:t>Stone fruits (group)</w:t>
            </w:r>
          </w:p>
        </w:tc>
        <w:tc>
          <w:tcPr>
            <w:tcW w:w="562" w:type="pct"/>
            <w:tcBorders>
              <w:top w:val="single" w:sz="4" w:space="0" w:color="291427" w:themeColor="accent5" w:themeShade="80"/>
              <w:left w:val="nil"/>
              <w:bottom w:val="single" w:sz="4" w:space="0" w:color="291427" w:themeColor="accent5" w:themeShade="80"/>
              <w:right w:val="nil"/>
            </w:tcBorders>
          </w:tcPr>
          <w:p w14:paraId="497D62C8" w14:textId="243356CF"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6A4373F3" w14:textId="77777777" w:rsidR="00AE672E" w:rsidRPr="001C317D" w:rsidRDefault="00AE672E" w:rsidP="002C47AC">
            <w:pPr>
              <w:pStyle w:val="APVMATableText"/>
              <w:jc w:val="right"/>
            </w:pPr>
            <w:r w:rsidRPr="001C317D">
              <w:t>2</w:t>
            </w:r>
          </w:p>
        </w:tc>
        <w:tc>
          <w:tcPr>
            <w:tcW w:w="638" w:type="pct"/>
            <w:tcBorders>
              <w:top w:val="single" w:sz="4" w:space="0" w:color="291427" w:themeColor="accent5" w:themeShade="80"/>
              <w:left w:val="nil"/>
              <w:bottom w:val="single" w:sz="4" w:space="0" w:color="291427" w:themeColor="accent5" w:themeShade="80"/>
              <w:right w:val="nil"/>
            </w:tcBorders>
          </w:tcPr>
          <w:p w14:paraId="38C418FB" w14:textId="7669C265"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55FF17A5" w14:textId="77777777" w:rsidR="00AE672E" w:rsidRPr="001C317D" w:rsidRDefault="00AE672E" w:rsidP="002C47AC">
            <w:pPr>
              <w:pStyle w:val="APVMATableText"/>
              <w:jc w:val="right"/>
            </w:pPr>
            <w:r w:rsidRPr="001C317D">
              <w:t>2</w:t>
            </w:r>
          </w:p>
        </w:tc>
        <w:tc>
          <w:tcPr>
            <w:tcW w:w="585" w:type="pct"/>
            <w:tcBorders>
              <w:top w:val="single" w:sz="4" w:space="0" w:color="291427" w:themeColor="accent5" w:themeShade="80"/>
              <w:left w:val="nil"/>
              <w:bottom w:val="single" w:sz="4" w:space="0" w:color="291427" w:themeColor="accent5" w:themeShade="80"/>
              <w:right w:val="nil"/>
            </w:tcBorders>
          </w:tcPr>
          <w:p w14:paraId="363AF334" w14:textId="68A07E03"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0E90D8B4" w14:textId="0EE59429" w:rsidR="00AE672E" w:rsidRPr="001C317D" w:rsidRDefault="002C47AC" w:rsidP="002C47AC">
            <w:pPr>
              <w:pStyle w:val="APVMATableText"/>
              <w:jc w:val="right"/>
            </w:pPr>
            <w:r>
              <w:t>–</w:t>
            </w:r>
          </w:p>
        </w:tc>
        <w:tc>
          <w:tcPr>
            <w:tcW w:w="639" w:type="pct"/>
            <w:tcBorders>
              <w:top w:val="single" w:sz="4" w:space="0" w:color="291427" w:themeColor="accent5" w:themeShade="80"/>
              <w:left w:val="nil"/>
              <w:bottom w:val="single" w:sz="4" w:space="0" w:color="291427" w:themeColor="accent5" w:themeShade="80"/>
              <w:right w:val="nil"/>
            </w:tcBorders>
          </w:tcPr>
          <w:p w14:paraId="65D61774" w14:textId="77777777" w:rsidR="00AE672E" w:rsidRPr="001C317D" w:rsidRDefault="00AE672E" w:rsidP="002C47AC">
            <w:pPr>
              <w:pStyle w:val="APVMATableText"/>
              <w:jc w:val="right"/>
            </w:pPr>
            <w:r w:rsidRPr="001C317D">
              <w:t>2</w:t>
            </w:r>
          </w:p>
        </w:tc>
      </w:tr>
    </w:tbl>
    <w:p w14:paraId="23761AE1" w14:textId="4DE3C460" w:rsidR="00AE672E" w:rsidRDefault="00AE672E" w:rsidP="00AE672E">
      <w:pPr>
        <w:pStyle w:val="Caption"/>
      </w:pPr>
      <w:bookmarkStart w:id="63" w:name="_Toc138344496"/>
      <w:bookmarkEnd w:id="61"/>
      <w:r>
        <w:lastRenderedPageBreak/>
        <w:t xml:space="preserve">Table </w:t>
      </w:r>
      <w:fldSimple w:instr=" SEQ Table \* ARABIC ">
        <w:r w:rsidR="001C317D">
          <w:rPr>
            <w:noProof/>
          </w:rPr>
          <w:t>5</w:t>
        </w:r>
      </w:fldSimple>
      <w:r>
        <w:t>:</w:t>
      </w:r>
      <w:r>
        <w:tab/>
        <w:t>Current and proposed Australian and overseas MRLs/tolerances for difenoconazole</w:t>
      </w:r>
      <w:bookmarkEnd w:id="6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888"/>
        <w:gridCol w:w="1888"/>
        <w:gridCol w:w="1827"/>
        <w:gridCol w:w="1859"/>
        <w:gridCol w:w="1696"/>
        <w:gridCol w:w="1827"/>
        <w:gridCol w:w="1894"/>
      </w:tblGrid>
      <w:tr w:rsidR="00AE672E" w:rsidRPr="008D593D" w14:paraId="22E06009" w14:textId="77777777" w:rsidTr="001D035F">
        <w:trPr>
          <w:tblHeader/>
        </w:trPr>
        <w:tc>
          <w:tcPr>
            <w:tcW w:w="580" w:type="pct"/>
            <w:vMerge w:val="restart"/>
            <w:tcBorders>
              <w:top w:val="single" w:sz="4" w:space="0" w:color="auto"/>
              <w:left w:val="nil"/>
              <w:bottom w:val="single" w:sz="12" w:space="0" w:color="291427" w:themeColor="accent5" w:themeShade="80"/>
              <w:right w:val="nil"/>
            </w:tcBorders>
            <w:shd w:val="clear" w:color="auto" w:fill="00686E" w:themeFill="background2" w:themeFillShade="E6"/>
            <w:tcMar>
              <w:right w:w="57" w:type="dxa"/>
            </w:tcMar>
            <w:vAlign w:val="center"/>
          </w:tcPr>
          <w:p w14:paraId="32163FF7" w14:textId="77777777" w:rsidR="00AE672E" w:rsidRPr="001C317D" w:rsidRDefault="00AE672E" w:rsidP="001C317D">
            <w:pPr>
              <w:pStyle w:val="APVMATableHead"/>
            </w:pPr>
            <w:r w:rsidRPr="001C317D">
              <w:t>Commodity</w:t>
            </w:r>
          </w:p>
        </w:tc>
        <w:tc>
          <w:tcPr>
            <w:tcW w:w="4420" w:type="pct"/>
            <w:gridSpan w:val="7"/>
            <w:tcBorders>
              <w:top w:val="single" w:sz="4" w:space="0" w:color="auto"/>
              <w:left w:val="nil"/>
              <w:bottom w:val="single" w:sz="4" w:space="0" w:color="291427" w:themeColor="accent5" w:themeShade="80"/>
              <w:right w:val="nil"/>
            </w:tcBorders>
            <w:shd w:val="clear" w:color="auto" w:fill="00686E" w:themeFill="background2" w:themeFillShade="E6"/>
          </w:tcPr>
          <w:p w14:paraId="1AA0B8DB" w14:textId="77777777" w:rsidR="00AE672E" w:rsidRPr="001C317D" w:rsidRDefault="00AE672E" w:rsidP="002C47AC">
            <w:pPr>
              <w:pStyle w:val="APVMATableHead"/>
            </w:pPr>
            <w:r w:rsidRPr="001C317D">
              <w:t>Tolerance for residues arising from the use of difenoconazole (mg/kg)</w:t>
            </w:r>
          </w:p>
        </w:tc>
      </w:tr>
      <w:tr w:rsidR="00AE672E" w:rsidRPr="008D593D" w14:paraId="5504E474" w14:textId="77777777" w:rsidTr="00F65F46">
        <w:trPr>
          <w:tblHeader/>
        </w:trPr>
        <w:tc>
          <w:tcPr>
            <w:tcW w:w="580" w:type="pct"/>
            <w:vMerge/>
            <w:tcBorders>
              <w:top w:val="single" w:sz="4" w:space="0" w:color="291427" w:themeColor="accent5" w:themeShade="80"/>
              <w:left w:val="nil"/>
              <w:bottom w:val="single" w:sz="4" w:space="0" w:color="auto"/>
              <w:right w:val="nil"/>
            </w:tcBorders>
            <w:shd w:val="clear" w:color="auto" w:fill="00686E" w:themeFill="background2" w:themeFillShade="E6"/>
          </w:tcPr>
          <w:p w14:paraId="14D0EEC5" w14:textId="77777777" w:rsidR="00AE672E" w:rsidRPr="001C317D" w:rsidRDefault="00AE672E" w:rsidP="001C317D">
            <w:pPr>
              <w:pStyle w:val="APVMATableHead"/>
            </w:pPr>
          </w:p>
        </w:tc>
        <w:tc>
          <w:tcPr>
            <w:tcW w:w="648" w:type="pct"/>
            <w:tcBorders>
              <w:top w:val="single" w:sz="4" w:space="0" w:color="291427" w:themeColor="accent5" w:themeShade="80"/>
              <w:left w:val="nil"/>
              <w:bottom w:val="single" w:sz="4" w:space="0" w:color="auto"/>
              <w:right w:val="nil"/>
            </w:tcBorders>
            <w:shd w:val="clear" w:color="auto" w:fill="00686E" w:themeFill="background2" w:themeFillShade="E6"/>
          </w:tcPr>
          <w:p w14:paraId="2E64C991" w14:textId="1315DADF" w:rsidR="00AE672E" w:rsidRPr="001C317D" w:rsidRDefault="00AE672E" w:rsidP="002C47AC">
            <w:pPr>
              <w:pStyle w:val="APVMATableHead"/>
              <w:jc w:val="right"/>
            </w:pPr>
            <w:r w:rsidRPr="001C317D">
              <w:t>Australia</w:t>
            </w:r>
            <w:r w:rsidRPr="00241879">
              <w:rPr>
                <w:vertAlign w:val="superscript"/>
              </w:rPr>
              <w:footnoteReference w:id="11"/>
            </w:r>
          </w:p>
        </w:tc>
        <w:tc>
          <w:tcPr>
            <w:tcW w:w="648" w:type="pct"/>
            <w:tcBorders>
              <w:top w:val="single" w:sz="4" w:space="0" w:color="291427" w:themeColor="accent5" w:themeShade="80"/>
              <w:left w:val="nil"/>
              <w:bottom w:val="single" w:sz="4" w:space="0" w:color="auto"/>
              <w:right w:val="nil"/>
            </w:tcBorders>
            <w:shd w:val="clear" w:color="auto" w:fill="00686E" w:themeFill="background2" w:themeFillShade="E6"/>
          </w:tcPr>
          <w:p w14:paraId="6B959CE2" w14:textId="6FDE9E35" w:rsidR="00AE672E" w:rsidRPr="001C317D" w:rsidRDefault="00AE672E" w:rsidP="002C47AC">
            <w:pPr>
              <w:pStyle w:val="APVMATableHead"/>
              <w:jc w:val="right"/>
            </w:pPr>
            <w:r w:rsidRPr="001C317D">
              <w:t>Codex</w:t>
            </w:r>
            <w:r w:rsidRPr="00241879">
              <w:rPr>
                <w:vertAlign w:val="superscript"/>
              </w:rPr>
              <w:footnoteReference w:id="12"/>
            </w:r>
          </w:p>
        </w:tc>
        <w:tc>
          <w:tcPr>
            <w:tcW w:w="627" w:type="pct"/>
            <w:tcBorders>
              <w:top w:val="single" w:sz="4" w:space="0" w:color="291427" w:themeColor="accent5" w:themeShade="80"/>
              <w:left w:val="nil"/>
              <w:bottom w:val="single" w:sz="4" w:space="0" w:color="auto"/>
              <w:right w:val="nil"/>
            </w:tcBorders>
            <w:shd w:val="clear" w:color="auto" w:fill="00686E" w:themeFill="background2" w:themeFillShade="E6"/>
          </w:tcPr>
          <w:p w14:paraId="65B088CE" w14:textId="7E5333E6" w:rsidR="00AE672E" w:rsidRPr="001C317D" w:rsidRDefault="00AE672E" w:rsidP="002C47AC">
            <w:pPr>
              <w:pStyle w:val="APVMATableHead"/>
              <w:jc w:val="right"/>
            </w:pPr>
            <w:r w:rsidRPr="001C317D">
              <w:t>China</w:t>
            </w:r>
            <w:r w:rsidRPr="00241879">
              <w:rPr>
                <w:rStyle w:val="FootnoteReference"/>
              </w:rPr>
              <w:footnoteReference w:id="13"/>
            </w:r>
          </w:p>
        </w:tc>
        <w:tc>
          <w:tcPr>
            <w:tcW w:w="638" w:type="pct"/>
            <w:tcBorders>
              <w:top w:val="single" w:sz="4" w:space="0" w:color="291427" w:themeColor="accent5" w:themeShade="80"/>
              <w:left w:val="nil"/>
              <w:bottom w:val="single" w:sz="4" w:space="0" w:color="auto"/>
              <w:right w:val="nil"/>
            </w:tcBorders>
            <w:shd w:val="clear" w:color="auto" w:fill="00686E" w:themeFill="background2" w:themeFillShade="E6"/>
          </w:tcPr>
          <w:p w14:paraId="407D26AB" w14:textId="51CFFB5B" w:rsidR="00AE672E" w:rsidRPr="001C317D" w:rsidRDefault="00AE672E" w:rsidP="002C47AC">
            <w:pPr>
              <w:pStyle w:val="APVMATableHead"/>
              <w:jc w:val="right"/>
            </w:pPr>
            <w:r w:rsidRPr="001C317D">
              <w:t>Hong Kong</w:t>
            </w:r>
            <w:r w:rsidRPr="00241879">
              <w:rPr>
                <w:rStyle w:val="FootnoteReference"/>
              </w:rPr>
              <w:footnoteReference w:id="14"/>
            </w:r>
          </w:p>
        </w:tc>
        <w:tc>
          <w:tcPr>
            <w:tcW w:w="582" w:type="pct"/>
            <w:tcBorders>
              <w:top w:val="single" w:sz="4" w:space="0" w:color="291427" w:themeColor="accent5" w:themeShade="80"/>
              <w:left w:val="nil"/>
              <w:bottom w:val="single" w:sz="4" w:space="0" w:color="auto"/>
              <w:right w:val="nil"/>
            </w:tcBorders>
            <w:shd w:val="clear" w:color="auto" w:fill="00686E" w:themeFill="background2" w:themeFillShade="E6"/>
          </w:tcPr>
          <w:p w14:paraId="1C41542D" w14:textId="753731E7" w:rsidR="00AE672E" w:rsidRPr="001C317D" w:rsidRDefault="00AE672E" w:rsidP="002C47AC">
            <w:pPr>
              <w:pStyle w:val="APVMATableHead"/>
              <w:jc w:val="right"/>
            </w:pPr>
            <w:r w:rsidRPr="001C317D">
              <w:t>Singapore</w:t>
            </w:r>
            <w:r w:rsidRPr="00241879">
              <w:rPr>
                <w:rStyle w:val="FootnoteReference"/>
              </w:rPr>
              <w:footnoteReference w:id="15"/>
            </w:r>
          </w:p>
        </w:tc>
        <w:tc>
          <w:tcPr>
            <w:tcW w:w="627" w:type="pct"/>
            <w:tcBorders>
              <w:top w:val="single" w:sz="4" w:space="0" w:color="291427" w:themeColor="accent5" w:themeShade="80"/>
              <w:left w:val="nil"/>
              <w:bottom w:val="single" w:sz="4" w:space="0" w:color="auto"/>
              <w:right w:val="nil"/>
            </w:tcBorders>
            <w:shd w:val="clear" w:color="auto" w:fill="00686E" w:themeFill="background2" w:themeFillShade="E6"/>
          </w:tcPr>
          <w:p w14:paraId="114704F6" w14:textId="0D0C6391" w:rsidR="00AE672E" w:rsidRPr="001C317D" w:rsidRDefault="00AE672E" w:rsidP="002C47AC">
            <w:pPr>
              <w:pStyle w:val="APVMATableHead"/>
              <w:jc w:val="right"/>
            </w:pPr>
            <w:r w:rsidRPr="001C317D">
              <w:t>EU</w:t>
            </w:r>
            <w:r w:rsidRPr="00241879">
              <w:rPr>
                <w:rStyle w:val="FootnoteReference"/>
              </w:rPr>
              <w:footnoteReference w:id="16"/>
            </w:r>
          </w:p>
        </w:tc>
        <w:tc>
          <w:tcPr>
            <w:tcW w:w="650" w:type="pct"/>
            <w:tcBorders>
              <w:top w:val="single" w:sz="4" w:space="0" w:color="291427" w:themeColor="accent5" w:themeShade="80"/>
              <w:left w:val="nil"/>
              <w:bottom w:val="single" w:sz="4" w:space="0" w:color="auto"/>
              <w:right w:val="nil"/>
            </w:tcBorders>
            <w:shd w:val="clear" w:color="auto" w:fill="00686E" w:themeFill="background2" w:themeFillShade="E6"/>
          </w:tcPr>
          <w:p w14:paraId="6C961733" w14:textId="5E9E27EF" w:rsidR="00AE672E" w:rsidRPr="001C317D" w:rsidRDefault="00AE672E" w:rsidP="002C47AC">
            <w:pPr>
              <w:pStyle w:val="APVMATableHead"/>
              <w:jc w:val="right"/>
            </w:pPr>
            <w:r w:rsidRPr="001C317D">
              <w:t>USA</w:t>
            </w:r>
            <w:r w:rsidRPr="00241879">
              <w:rPr>
                <w:rStyle w:val="FootnoteReference"/>
              </w:rPr>
              <w:footnoteReference w:id="17"/>
            </w:r>
          </w:p>
        </w:tc>
      </w:tr>
      <w:tr w:rsidR="00AE672E" w:rsidRPr="008D593D" w14:paraId="79EBA6B6" w14:textId="77777777" w:rsidTr="00F65F46">
        <w:tc>
          <w:tcPr>
            <w:tcW w:w="580" w:type="pct"/>
            <w:tcBorders>
              <w:top w:val="single" w:sz="4" w:space="0" w:color="auto"/>
              <w:left w:val="nil"/>
              <w:bottom w:val="single" w:sz="4" w:space="0" w:color="291427" w:themeColor="accent5" w:themeShade="80"/>
              <w:right w:val="nil"/>
            </w:tcBorders>
          </w:tcPr>
          <w:p w14:paraId="37BD29C1" w14:textId="70D84A1B" w:rsidR="00AE672E" w:rsidRPr="001C317D" w:rsidRDefault="00AE672E" w:rsidP="001C317D">
            <w:pPr>
              <w:pStyle w:val="APVMATableText"/>
            </w:pPr>
            <w:r w:rsidRPr="001C317D">
              <w:t xml:space="preserve">Residue </w:t>
            </w:r>
            <w:r w:rsidR="002C47AC">
              <w:t>d</w:t>
            </w:r>
            <w:r w:rsidRPr="001C317D">
              <w:t>efinition</w:t>
            </w:r>
          </w:p>
        </w:tc>
        <w:tc>
          <w:tcPr>
            <w:tcW w:w="648" w:type="pct"/>
            <w:tcBorders>
              <w:top w:val="single" w:sz="4" w:space="0" w:color="auto"/>
              <w:left w:val="nil"/>
              <w:bottom w:val="single" w:sz="4" w:space="0" w:color="291427" w:themeColor="accent5" w:themeShade="80"/>
              <w:right w:val="nil"/>
            </w:tcBorders>
            <w:tcMar>
              <w:left w:w="28" w:type="dxa"/>
              <w:right w:w="28" w:type="dxa"/>
            </w:tcMar>
          </w:tcPr>
          <w:p w14:paraId="6EF7B55D" w14:textId="77777777" w:rsidR="00AE672E" w:rsidRPr="001C317D" w:rsidRDefault="00AE672E" w:rsidP="002C47AC">
            <w:pPr>
              <w:pStyle w:val="APVMATableText"/>
              <w:jc w:val="right"/>
            </w:pPr>
            <w:r w:rsidRPr="001C317D">
              <w:t>Difenoconazole</w:t>
            </w:r>
          </w:p>
        </w:tc>
        <w:tc>
          <w:tcPr>
            <w:tcW w:w="648" w:type="pct"/>
            <w:tcBorders>
              <w:top w:val="single" w:sz="4" w:space="0" w:color="auto"/>
              <w:left w:val="nil"/>
              <w:bottom w:val="single" w:sz="4" w:space="0" w:color="291427" w:themeColor="accent5" w:themeShade="80"/>
              <w:right w:val="nil"/>
            </w:tcBorders>
            <w:tcMar>
              <w:left w:w="28" w:type="dxa"/>
              <w:right w:w="28" w:type="dxa"/>
            </w:tcMar>
          </w:tcPr>
          <w:p w14:paraId="2FF5B256" w14:textId="77777777" w:rsidR="00AE672E" w:rsidRPr="001C317D" w:rsidRDefault="00AE672E" w:rsidP="002C47AC">
            <w:pPr>
              <w:pStyle w:val="APVMATableText"/>
              <w:jc w:val="right"/>
            </w:pPr>
            <w:r w:rsidRPr="001C317D">
              <w:t>Difenoconazole</w:t>
            </w:r>
          </w:p>
        </w:tc>
        <w:tc>
          <w:tcPr>
            <w:tcW w:w="627" w:type="pct"/>
            <w:tcBorders>
              <w:top w:val="single" w:sz="4" w:space="0" w:color="auto"/>
              <w:left w:val="nil"/>
              <w:bottom w:val="single" w:sz="4" w:space="0" w:color="291427" w:themeColor="accent5" w:themeShade="80"/>
              <w:right w:val="nil"/>
            </w:tcBorders>
            <w:tcMar>
              <w:left w:w="28" w:type="dxa"/>
              <w:right w:w="28" w:type="dxa"/>
            </w:tcMar>
          </w:tcPr>
          <w:p w14:paraId="7FC76953" w14:textId="77777777" w:rsidR="00AE672E" w:rsidRPr="001C317D" w:rsidRDefault="00AE672E" w:rsidP="002C47AC">
            <w:pPr>
              <w:pStyle w:val="APVMATableText"/>
              <w:jc w:val="right"/>
            </w:pPr>
            <w:r w:rsidRPr="001C317D">
              <w:t>Difenoconazole</w:t>
            </w:r>
          </w:p>
        </w:tc>
        <w:tc>
          <w:tcPr>
            <w:tcW w:w="638" w:type="pct"/>
            <w:tcBorders>
              <w:top w:val="single" w:sz="4" w:space="0" w:color="auto"/>
              <w:left w:val="nil"/>
              <w:bottom w:val="single" w:sz="4" w:space="0" w:color="291427" w:themeColor="accent5" w:themeShade="80"/>
              <w:right w:val="nil"/>
            </w:tcBorders>
            <w:tcMar>
              <w:left w:w="28" w:type="dxa"/>
              <w:right w:w="28" w:type="dxa"/>
            </w:tcMar>
          </w:tcPr>
          <w:p w14:paraId="20209E6C" w14:textId="77777777" w:rsidR="00AE672E" w:rsidRPr="001C317D" w:rsidRDefault="00AE672E" w:rsidP="002C47AC">
            <w:pPr>
              <w:pStyle w:val="APVMATableText"/>
              <w:jc w:val="right"/>
            </w:pPr>
            <w:r w:rsidRPr="001C317D">
              <w:t>Difenoconazole</w:t>
            </w:r>
          </w:p>
        </w:tc>
        <w:tc>
          <w:tcPr>
            <w:tcW w:w="582" w:type="pct"/>
            <w:tcBorders>
              <w:top w:val="single" w:sz="4" w:space="0" w:color="auto"/>
              <w:left w:val="nil"/>
              <w:bottom w:val="single" w:sz="4" w:space="0" w:color="291427" w:themeColor="accent5" w:themeShade="80"/>
              <w:right w:val="nil"/>
            </w:tcBorders>
            <w:tcMar>
              <w:left w:w="28" w:type="dxa"/>
              <w:right w:w="28" w:type="dxa"/>
            </w:tcMar>
          </w:tcPr>
          <w:p w14:paraId="1E6A6616" w14:textId="59DEF64D" w:rsidR="00AE672E" w:rsidRPr="001C317D" w:rsidRDefault="002C47AC" w:rsidP="002C47AC">
            <w:pPr>
              <w:pStyle w:val="APVMATableText"/>
              <w:jc w:val="right"/>
            </w:pPr>
            <w:r>
              <w:t>–</w:t>
            </w:r>
          </w:p>
        </w:tc>
        <w:tc>
          <w:tcPr>
            <w:tcW w:w="627" w:type="pct"/>
            <w:tcBorders>
              <w:top w:val="single" w:sz="4" w:space="0" w:color="auto"/>
              <w:left w:val="nil"/>
              <w:bottom w:val="single" w:sz="4" w:space="0" w:color="291427" w:themeColor="accent5" w:themeShade="80"/>
              <w:right w:val="nil"/>
            </w:tcBorders>
            <w:tcMar>
              <w:left w:w="28" w:type="dxa"/>
              <w:right w:w="28" w:type="dxa"/>
            </w:tcMar>
          </w:tcPr>
          <w:p w14:paraId="72DB0D17" w14:textId="77777777" w:rsidR="00AE672E" w:rsidRPr="001C317D" w:rsidRDefault="00AE672E" w:rsidP="002C47AC">
            <w:pPr>
              <w:pStyle w:val="APVMATableText"/>
              <w:jc w:val="right"/>
            </w:pPr>
            <w:r w:rsidRPr="001C317D">
              <w:t>Difenoconazole</w:t>
            </w:r>
          </w:p>
        </w:tc>
        <w:tc>
          <w:tcPr>
            <w:tcW w:w="650" w:type="pct"/>
            <w:tcBorders>
              <w:top w:val="single" w:sz="4" w:space="0" w:color="auto"/>
              <w:left w:val="nil"/>
              <w:bottom w:val="single" w:sz="4" w:space="0" w:color="291427" w:themeColor="accent5" w:themeShade="80"/>
              <w:right w:val="nil"/>
            </w:tcBorders>
            <w:tcMar>
              <w:left w:w="28" w:type="dxa"/>
              <w:right w:w="28" w:type="dxa"/>
            </w:tcMar>
          </w:tcPr>
          <w:p w14:paraId="589226E9" w14:textId="77777777" w:rsidR="00AE672E" w:rsidRPr="001C317D" w:rsidRDefault="00AE672E" w:rsidP="002C47AC">
            <w:pPr>
              <w:pStyle w:val="APVMATableText"/>
              <w:jc w:val="right"/>
            </w:pPr>
            <w:r w:rsidRPr="001C317D">
              <w:t>Difenoconazole</w:t>
            </w:r>
          </w:p>
        </w:tc>
      </w:tr>
      <w:tr w:rsidR="00AE672E" w:rsidRPr="008D593D" w14:paraId="2B4510C8" w14:textId="77777777" w:rsidTr="001D035F">
        <w:tc>
          <w:tcPr>
            <w:tcW w:w="580" w:type="pct"/>
            <w:tcBorders>
              <w:top w:val="single" w:sz="4" w:space="0" w:color="291427" w:themeColor="accent5" w:themeShade="80"/>
              <w:left w:val="nil"/>
              <w:bottom w:val="single" w:sz="4" w:space="0" w:color="291427" w:themeColor="accent5" w:themeShade="80"/>
              <w:right w:val="nil"/>
            </w:tcBorders>
            <w:vAlign w:val="center"/>
          </w:tcPr>
          <w:p w14:paraId="60678DCD" w14:textId="77777777" w:rsidR="00AE672E" w:rsidRPr="001C317D" w:rsidRDefault="00AE672E" w:rsidP="001C317D">
            <w:pPr>
              <w:pStyle w:val="APVMATableText"/>
            </w:pPr>
            <w:r w:rsidRPr="001C317D">
              <w:t>Plums</w:t>
            </w:r>
          </w:p>
        </w:tc>
        <w:tc>
          <w:tcPr>
            <w:tcW w:w="648" w:type="pct"/>
            <w:tcBorders>
              <w:top w:val="single" w:sz="4" w:space="0" w:color="291427" w:themeColor="accent5" w:themeShade="80"/>
              <w:left w:val="nil"/>
              <w:bottom w:val="single" w:sz="4" w:space="0" w:color="291427" w:themeColor="accent5" w:themeShade="80"/>
              <w:right w:val="nil"/>
            </w:tcBorders>
          </w:tcPr>
          <w:p w14:paraId="7FB7CAB5" w14:textId="77777777" w:rsidR="00AE672E" w:rsidRPr="001C317D" w:rsidRDefault="00AE672E" w:rsidP="002C47AC">
            <w:pPr>
              <w:pStyle w:val="APVMATableText"/>
              <w:jc w:val="right"/>
            </w:pPr>
            <w:r w:rsidRPr="001C317D">
              <w:t>T0.5 (proposed)</w:t>
            </w:r>
          </w:p>
        </w:tc>
        <w:tc>
          <w:tcPr>
            <w:tcW w:w="648" w:type="pct"/>
            <w:tcBorders>
              <w:top w:val="single" w:sz="4" w:space="0" w:color="291427" w:themeColor="accent5" w:themeShade="80"/>
              <w:left w:val="nil"/>
              <w:bottom w:val="single" w:sz="4" w:space="0" w:color="291427" w:themeColor="accent5" w:themeShade="80"/>
              <w:right w:val="nil"/>
            </w:tcBorders>
          </w:tcPr>
          <w:p w14:paraId="48E88EC5" w14:textId="77777777" w:rsidR="00AE672E" w:rsidRPr="001C317D" w:rsidRDefault="00AE672E" w:rsidP="002C47AC">
            <w:pPr>
              <w:pStyle w:val="APVMATableText"/>
              <w:jc w:val="right"/>
            </w:pPr>
            <w:r w:rsidRPr="001C317D">
              <w:t>0.2 (subgroup)</w:t>
            </w:r>
          </w:p>
        </w:tc>
        <w:tc>
          <w:tcPr>
            <w:tcW w:w="627" w:type="pct"/>
            <w:tcBorders>
              <w:top w:val="single" w:sz="4" w:space="0" w:color="291427" w:themeColor="accent5" w:themeShade="80"/>
              <w:left w:val="nil"/>
              <w:bottom w:val="single" w:sz="4" w:space="0" w:color="291427" w:themeColor="accent5" w:themeShade="80"/>
              <w:right w:val="nil"/>
            </w:tcBorders>
          </w:tcPr>
          <w:p w14:paraId="242DF249" w14:textId="58191403" w:rsidR="00AE672E" w:rsidRPr="001C317D" w:rsidRDefault="00AE672E" w:rsidP="002C47AC">
            <w:pPr>
              <w:pStyle w:val="APVMATableText"/>
              <w:jc w:val="right"/>
            </w:pPr>
            <w:r w:rsidRPr="001C317D">
              <w:t>0.2</w:t>
            </w:r>
            <w:r w:rsidR="001C317D">
              <w:t xml:space="preserve"> </w:t>
            </w:r>
            <w:r w:rsidRPr="001C317D">
              <w:t>(including prunes)</w:t>
            </w:r>
          </w:p>
        </w:tc>
        <w:tc>
          <w:tcPr>
            <w:tcW w:w="638" w:type="pct"/>
            <w:tcBorders>
              <w:top w:val="single" w:sz="4" w:space="0" w:color="291427" w:themeColor="accent5" w:themeShade="80"/>
              <w:left w:val="nil"/>
              <w:bottom w:val="single" w:sz="4" w:space="0" w:color="291427" w:themeColor="accent5" w:themeShade="80"/>
              <w:right w:val="nil"/>
            </w:tcBorders>
          </w:tcPr>
          <w:p w14:paraId="57987738" w14:textId="05DB53F4" w:rsidR="00AE672E" w:rsidRPr="001C317D" w:rsidRDefault="00AE672E" w:rsidP="002C47AC">
            <w:pPr>
              <w:pStyle w:val="APVMATableText"/>
              <w:jc w:val="right"/>
            </w:pPr>
            <w:r w:rsidRPr="001C317D">
              <w:t>2.5</w:t>
            </w:r>
            <w:r w:rsidR="001C317D">
              <w:t xml:space="preserve"> </w:t>
            </w:r>
            <w:r w:rsidRPr="001C317D">
              <w:t>(including prunes)</w:t>
            </w:r>
          </w:p>
        </w:tc>
        <w:tc>
          <w:tcPr>
            <w:tcW w:w="582" w:type="pct"/>
            <w:tcBorders>
              <w:top w:val="single" w:sz="4" w:space="0" w:color="291427" w:themeColor="accent5" w:themeShade="80"/>
              <w:left w:val="nil"/>
              <w:bottom w:val="single" w:sz="4" w:space="0" w:color="291427" w:themeColor="accent5" w:themeShade="80"/>
              <w:right w:val="nil"/>
            </w:tcBorders>
          </w:tcPr>
          <w:p w14:paraId="0F229090" w14:textId="4BCDE78A" w:rsidR="00AE672E" w:rsidRPr="001C317D" w:rsidRDefault="002C47AC" w:rsidP="002C47AC">
            <w:pPr>
              <w:pStyle w:val="APVMATableText"/>
              <w:jc w:val="right"/>
            </w:pPr>
            <w:r>
              <w:t>–</w:t>
            </w:r>
          </w:p>
        </w:tc>
        <w:tc>
          <w:tcPr>
            <w:tcW w:w="627" w:type="pct"/>
            <w:tcBorders>
              <w:top w:val="single" w:sz="4" w:space="0" w:color="291427" w:themeColor="accent5" w:themeShade="80"/>
              <w:left w:val="nil"/>
              <w:bottom w:val="single" w:sz="4" w:space="0" w:color="291427" w:themeColor="accent5" w:themeShade="80"/>
              <w:right w:val="nil"/>
            </w:tcBorders>
          </w:tcPr>
          <w:p w14:paraId="3C10A966" w14:textId="77777777" w:rsidR="00AE672E" w:rsidRPr="001C317D" w:rsidRDefault="00AE672E" w:rsidP="002C47AC">
            <w:pPr>
              <w:pStyle w:val="APVMATableText"/>
              <w:jc w:val="right"/>
            </w:pPr>
            <w:r w:rsidRPr="001C317D">
              <w:t>0.5</w:t>
            </w:r>
          </w:p>
        </w:tc>
        <w:tc>
          <w:tcPr>
            <w:tcW w:w="650" w:type="pct"/>
            <w:tcBorders>
              <w:top w:val="single" w:sz="4" w:space="0" w:color="291427" w:themeColor="accent5" w:themeShade="80"/>
              <w:left w:val="nil"/>
              <w:bottom w:val="single" w:sz="4" w:space="0" w:color="291427" w:themeColor="accent5" w:themeShade="80"/>
              <w:right w:val="nil"/>
            </w:tcBorders>
          </w:tcPr>
          <w:p w14:paraId="663F73A9" w14:textId="50ED5425" w:rsidR="00AE672E" w:rsidRPr="001C317D" w:rsidRDefault="002C47AC" w:rsidP="002C47AC">
            <w:pPr>
              <w:pStyle w:val="APVMATableText"/>
              <w:jc w:val="right"/>
            </w:pPr>
            <w:r>
              <w:t>–</w:t>
            </w:r>
          </w:p>
        </w:tc>
      </w:tr>
      <w:tr w:rsidR="00AE672E" w:rsidRPr="008D593D" w14:paraId="2580871B" w14:textId="77777777" w:rsidTr="001D035F">
        <w:tc>
          <w:tcPr>
            <w:tcW w:w="580" w:type="pct"/>
            <w:tcBorders>
              <w:top w:val="single" w:sz="4" w:space="0" w:color="291427" w:themeColor="accent5" w:themeShade="80"/>
              <w:left w:val="nil"/>
              <w:bottom w:val="single" w:sz="4" w:space="0" w:color="291427" w:themeColor="accent5" w:themeShade="80"/>
              <w:right w:val="nil"/>
            </w:tcBorders>
            <w:vAlign w:val="center"/>
          </w:tcPr>
          <w:p w14:paraId="13A1A233" w14:textId="77777777" w:rsidR="00AE672E" w:rsidRPr="001C317D" w:rsidRDefault="00AE672E" w:rsidP="001C317D">
            <w:pPr>
              <w:pStyle w:val="APVMATableText"/>
            </w:pPr>
            <w:r w:rsidRPr="001C317D">
              <w:t>Stone fruits (group)</w:t>
            </w:r>
          </w:p>
        </w:tc>
        <w:tc>
          <w:tcPr>
            <w:tcW w:w="648" w:type="pct"/>
            <w:tcBorders>
              <w:top w:val="single" w:sz="4" w:space="0" w:color="291427" w:themeColor="accent5" w:themeShade="80"/>
              <w:left w:val="nil"/>
              <w:bottom w:val="single" w:sz="4" w:space="0" w:color="291427" w:themeColor="accent5" w:themeShade="80"/>
              <w:right w:val="nil"/>
            </w:tcBorders>
          </w:tcPr>
          <w:p w14:paraId="3AD83454" w14:textId="1CD995E5" w:rsidR="00AE672E" w:rsidRPr="001C317D" w:rsidRDefault="002C47AC" w:rsidP="002C47AC">
            <w:pPr>
              <w:pStyle w:val="APVMATableText"/>
              <w:jc w:val="right"/>
            </w:pPr>
            <w:r>
              <w:t>–</w:t>
            </w:r>
          </w:p>
        </w:tc>
        <w:tc>
          <w:tcPr>
            <w:tcW w:w="648" w:type="pct"/>
            <w:tcBorders>
              <w:top w:val="single" w:sz="4" w:space="0" w:color="291427" w:themeColor="accent5" w:themeShade="80"/>
              <w:left w:val="nil"/>
              <w:bottom w:val="single" w:sz="4" w:space="0" w:color="291427" w:themeColor="accent5" w:themeShade="80"/>
              <w:right w:val="nil"/>
            </w:tcBorders>
          </w:tcPr>
          <w:p w14:paraId="135C3E07" w14:textId="6C870D53" w:rsidR="00AE672E" w:rsidRPr="001C317D" w:rsidRDefault="002C47AC" w:rsidP="002C47AC">
            <w:pPr>
              <w:pStyle w:val="APVMATableText"/>
              <w:jc w:val="right"/>
            </w:pPr>
            <w:r>
              <w:t>–</w:t>
            </w:r>
          </w:p>
        </w:tc>
        <w:tc>
          <w:tcPr>
            <w:tcW w:w="627" w:type="pct"/>
            <w:tcBorders>
              <w:top w:val="single" w:sz="4" w:space="0" w:color="291427" w:themeColor="accent5" w:themeShade="80"/>
              <w:left w:val="nil"/>
              <w:bottom w:val="single" w:sz="4" w:space="0" w:color="291427" w:themeColor="accent5" w:themeShade="80"/>
              <w:right w:val="nil"/>
            </w:tcBorders>
          </w:tcPr>
          <w:p w14:paraId="54C45F45" w14:textId="52C091AC" w:rsidR="00AE672E" w:rsidRPr="001C317D" w:rsidRDefault="002C47AC" w:rsidP="002C47AC">
            <w:pPr>
              <w:pStyle w:val="APVMATableText"/>
              <w:jc w:val="right"/>
            </w:pPr>
            <w:r>
              <w:t>–</w:t>
            </w:r>
          </w:p>
        </w:tc>
        <w:tc>
          <w:tcPr>
            <w:tcW w:w="638" w:type="pct"/>
            <w:tcBorders>
              <w:top w:val="single" w:sz="4" w:space="0" w:color="291427" w:themeColor="accent5" w:themeShade="80"/>
              <w:left w:val="nil"/>
              <w:bottom w:val="single" w:sz="4" w:space="0" w:color="291427" w:themeColor="accent5" w:themeShade="80"/>
              <w:right w:val="nil"/>
            </w:tcBorders>
          </w:tcPr>
          <w:p w14:paraId="0C87B3E9" w14:textId="0A7034AD" w:rsidR="00AE672E" w:rsidRPr="001C317D" w:rsidRDefault="002C47AC" w:rsidP="002C47AC">
            <w:pPr>
              <w:pStyle w:val="APVMATableText"/>
              <w:jc w:val="right"/>
            </w:pPr>
            <w:r>
              <w:t>–</w:t>
            </w:r>
          </w:p>
        </w:tc>
        <w:tc>
          <w:tcPr>
            <w:tcW w:w="582" w:type="pct"/>
            <w:tcBorders>
              <w:top w:val="single" w:sz="4" w:space="0" w:color="291427" w:themeColor="accent5" w:themeShade="80"/>
              <w:left w:val="nil"/>
              <w:bottom w:val="single" w:sz="4" w:space="0" w:color="291427" w:themeColor="accent5" w:themeShade="80"/>
              <w:right w:val="nil"/>
            </w:tcBorders>
          </w:tcPr>
          <w:p w14:paraId="4D0D9CF4" w14:textId="0A16020A" w:rsidR="00AE672E" w:rsidRPr="001C317D" w:rsidRDefault="002C47AC" w:rsidP="002C47AC">
            <w:pPr>
              <w:pStyle w:val="APVMATableText"/>
              <w:jc w:val="right"/>
            </w:pPr>
            <w:r>
              <w:t>–</w:t>
            </w:r>
          </w:p>
        </w:tc>
        <w:tc>
          <w:tcPr>
            <w:tcW w:w="627" w:type="pct"/>
            <w:tcBorders>
              <w:top w:val="single" w:sz="4" w:space="0" w:color="291427" w:themeColor="accent5" w:themeShade="80"/>
              <w:left w:val="nil"/>
              <w:bottom w:val="single" w:sz="4" w:space="0" w:color="291427" w:themeColor="accent5" w:themeShade="80"/>
              <w:right w:val="nil"/>
            </w:tcBorders>
          </w:tcPr>
          <w:p w14:paraId="1E4B1608" w14:textId="36BA983F" w:rsidR="00AE672E" w:rsidRPr="001C317D" w:rsidRDefault="002C47AC" w:rsidP="002C47AC">
            <w:pPr>
              <w:pStyle w:val="APVMATableText"/>
              <w:jc w:val="right"/>
            </w:pPr>
            <w:r>
              <w:t>–</w:t>
            </w:r>
          </w:p>
        </w:tc>
        <w:tc>
          <w:tcPr>
            <w:tcW w:w="650" w:type="pct"/>
            <w:tcBorders>
              <w:top w:val="single" w:sz="4" w:space="0" w:color="291427" w:themeColor="accent5" w:themeShade="80"/>
              <w:left w:val="nil"/>
              <w:bottom w:val="single" w:sz="4" w:space="0" w:color="291427" w:themeColor="accent5" w:themeShade="80"/>
              <w:right w:val="nil"/>
            </w:tcBorders>
          </w:tcPr>
          <w:p w14:paraId="4198FF22" w14:textId="77777777" w:rsidR="00AE672E" w:rsidRPr="001C317D" w:rsidRDefault="00AE672E" w:rsidP="002C47AC">
            <w:pPr>
              <w:pStyle w:val="APVMATableText"/>
              <w:jc w:val="right"/>
            </w:pPr>
            <w:r w:rsidRPr="001C317D">
              <w:t>2.5</w:t>
            </w:r>
          </w:p>
        </w:tc>
      </w:tr>
    </w:tbl>
    <w:p w14:paraId="0E1BFAE9" w14:textId="673089F9" w:rsidR="00AE672E" w:rsidRPr="001C317D" w:rsidRDefault="00AE672E" w:rsidP="001C317D">
      <w:pPr>
        <w:pStyle w:val="Caption"/>
      </w:pPr>
      <w:bookmarkStart w:id="65" w:name="_Hlk137047670"/>
      <w:bookmarkStart w:id="66" w:name="_Toc138344497"/>
      <w:r w:rsidRPr="001C317D">
        <w:lastRenderedPageBreak/>
        <w:t xml:space="preserve">Table </w:t>
      </w:r>
      <w:fldSimple w:instr=" SEQ Table \* ARABIC ">
        <w:r w:rsidR="001C317D">
          <w:rPr>
            <w:noProof/>
          </w:rPr>
          <w:t>6</w:t>
        </w:r>
      </w:fldSimple>
      <w:r w:rsidRPr="001C317D">
        <w:t>:</w:t>
      </w:r>
      <w:r w:rsidRPr="001C317D">
        <w:tab/>
        <w:t xml:space="preserve">Current and proposed Australian and overseas MRLs/tolerances for </w:t>
      </w:r>
      <w:proofErr w:type="spellStart"/>
      <w:r w:rsidRPr="001C317D">
        <w:t>isopyrazam</w:t>
      </w:r>
      <w:bookmarkEnd w:id="66"/>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1728"/>
        <w:gridCol w:w="1728"/>
        <w:gridCol w:w="2223"/>
        <w:gridCol w:w="1833"/>
        <w:gridCol w:w="1743"/>
        <w:gridCol w:w="1629"/>
        <w:gridCol w:w="1836"/>
      </w:tblGrid>
      <w:tr w:rsidR="00AE672E" w:rsidRPr="008D593D" w14:paraId="08F0AD3E" w14:textId="77777777" w:rsidTr="001D035F">
        <w:trPr>
          <w:tblHeader/>
        </w:trPr>
        <w:tc>
          <w:tcPr>
            <w:tcW w:w="635" w:type="pct"/>
            <w:vMerge w:val="restart"/>
            <w:tcBorders>
              <w:top w:val="single" w:sz="4" w:space="0" w:color="auto"/>
              <w:left w:val="nil"/>
              <w:bottom w:val="single" w:sz="4" w:space="0" w:color="291427" w:themeColor="accent5" w:themeShade="80"/>
              <w:right w:val="nil"/>
            </w:tcBorders>
            <w:shd w:val="clear" w:color="auto" w:fill="00686E" w:themeFill="background2" w:themeFillShade="E6"/>
            <w:vAlign w:val="center"/>
          </w:tcPr>
          <w:p w14:paraId="5D2EC891" w14:textId="77777777" w:rsidR="00AE672E" w:rsidRPr="001C317D" w:rsidRDefault="00AE672E" w:rsidP="001C317D">
            <w:pPr>
              <w:pStyle w:val="APVMATableHead"/>
            </w:pPr>
            <w:bookmarkStart w:id="67" w:name="_Hlk133928547"/>
            <w:bookmarkEnd w:id="65"/>
            <w:r w:rsidRPr="001C317D">
              <w:t>Commodity</w:t>
            </w:r>
          </w:p>
        </w:tc>
        <w:tc>
          <w:tcPr>
            <w:tcW w:w="4365" w:type="pct"/>
            <w:gridSpan w:val="7"/>
            <w:tcBorders>
              <w:top w:val="single" w:sz="4" w:space="0" w:color="auto"/>
              <w:left w:val="nil"/>
              <w:bottom w:val="single" w:sz="4" w:space="0" w:color="291427" w:themeColor="accent5" w:themeShade="80"/>
              <w:right w:val="nil"/>
            </w:tcBorders>
            <w:shd w:val="clear" w:color="auto" w:fill="00686E" w:themeFill="background2" w:themeFillShade="E6"/>
          </w:tcPr>
          <w:p w14:paraId="66D15D2E" w14:textId="77777777" w:rsidR="00AE672E" w:rsidRPr="001C317D" w:rsidRDefault="00AE672E" w:rsidP="002C47AC">
            <w:pPr>
              <w:pStyle w:val="APVMATableHead"/>
            </w:pPr>
            <w:r w:rsidRPr="001C317D">
              <w:t xml:space="preserve">Tolerance for residues arising from the use of </w:t>
            </w:r>
            <w:proofErr w:type="spellStart"/>
            <w:r w:rsidRPr="001C317D">
              <w:t>isopyrazam</w:t>
            </w:r>
            <w:proofErr w:type="spellEnd"/>
            <w:r w:rsidRPr="001C317D">
              <w:t xml:space="preserve"> (mg/kg)</w:t>
            </w:r>
          </w:p>
        </w:tc>
      </w:tr>
      <w:tr w:rsidR="00AE672E" w:rsidRPr="008D593D" w14:paraId="6966AC73" w14:textId="77777777" w:rsidTr="00F65F46">
        <w:trPr>
          <w:tblHeader/>
        </w:trPr>
        <w:tc>
          <w:tcPr>
            <w:tcW w:w="635" w:type="pct"/>
            <w:vMerge/>
            <w:tcBorders>
              <w:top w:val="single" w:sz="4" w:space="0" w:color="291427" w:themeColor="accent5" w:themeShade="80"/>
              <w:left w:val="nil"/>
              <w:bottom w:val="single" w:sz="4" w:space="0" w:color="auto"/>
              <w:right w:val="nil"/>
            </w:tcBorders>
            <w:shd w:val="clear" w:color="auto" w:fill="00686E" w:themeFill="background2" w:themeFillShade="E6"/>
          </w:tcPr>
          <w:p w14:paraId="1432DCD9" w14:textId="77777777" w:rsidR="00AE672E" w:rsidRPr="001C317D" w:rsidRDefault="00AE672E" w:rsidP="001C317D">
            <w:pPr>
              <w:pStyle w:val="APVMATableHead"/>
            </w:pPr>
          </w:p>
        </w:tc>
        <w:tc>
          <w:tcPr>
            <w:tcW w:w="593" w:type="pct"/>
            <w:tcBorders>
              <w:top w:val="single" w:sz="4" w:space="0" w:color="291427" w:themeColor="accent5" w:themeShade="80"/>
              <w:left w:val="nil"/>
              <w:bottom w:val="single" w:sz="4" w:space="0" w:color="auto"/>
              <w:right w:val="nil"/>
            </w:tcBorders>
            <w:shd w:val="clear" w:color="auto" w:fill="00686E" w:themeFill="background2" w:themeFillShade="E6"/>
          </w:tcPr>
          <w:p w14:paraId="7E4F2295" w14:textId="1EA4E9C8" w:rsidR="00AE672E" w:rsidRPr="001C317D" w:rsidRDefault="00AE672E" w:rsidP="002C47AC">
            <w:pPr>
              <w:pStyle w:val="APVMATableHead"/>
              <w:jc w:val="right"/>
            </w:pPr>
            <w:r w:rsidRPr="001C317D">
              <w:t>Australia</w:t>
            </w:r>
            <w:r w:rsidRPr="00241879">
              <w:rPr>
                <w:vertAlign w:val="superscript"/>
              </w:rPr>
              <w:t>10</w:t>
            </w:r>
          </w:p>
        </w:tc>
        <w:tc>
          <w:tcPr>
            <w:tcW w:w="593" w:type="pct"/>
            <w:tcBorders>
              <w:top w:val="single" w:sz="4" w:space="0" w:color="291427" w:themeColor="accent5" w:themeShade="80"/>
              <w:left w:val="nil"/>
              <w:bottom w:val="single" w:sz="4" w:space="0" w:color="auto"/>
              <w:right w:val="nil"/>
            </w:tcBorders>
            <w:shd w:val="clear" w:color="auto" w:fill="00686E" w:themeFill="background2" w:themeFillShade="E6"/>
          </w:tcPr>
          <w:p w14:paraId="3CEE9F59" w14:textId="565E80EF" w:rsidR="00AE672E" w:rsidRPr="001C317D" w:rsidRDefault="00AE672E" w:rsidP="002C47AC">
            <w:pPr>
              <w:pStyle w:val="APVMATableHead"/>
              <w:jc w:val="right"/>
            </w:pPr>
            <w:r w:rsidRPr="001C317D">
              <w:t>Codex</w:t>
            </w:r>
            <w:r w:rsidRPr="00241879">
              <w:rPr>
                <w:vertAlign w:val="superscript"/>
              </w:rPr>
              <w:t>11</w:t>
            </w:r>
          </w:p>
        </w:tc>
        <w:tc>
          <w:tcPr>
            <w:tcW w:w="763" w:type="pct"/>
            <w:tcBorders>
              <w:top w:val="single" w:sz="4" w:space="0" w:color="291427" w:themeColor="accent5" w:themeShade="80"/>
              <w:left w:val="nil"/>
              <w:bottom w:val="single" w:sz="4" w:space="0" w:color="auto"/>
              <w:right w:val="nil"/>
            </w:tcBorders>
            <w:shd w:val="clear" w:color="auto" w:fill="00686E" w:themeFill="background2" w:themeFillShade="E6"/>
          </w:tcPr>
          <w:p w14:paraId="2963DE7E" w14:textId="74EC691A" w:rsidR="00AE672E" w:rsidRPr="001C317D" w:rsidRDefault="00AE672E" w:rsidP="002C47AC">
            <w:pPr>
              <w:pStyle w:val="APVMATableHead"/>
              <w:jc w:val="right"/>
            </w:pPr>
            <w:r w:rsidRPr="001C317D">
              <w:t>China</w:t>
            </w:r>
            <w:r w:rsidRPr="00241879">
              <w:rPr>
                <w:vertAlign w:val="superscript"/>
              </w:rPr>
              <w:t>12</w:t>
            </w:r>
          </w:p>
        </w:tc>
        <w:tc>
          <w:tcPr>
            <w:tcW w:w="629" w:type="pct"/>
            <w:tcBorders>
              <w:top w:val="single" w:sz="4" w:space="0" w:color="291427" w:themeColor="accent5" w:themeShade="80"/>
              <w:left w:val="nil"/>
              <w:bottom w:val="single" w:sz="4" w:space="0" w:color="auto"/>
              <w:right w:val="nil"/>
            </w:tcBorders>
            <w:shd w:val="clear" w:color="auto" w:fill="00686E" w:themeFill="background2" w:themeFillShade="E6"/>
            <w:tcMar>
              <w:right w:w="57" w:type="dxa"/>
            </w:tcMar>
          </w:tcPr>
          <w:p w14:paraId="775B5459" w14:textId="77335144" w:rsidR="00AE672E" w:rsidRPr="001C317D" w:rsidRDefault="00AE672E" w:rsidP="002C47AC">
            <w:pPr>
              <w:pStyle w:val="APVMATableHead"/>
              <w:jc w:val="right"/>
            </w:pPr>
            <w:r w:rsidRPr="001C317D">
              <w:t>Hong Kong</w:t>
            </w:r>
            <w:r w:rsidRPr="00241879">
              <w:rPr>
                <w:vertAlign w:val="superscript"/>
              </w:rPr>
              <w:t>13</w:t>
            </w:r>
          </w:p>
        </w:tc>
        <w:tc>
          <w:tcPr>
            <w:tcW w:w="598" w:type="pct"/>
            <w:tcBorders>
              <w:top w:val="single" w:sz="4" w:space="0" w:color="291427" w:themeColor="accent5" w:themeShade="80"/>
              <w:left w:val="nil"/>
              <w:bottom w:val="single" w:sz="4" w:space="0" w:color="auto"/>
              <w:right w:val="nil"/>
            </w:tcBorders>
            <w:shd w:val="clear" w:color="auto" w:fill="00686E" w:themeFill="background2" w:themeFillShade="E6"/>
          </w:tcPr>
          <w:p w14:paraId="05BFCC9A" w14:textId="44449A41" w:rsidR="00AE672E" w:rsidRPr="001C317D" w:rsidRDefault="00AE672E" w:rsidP="002C47AC">
            <w:pPr>
              <w:pStyle w:val="APVMATableHead"/>
              <w:jc w:val="right"/>
            </w:pPr>
            <w:r w:rsidRPr="001C317D">
              <w:t>Singapore</w:t>
            </w:r>
            <w:r w:rsidRPr="00241879">
              <w:rPr>
                <w:vertAlign w:val="superscript"/>
              </w:rPr>
              <w:t>14</w:t>
            </w:r>
          </w:p>
        </w:tc>
        <w:tc>
          <w:tcPr>
            <w:tcW w:w="559" w:type="pct"/>
            <w:tcBorders>
              <w:top w:val="single" w:sz="4" w:space="0" w:color="291427" w:themeColor="accent5" w:themeShade="80"/>
              <w:left w:val="nil"/>
              <w:bottom w:val="single" w:sz="4" w:space="0" w:color="auto"/>
              <w:right w:val="nil"/>
            </w:tcBorders>
            <w:shd w:val="clear" w:color="auto" w:fill="00686E" w:themeFill="background2" w:themeFillShade="E6"/>
          </w:tcPr>
          <w:p w14:paraId="2A18E393" w14:textId="4B520E22" w:rsidR="00AE672E" w:rsidRPr="001C317D" w:rsidRDefault="00AE672E" w:rsidP="002C47AC">
            <w:pPr>
              <w:pStyle w:val="APVMATableHead"/>
              <w:jc w:val="right"/>
            </w:pPr>
            <w:r w:rsidRPr="001C317D">
              <w:t>EU</w:t>
            </w:r>
            <w:r w:rsidRPr="00241879">
              <w:rPr>
                <w:vertAlign w:val="superscript"/>
              </w:rPr>
              <w:t>15</w:t>
            </w:r>
          </w:p>
        </w:tc>
        <w:tc>
          <w:tcPr>
            <w:tcW w:w="630" w:type="pct"/>
            <w:tcBorders>
              <w:top w:val="single" w:sz="4" w:space="0" w:color="291427" w:themeColor="accent5" w:themeShade="80"/>
              <w:left w:val="nil"/>
              <w:bottom w:val="single" w:sz="4" w:space="0" w:color="auto"/>
              <w:right w:val="nil"/>
            </w:tcBorders>
            <w:shd w:val="clear" w:color="auto" w:fill="00686E" w:themeFill="background2" w:themeFillShade="E6"/>
          </w:tcPr>
          <w:p w14:paraId="17DF37A6" w14:textId="589B7AEE" w:rsidR="00AE672E" w:rsidRPr="001C317D" w:rsidRDefault="00AE672E" w:rsidP="002C47AC">
            <w:pPr>
              <w:pStyle w:val="APVMATableHead"/>
              <w:jc w:val="right"/>
            </w:pPr>
            <w:r w:rsidRPr="001C317D">
              <w:t>USA</w:t>
            </w:r>
            <w:r w:rsidRPr="00241879">
              <w:rPr>
                <w:vertAlign w:val="superscript"/>
              </w:rPr>
              <w:t>16</w:t>
            </w:r>
          </w:p>
        </w:tc>
      </w:tr>
      <w:tr w:rsidR="00AE672E" w:rsidRPr="008D593D" w14:paraId="42911898" w14:textId="77777777" w:rsidTr="00F65F46">
        <w:tc>
          <w:tcPr>
            <w:tcW w:w="635" w:type="pct"/>
            <w:tcBorders>
              <w:top w:val="single" w:sz="4" w:space="0" w:color="auto"/>
              <w:left w:val="nil"/>
              <w:bottom w:val="single" w:sz="4" w:space="0" w:color="291427" w:themeColor="accent5" w:themeShade="80"/>
              <w:right w:val="nil"/>
            </w:tcBorders>
          </w:tcPr>
          <w:p w14:paraId="22F2AD1E" w14:textId="60052F2D" w:rsidR="00AE672E" w:rsidRPr="001C317D" w:rsidRDefault="00AE672E" w:rsidP="001C317D">
            <w:pPr>
              <w:pStyle w:val="APVMATableText"/>
            </w:pPr>
            <w:r w:rsidRPr="001C317D">
              <w:t xml:space="preserve">Residue </w:t>
            </w:r>
            <w:r w:rsidR="002C47AC">
              <w:t>d</w:t>
            </w:r>
            <w:r w:rsidRPr="001C317D">
              <w:t>efinition</w:t>
            </w:r>
          </w:p>
        </w:tc>
        <w:tc>
          <w:tcPr>
            <w:tcW w:w="593" w:type="pct"/>
            <w:tcBorders>
              <w:top w:val="single" w:sz="4" w:space="0" w:color="auto"/>
              <w:left w:val="nil"/>
              <w:bottom w:val="single" w:sz="4" w:space="0" w:color="291427" w:themeColor="accent5" w:themeShade="80"/>
              <w:right w:val="nil"/>
            </w:tcBorders>
          </w:tcPr>
          <w:p w14:paraId="52E81C9B" w14:textId="77777777" w:rsidR="00AE672E" w:rsidRPr="001C317D" w:rsidRDefault="00AE672E" w:rsidP="002C47AC">
            <w:pPr>
              <w:pStyle w:val="APVMATableText"/>
              <w:jc w:val="right"/>
            </w:pPr>
            <w:proofErr w:type="spellStart"/>
            <w:r w:rsidRPr="001C317D">
              <w:t>Isopyrazam</w:t>
            </w:r>
            <w:proofErr w:type="spellEnd"/>
          </w:p>
        </w:tc>
        <w:tc>
          <w:tcPr>
            <w:tcW w:w="593" w:type="pct"/>
            <w:tcBorders>
              <w:top w:val="single" w:sz="4" w:space="0" w:color="auto"/>
              <w:left w:val="nil"/>
              <w:bottom w:val="single" w:sz="4" w:space="0" w:color="291427" w:themeColor="accent5" w:themeShade="80"/>
              <w:right w:val="nil"/>
            </w:tcBorders>
          </w:tcPr>
          <w:p w14:paraId="2D9E55CE" w14:textId="77777777" w:rsidR="00AE672E" w:rsidRPr="001C317D" w:rsidRDefault="00AE672E" w:rsidP="002C47AC">
            <w:pPr>
              <w:pStyle w:val="APVMATableText"/>
              <w:jc w:val="right"/>
            </w:pPr>
            <w:proofErr w:type="spellStart"/>
            <w:r w:rsidRPr="001C317D">
              <w:t>Isopyrazam</w:t>
            </w:r>
            <w:proofErr w:type="spellEnd"/>
          </w:p>
        </w:tc>
        <w:tc>
          <w:tcPr>
            <w:tcW w:w="763" w:type="pct"/>
            <w:tcBorders>
              <w:top w:val="single" w:sz="4" w:space="0" w:color="auto"/>
              <w:left w:val="nil"/>
              <w:bottom w:val="single" w:sz="4" w:space="0" w:color="291427" w:themeColor="accent5" w:themeShade="80"/>
              <w:right w:val="nil"/>
            </w:tcBorders>
          </w:tcPr>
          <w:p w14:paraId="2E4E7E1A" w14:textId="77777777" w:rsidR="00AE672E" w:rsidRPr="001C317D" w:rsidRDefault="00AE672E" w:rsidP="002C47AC">
            <w:pPr>
              <w:pStyle w:val="APVMATableText"/>
              <w:jc w:val="right"/>
            </w:pPr>
            <w:proofErr w:type="spellStart"/>
            <w:r w:rsidRPr="001C317D">
              <w:t>Isopyrazam</w:t>
            </w:r>
            <w:proofErr w:type="spellEnd"/>
          </w:p>
        </w:tc>
        <w:tc>
          <w:tcPr>
            <w:tcW w:w="629" w:type="pct"/>
            <w:tcBorders>
              <w:top w:val="single" w:sz="4" w:space="0" w:color="auto"/>
              <w:left w:val="nil"/>
              <w:bottom w:val="single" w:sz="4" w:space="0" w:color="291427" w:themeColor="accent5" w:themeShade="80"/>
              <w:right w:val="nil"/>
            </w:tcBorders>
          </w:tcPr>
          <w:p w14:paraId="1448831D" w14:textId="61986687" w:rsidR="00AE672E" w:rsidRPr="001C317D" w:rsidRDefault="002C47AC" w:rsidP="002C47AC">
            <w:pPr>
              <w:pStyle w:val="APVMATableText"/>
              <w:jc w:val="right"/>
            </w:pPr>
            <w:r>
              <w:t>–</w:t>
            </w:r>
          </w:p>
        </w:tc>
        <w:tc>
          <w:tcPr>
            <w:tcW w:w="598" w:type="pct"/>
            <w:tcBorders>
              <w:top w:val="single" w:sz="4" w:space="0" w:color="auto"/>
              <w:left w:val="nil"/>
              <w:bottom w:val="single" w:sz="4" w:space="0" w:color="291427" w:themeColor="accent5" w:themeShade="80"/>
              <w:right w:val="nil"/>
            </w:tcBorders>
          </w:tcPr>
          <w:p w14:paraId="3CDAB6F1" w14:textId="20E3FE74" w:rsidR="00AE672E" w:rsidRPr="001C317D" w:rsidRDefault="002C47AC" w:rsidP="002C47AC">
            <w:pPr>
              <w:pStyle w:val="APVMATableText"/>
              <w:jc w:val="right"/>
            </w:pPr>
            <w:r>
              <w:t>–</w:t>
            </w:r>
          </w:p>
        </w:tc>
        <w:tc>
          <w:tcPr>
            <w:tcW w:w="559" w:type="pct"/>
            <w:tcBorders>
              <w:top w:val="single" w:sz="4" w:space="0" w:color="auto"/>
              <w:left w:val="nil"/>
              <w:bottom w:val="single" w:sz="4" w:space="0" w:color="291427" w:themeColor="accent5" w:themeShade="80"/>
              <w:right w:val="nil"/>
            </w:tcBorders>
          </w:tcPr>
          <w:p w14:paraId="2DA9195D" w14:textId="77777777" w:rsidR="00AE672E" w:rsidRPr="001C317D" w:rsidRDefault="00AE672E" w:rsidP="002C47AC">
            <w:pPr>
              <w:pStyle w:val="APVMATableText"/>
              <w:jc w:val="right"/>
            </w:pPr>
            <w:proofErr w:type="spellStart"/>
            <w:r w:rsidRPr="001C317D">
              <w:t>Isopyrazam</w:t>
            </w:r>
            <w:proofErr w:type="spellEnd"/>
          </w:p>
        </w:tc>
        <w:tc>
          <w:tcPr>
            <w:tcW w:w="630" w:type="pct"/>
            <w:tcBorders>
              <w:top w:val="single" w:sz="4" w:space="0" w:color="auto"/>
              <w:left w:val="nil"/>
              <w:bottom w:val="single" w:sz="4" w:space="0" w:color="291427" w:themeColor="accent5" w:themeShade="80"/>
              <w:right w:val="nil"/>
            </w:tcBorders>
          </w:tcPr>
          <w:p w14:paraId="4B3EC825" w14:textId="77777777" w:rsidR="00AE672E" w:rsidRPr="001C317D" w:rsidRDefault="00AE672E" w:rsidP="002C47AC">
            <w:pPr>
              <w:pStyle w:val="APVMATableText"/>
              <w:jc w:val="right"/>
            </w:pPr>
            <w:proofErr w:type="spellStart"/>
            <w:r w:rsidRPr="001C317D">
              <w:t>Isopyrazam</w:t>
            </w:r>
            <w:proofErr w:type="spellEnd"/>
          </w:p>
        </w:tc>
      </w:tr>
      <w:tr w:rsidR="00AE672E" w:rsidRPr="008D593D" w14:paraId="05922C9F" w14:textId="77777777" w:rsidTr="001D035F">
        <w:tc>
          <w:tcPr>
            <w:tcW w:w="635" w:type="pct"/>
            <w:tcBorders>
              <w:top w:val="single" w:sz="4" w:space="0" w:color="291427" w:themeColor="accent5" w:themeShade="80"/>
              <w:left w:val="nil"/>
              <w:bottom w:val="single" w:sz="4" w:space="0" w:color="291427" w:themeColor="accent5" w:themeShade="80"/>
              <w:right w:val="nil"/>
            </w:tcBorders>
            <w:vAlign w:val="center"/>
          </w:tcPr>
          <w:p w14:paraId="5369614D" w14:textId="77777777" w:rsidR="00AE672E" w:rsidRPr="001C317D" w:rsidRDefault="00AE672E" w:rsidP="001C317D">
            <w:pPr>
              <w:pStyle w:val="APVMATableText"/>
            </w:pPr>
            <w:r w:rsidRPr="001C317D">
              <w:t>Plums</w:t>
            </w:r>
          </w:p>
        </w:tc>
        <w:tc>
          <w:tcPr>
            <w:tcW w:w="593" w:type="pct"/>
            <w:tcBorders>
              <w:top w:val="single" w:sz="4" w:space="0" w:color="291427" w:themeColor="accent5" w:themeShade="80"/>
              <w:left w:val="nil"/>
              <w:bottom w:val="single" w:sz="4" w:space="0" w:color="291427" w:themeColor="accent5" w:themeShade="80"/>
              <w:right w:val="nil"/>
            </w:tcBorders>
          </w:tcPr>
          <w:p w14:paraId="0CC697E6" w14:textId="77777777" w:rsidR="00AE672E" w:rsidRPr="001C317D" w:rsidRDefault="00AE672E" w:rsidP="002C47AC">
            <w:pPr>
              <w:pStyle w:val="APVMATableText"/>
              <w:jc w:val="right"/>
            </w:pPr>
            <w:r w:rsidRPr="001C317D">
              <w:t>T0.7 (proposed)</w:t>
            </w:r>
          </w:p>
        </w:tc>
        <w:tc>
          <w:tcPr>
            <w:tcW w:w="593" w:type="pct"/>
            <w:tcBorders>
              <w:top w:val="single" w:sz="4" w:space="0" w:color="291427" w:themeColor="accent5" w:themeShade="80"/>
              <w:left w:val="nil"/>
              <w:bottom w:val="single" w:sz="4" w:space="0" w:color="291427" w:themeColor="accent5" w:themeShade="80"/>
              <w:right w:val="nil"/>
            </w:tcBorders>
          </w:tcPr>
          <w:p w14:paraId="39BE0CA0" w14:textId="13BB6DF2" w:rsidR="00AE672E" w:rsidRPr="001C317D" w:rsidRDefault="002C47AC" w:rsidP="002C47AC">
            <w:pPr>
              <w:pStyle w:val="APVMATableText"/>
              <w:jc w:val="right"/>
            </w:pPr>
            <w:r>
              <w:t>–</w:t>
            </w:r>
          </w:p>
        </w:tc>
        <w:tc>
          <w:tcPr>
            <w:tcW w:w="763" w:type="pct"/>
            <w:tcBorders>
              <w:top w:val="single" w:sz="4" w:space="0" w:color="291427" w:themeColor="accent5" w:themeShade="80"/>
              <w:left w:val="nil"/>
              <w:bottom w:val="single" w:sz="4" w:space="0" w:color="291427" w:themeColor="accent5" w:themeShade="80"/>
              <w:right w:val="nil"/>
            </w:tcBorders>
          </w:tcPr>
          <w:p w14:paraId="4AF72732" w14:textId="7081C5E3" w:rsidR="00AE672E" w:rsidRPr="001C317D" w:rsidRDefault="002C47AC" w:rsidP="002C47AC">
            <w:pPr>
              <w:pStyle w:val="APVMATableText"/>
              <w:jc w:val="right"/>
            </w:pPr>
            <w:r>
              <w:t>–</w:t>
            </w:r>
          </w:p>
        </w:tc>
        <w:tc>
          <w:tcPr>
            <w:tcW w:w="629" w:type="pct"/>
            <w:tcBorders>
              <w:top w:val="single" w:sz="4" w:space="0" w:color="291427" w:themeColor="accent5" w:themeShade="80"/>
              <w:left w:val="nil"/>
              <w:bottom w:val="single" w:sz="4" w:space="0" w:color="291427" w:themeColor="accent5" w:themeShade="80"/>
              <w:right w:val="nil"/>
            </w:tcBorders>
          </w:tcPr>
          <w:p w14:paraId="06A7978A" w14:textId="12841130" w:rsidR="00AE672E" w:rsidRPr="001C317D" w:rsidRDefault="002C47AC" w:rsidP="002C47AC">
            <w:pPr>
              <w:pStyle w:val="APVMATableText"/>
              <w:jc w:val="right"/>
            </w:pPr>
            <w:r>
              <w:t>–</w:t>
            </w:r>
          </w:p>
        </w:tc>
        <w:tc>
          <w:tcPr>
            <w:tcW w:w="598" w:type="pct"/>
            <w:tcBorders>
              <w:top w:val="single" w:sz="4" w:space="0" w:color="291427" w:themeColor="accent5" w:themeShade="80"/>
              <w:left w:val="nil"/>
              <w:bottom w:val="single" w:sz="4" w:space="0" w:color="291427" w:themeColor="accent5" w:themeShade="80"/>
              <w:right w:val="nil"/>
            </w:tcBorders>
          </w:tcPr>
          <w:p w14:paraId="666D2B99" w14:textId="1FD6204B" w:rsidR="00AE672E" w:rsidRPr="001C317D" w:rsidRDefault="002C47AC" w:rsidP="002C47AC">
            <w:pPr>
              <w:pStyle w:val="APVMATableText"/>
              <w:jc w:val="right"/>
            </w:pPr>
            <w:r>
              <w:t>–</w:t>
            </w:r>
          </w:p>
        </w:tc>
        <w:tc>
          <w:tcPr>
            <w:tcW w:w="559" w:type="pct"/>
            <w:tcBorders>
              <w:top w:val="single" w:sz="4" w:space="0" w:color="291427" w:themeColor="accent5" w:themeShade="80"/>
              <w:left w:val="nil"/>
              <w:bottom w:val="single" w:sz="4" w:space="0" w:color="291427" w:themeColor="accent5" w:themeShade="80"/>
              <w:right w:val="nil"/>
            </w:tcBorders>
          </w:tcPr>
          <w:p w14:paraId="052E7BB4" w14:textId="28F50AAF" w:rsidR="00AE672E" w:rsidRPr="001C317D" w:rsidRDefault="00CC7D7F" w:rsidP="002C47AC">
            <w:pPr>
              <w:pStyle w:val="APVMATableText"/>
              <w:jc w:val="right"/>
            </w:pPr>
            <w:r>
              <w:t>*</w:t>
            </w:r>
            <w:r w:rsidR="00AE672E" w:rsidRPr="001C317D">
              <w:t>0.01</w:t>
            </w:r>
          </w:p>
        </w:tc>
        <w:tc>
          <w:tcPr>
            <w:tcW w:w="630" w:type="pct"/>
            <w:tcBorders>
              <w:top w:val="single" w:sz="4" w:space="0" w:color="291427" w:themeColor="accent5" w:themeShade="80"/>
              <w:left w:val="nil"/>
              <w:bottom w:val="single" w:sz="4" w:space="0" w:color="291427" w:themeColor="accent5" w:themeShade="80"/>
              <w:right w:val="nil"/>
            </w:tcBorders>
          </w:tcPr>
          <w:p w14:paraId="634C6A2D" w14:textId="766A8D2B" w:rsidR="00AE672E" w:rsidRPr="001C317D" w:rsidRDefault="002C47AC" w:rsidP="002C47AC">
            <w:pPr>
              <w:pStyle w:val="APVMATableText"/>
              <w:jc w:val="right"/>
            </w:pPr>
            <w:r>
              <w:t>–</w:t>
            </w:r>
          </w:p>
        </w:tc>
      </w:tr>
      <w:tr w:rsidR="00AE672E" w:rsidRPr="008D593D" w14:paraId="0F481B11" w14:textId="77777777" w:rsidTr="001D035F">
        <w:tc>
          <w:tcPr>
            <w:tcW w:w="635" w:type="pct"/>
            <w:tcBorders>
              <w:top w:val="single" w:sz="4" w:space="0" w:color="291427" w:themeColor="accent5" w:themeShade="80"/>
              <w:left w:val="nil"/>
              <w:bottom w:val="single" w:sz="4" w:space="0" w:color="291427" w:themeColor="accent5" w:themeShade="80"/>
              <w:right w:val="nil"/>
            </w:tcBorders>
            <w:vAlign w:val="center"/>
          </w:tcPr>
          <w:p w14:paraId="53C6954B" w14:textId="77777777" w:rsidR="00AE672E" w:rsidRPr="001C317D" w:rsidRDefault="00AE672E" w:rsidP="001C317D">
            <w:pPr>
              <w:pStyle w:val="APVMATableText"/>
            </w:pPr>
            <w:r w:rsidRPr="001C317D">
              <w:t>Prunes</w:t>
            </w:r>
          </w:p>
        </w:tc>
        <w:tc>
          <w:tcPr>
            <w:tcW w:w="593" w:type="pct"/>
            <w:tcBorders>
              <w:top w:val="single" w:sz="4" w:space="0" w:color="291427" w:themeColor="accent5" w:themeShade="80"/>
              <w:left w:val="nil"/>
              <w:bottom w:val="single" w:sz="4" w:space="0" w:color="291427" w:themeColor="accent5" w:themeShade="80"/>
              <w:right w:val="nil"/>
            </w:tcBorders>
          </w:tcPr>
          <w:p w14:paraId="045A4DAB" w14:textId="77777777" w:rsidR="00AE672E" w:rsidRPr="001C317D" w:rsidRDefault="00AE672E" w:rsidP="002C47AC">
            <w:pPr>
              <w:pStyle w:val="APVMATableText"/>
              <w:jc w:val="right"/>
            </w:pPr>
            <w:r w:rsidRPr="001C317D">
              <w:t>T3</w:t>
            </w:r>
          </w:p>
        </w:tc>
        <w:tc>
          <w:tcPr>
            <w:tcW w:w="593" w:type="pct"/>
            <w:tcBorders>
              <w:top w:val="single" w:sz="4" w:space="0" w:color="291427" w:themeColor="accent5" w:themeShade="80"/>
              <w:left w:val="nil"/>
              <w:bottom w:val="single" w:sz="4" w:space="0" w:color="291427" w:themeColor="accent5" w:themeShade="80"/>
              <w:right w:val="nil"/>
            </w:tcBorders>
          </w:tcPr>
          <w:p w14:paraId="1762506C" w14:textId="2879CCC9" w:rsidR="00AE672E" w:rsidRPr="001C317D" w:rsidRDefault="002C47AC" w:rsidP="002C47AC">
            <w:pPr>
              <w:pStyle w:val="APVMATableText"/>
              <w:jc w:val="right"/>
            </w:pPr>
            <w:r>
              <w:t>–</w:t>
            </w:r>
          </w:p>
        </w:tc>
        <w:tc>
          <w:tcPr>
            <w:tcW w:w="763" w:type="pct"/>
            <w:tcBorders>
              <w:top w:val="single" w:sz="4" w:space="0" w:color="291427" w:themeColor="accent5" w:themeShade="80"/>
              <w:left w:val="nil"/>
              <w:bottom w:val="single" w:sz="4" w:space="0" w:color="291427" w:themeColor="accent5" w:themeShade="80"/>
              <w:right w:val="nil"/>
            </w:tcBorders>
          </w:tcPr>
          <w:p w14:paraId="31B3F4A9" w14:textId="3C95CA1E" w:rsidR="00AE672E" w:rsidRPr="001C317D" w:rsidRDefault="002C47AC" w:rsidP="002C47AC">
            <w:pPr>
              <w:pStyle w:val="APVMATableText"/>
              <w:jc w:val="right"/>
            </w:pPr>
            <w:r>
              <w:t>–</w:t>
            </w:r>
          </w:p>
        </w:tc>
        <w:tc>
          <w:tcPr>
            <w:tcW w:w="629" w:type="pct"/>
            <w:tcBorders>
              <w:top w:val="single" w:sz="4" w:space="0" w:color="291427" w:themeColor="accent5" w:themeShade="80"/>
              <w:left w:val="nil"/>
              <w:bottom w:val="single" w:sz="4" w:space="0" w:color="291427" w:themeColor="accent5" w:themeShade="80"/>
              <w:right w:val="nil"/>
            </w:tcBorders>
          </w:tcPr>
          <w:p w14:paraId="5FBDBE6D" w14:textId="62C4E500" w:rsidR="00AE672E" w:rsidRPr="001C317D" w:rsidRDefault="002C47AC" w:rsidP="002C47AC">
            <w:pPr>
              <w:pStyle w:val="APVMATableText"/>
              <w:jc w:val="right"/>
            </w:pPr>
            <w:r>
              <w:t>–</w:t>
            </w:r>
          </w:p>
        </w:tc>
        <w:tc>
          <w:tcPr>
            <w:tcW w:w="598" w:type="pct"/>
            <w:tcBorders>
              <w:top w:val="single" w:sz="4" w:space="0" w:color="291427" w:themeColor="accent5" w:themeShade="80"/>
              <w:left w:val="nil"/>
              <w:bottom w:val="single" w:sz="4" w:space="0" w:color="291427" w:themeColor="accent5" w:themeShade="80"/>
              <w:right w:val="nil"/>
            </w:tcBorders>
          </w:tcPr>
          <w:p w14:paraId="0D3F3CEF" w14:textId="1F208477" w:rsidR="00AE672E" w:rsidRPr="001C317D" w:rsidRDefault="002C47AC" w:rsidP="002C47AC">
            <w:pPr>
              <w:pStyle w:val="APVMATableText"/>
              <w:jc w:val="right"/>
            </w:pPr>
            <w:r>
              <w:t>–</w:t>
            </w:r>
          </w:p>
        </w:tc>
        <w:tc>
          <w:tcPr>
            <w:tcW w:w="559" w:type="pct"/>
            <w:tcBorders>
              <w:top w:val="single" w:sz="4" w:space="0" w:color="291427" w:themeColor="accent5" w:themeShade="80"/>
              <w:left w:val="nil"/>
              <w:bottom w:val="single" w:sz="4" w:space="0" w:color="291427" w:themeColor="accent5" w:themeShade="80"/>
              <w:right w:val="nil"/>
            </w:tcBorders>
          </w:tcPr>
          <w:p w14:paraId="4E114E6D" w14:textId="6D53A770" w:rsidR="00AE672E" w:rsidRPr="001C317D" w:rsidRDefault="002C47AC" w:rsidP="002C47AC">
            <w:pPr>
              <w:pStyle w:val="APVMATableText"/>
              <w:jc w:val="right"/>
            </w:pPr>
            <w:r>
              <w:t>–</w:t>
            </w:r>
          </w:p>
        </w:tc>
        <w:tc>
          <w:tcPr>
            <w:tcW w:w="630" w:type="pct"/>
            <w:tcBorders>
              <w:top w:val="single" w:sz="4" w:space="0" w:color="291427" w:themeColor="accent5" w:themeShade="80"/>
              <w:left w:val="nil"/>
              <w:bottom w:val="single" w:sz="4" w:space="0" w:color="291427" w:themeColor="accent5" w:themeShade="80"/>
              <w:right w:val="nil"/>
            </w:tcBorders>
          </w:tcPr>
          <w:p w14:paraId="08FA8EE2" w14:textId="111755AF" w:rsidR="00AE672E" w:rsidRPr="001C317D" w:rsidRDefault="002C47AC" w:rsidP="002C47AC">
            <w:pPr>
              <w:pStyle w:val="APVMATableText"/>
              <w:jc w:val="right"/>
            </w:pPr>
            <w:r>
              <w:t>–</w:t>
            </w:r>
          </w:p>
        </w:tc>
      </w:tr>
      <w:tr w:rsidR="00AE672E" w:rsidRPr="008D593D" w14:paraId="7125347D" w14:textId="77777777" w:rsidTr="001D035F">
        <w:tc>
          <w:tcPr>
            <w:tcW w:w="635" w:type="pct"/>
            <w:tcBorders>
              <w:top w:val="single" w:sz="4" w:space="0" w:color="291427" w:themeColor="accent5" w:themeShade="80"/>
              <w:left w:val="nil"/>
              <w:bottom w:val="single" w:sz="4" w:space="0" w:color="291427" w:themeColor="accent5" w:themeShade="80"/>
              <w:right w:val="nil"/>
            </w:tcBorders>
            <w:vAlign w:val="center"/>
          </w:tcPr>
          <w:p w14:paraId="5C432009" w14:textId="77777777" w:rsidR="00AE672E" w:rsidRPr="001C317D" w:rsidRDefault="00AE672E" w:rsidP="001C317D">
            <w:pPr>
              <w:pStyle w:val="APVMATableText"/>
            </w:pPr>
            <w:r w:rsidRPr="001C317D">
              <w:t>Stone fruits (group)</w:t>
            </w:r>
          </w:p>
        </w:tc>
        <w:tc>
          <w:tcPr>
            <w:tcW w:w="593" w:type="pct"/>
            <w:tcBorders>
              <w:top w:val="single" w:sz="4" w:space="0" w:color="291427" w:themeColor="accent5" w:themeShade="80"/>
              <w:left w:val="nil"/>
              <w:bottom w:val="single" w:sz="4" w:space="0" w:color="291427" w:themeColor="accent5" w:themeShade="80"/>
              <w:right w:val="nil"/>
            </w:tcBorders>
          </w:tcPr>
          <w:p w14:paraId="1630D057" w14:textId="50A72C8E" w:rsidR="00AE672E" w:rsidRPr="001C317D" w:rsidRDefault="002C47AC" w:rsidP="002C47AC">
            <w:pPr>
              <w:pStyle w:val="APVMATableText"/>
              <w:jc w:val="right"/>
            </w:pPr>
            <w:r>
              <w:t>–</w:t>
            </w:r>
          </w:p>
        </w:tc>
        <w:tc>
          <w:tcPr>
            <w:tcW w:w="593" w:type="pct"/>
            <w:tcBorders>
              <w:top w:val="single" w:sz="4" w:space="0" w:color="291427" w:themeColor="accent5" w:themeShade="80"/>
              <w:left w:val="nil"/>
              <w:bottom w:val="single" w:sz="4" w:space="0" w:color="291427" w:themeColor="accent5" w:themeShade="80"/>
              <w:right w:val="nil"/>
            </w:tcBorders>
          </w:tcPr>
          <w:p w14:paraId="69B54FA0" w14:textId="1CFDEF8D" w:rsidR="00AE672E" w:rsidRPr="001C317D" w:rsidRDefault="002C47AC" w:rsidP="002C47AC">
            <w:pPr>
              <w:pStyle w:val="APVMATableText"/>
              <w:jc w:val="right"/>
            </w:pPr>
            <w:r>
              <w:t>–</w:t>
            </w:r>
          </w:p>
        </w:tc>
        <w:tc>
          <w:tcPr>
            <w:tcW w:w="763" w:type="pct"/>
            <w:tcBorders>
              <w:top w:val="single" w:sz="4" w:space="0" w:color="291427" w:themeColor="accent5" w:themeShade="80"/>
              <w:left w:val="nil"/>
              <w:bottom w:val="single" w:sz="4" w:space="0" w:color="291427" w:themeColor="accent5" w:themeShade="80"/>
              <w:right w:val="nil"/>
            </w:tcBorders>
          </w:tcPr>
          <w:p w14:paraId="6BBCABE7" w14:textId="4BD17507" w:rsidR="00AE672E" w:rsidRPr="001C317D" w:rsidRDefault="00AE672E" w:rsidP="002C47AC">
            <w:pPr>
              <w:pStyle w:val="APVMATableText"/>
              <w:jc w:val="right"/>
            </w:pPr>
            <w:r w:rsidRPr="001C317D">
              <w:t>0.4</w:t>
            </w:r>
            <w:r w:rsidR="002C47AC">
              <w:rPr>
                <w:rStyle w:val="FootnoteReference"/>
              </w:rPr>
              <w:footnoteReference w:id="18"/>
            </w:r>
          </w:p>
        </w:tc>
        <w:tc>
          <w:tcPr>
            <w:tcW w:w="629" w:type="pct"/>
            <w:tcBorders>
              <w:top w:val="single" w:sz="4" w:space="0" w:color="291427" w:themeColor="accent5" w:themeShade="80"/>
              <w:left w:val="nil"/>
              <w:bottom w:val="single" w:sz="4" w:space="0" w:color="291427" w:themeColor="accent5" w:themeShade="80"/>
              <w:right w:val="nil"/>
            </w:tcBorders>
          </w:tcPr>
          <w:p w14:paraId="401BA3A5" w14:textId="0E663A08" w:rsidR="00AE672E" w:rsidRPr="001C317D" w:rsidRDefault="002C47AC" w:rsidP="002C47AC">
            <w:pPr>
              <w:pStyle w:val="APVMATableText"/>
              <w:jc w:val="right"/>
            </w:pPr>
            <w:r>
              <w:t>–</w:t>
            </w:r>
          </w:p>
        </w:tc>
        <w:tc>
          <w:tcPr>
            <w:tcW w:w="598" w:type="pct"/>
            <w:tcBorders>
              <w:top w:val="single" w:sz="4" w:space="0" w:color="291427" w:themeColor="accent5" w:themeShade="80"/>
              <w:left w:val="nil"/>
              <w:bottom w:val="single" w:sz="4" w:space="0" w:color="291427" w:themeColor="accent5" w:themeShade="80"/>
              <w:right w:val="nil"/>
            </w:tcBorders>
          </w:tcPr>
          <w:p w14:paraId="7F61CBFA" w14:textId="0EBA5E3F" w:rsidR="00AE672E" w:rsidRPr="001C317D" w:rsidRDefault="002C47AC" w:rsidP="002C47AC">
            <w:pPr>
              <w:pStyle w:val="APVMATableText"/>
              <w:jc w:val="right"/>
            </w:pPr>
            <w:r>
              <w:t>–</w:t>
            </w:r>
          </w:p>
        </w:tc>
        <w:tc>
          <w:tcPr>
            <w:tcW w:w="559" w:type="pct"/>
            <w:tcBorders>
              <w:top w:val="single" w:sz="4" w:space="0" w:color="291427" w:themeColor="accent5" w:themeShade="80"/>
              <w:left w:val="nil"/>
              <w:bottom w:val="single" w:sz="4" w:space="0" w:color="291427" w:themeColor="accent5" w:themeShade="80"/>
              <w:right w:val="nil"/>
            </w:tcBorders>
          </w:tcPr>
          <w:p w14:paraId="65DB2A42" w14:textId="084E36E6" w:rsidR="00AE672E" w:rsidRPr="001C317D" w:rsidRDefault="002C47AC" w:rsidP="002C47AC">
            <w:pPr>
              <w:pStyle w:val="APVMATableText"/>
              <w:jc w:val="right"/>
            </w:pPr>
            <w:r>
              <w:t>–</w:t>
            </w:r>
          </w:p>
        </w:tc>
        <w:tc>
          <w:tcPr>
            <w:tcW w:w="630" w:type="pct"/>
            <w:tcBorders>
              <w:top w:val="single" w:sz="4" w:space="0" w:color="291427" w:themeColor="accent5" w:themeShade="80"/>
              <w:left w:val="nil"/>
              <w:bottom w:val="single" w:sz="4" w:space="0" w:color="291427" w:themeColor="accent5" w:themeShade="80"/>
              <w:right w:val="nil"/>
            </w:tcBorders>
          </w:tcPr>
          <w:p w14:paraId="23F10A4F" w14:textId="0A0F7B9D" w:rsidR="00AE672E" w:rsidRPr="001C317D" w:rsidRDefault="002C47AC" w:rsidP="002C47AC">
            <w:pPr>
              <w:pStyle w:val="APVMATableText"/>
              <w:jc w:val="right"/>
            </w:pPr>
            <w:r>
              <w:t>–</w:t>
            </w:r>
          </w:p>
        </w:tc>
      </w:tr>
    </w:tbl>
    <w:p w14:paraId="52FD7418" w14:textId="7FC6AA80" w:rsidR="00AE672E" w:rsidRPr="001C317D" w:rsidRDefault="00AE672E" w:rsidP="001C317D">
      <w:pPr>
        <w:pStyle w:val="Caption"/>
      </w:pPr>
      <w:bookmarkStart w:id="68" w:name="_Toc138344498"/>
      <w:bookmarkEnd w:id="67"/>
      <w:r w:rsidRPr="001C317D">
        <w:lastRenderedPageBreak/>
        <w:t xml:space="preserve">Table </w:t>
      </w:r>
      <w:fldSimple w:instr=" SEQ Table \* ARABIC ">
        <w:r w:rsidR="0071488E">
          <w:rPr>
            <w:noProof/>
          </w:rPr>
          <w:t>7</w:t>
        </w:r>
      </w:fldSimple>
      <w:r w:rsidRPr="001C317D">
        <w:t>:</w:t>
      </w:r>
      <w:r w:rsidRPr="001C317D">
        <w:tab/>
        <w:t>Current and proposed Australian and overseas MRLs/tolerances for tebuconazole</w:t>
      </w:r>
      <w:bookmarkEnd w:id="6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870"/>
        <w:gridCol w:w="1871"/>
        <w:gridCol w:w="1871"/>
        <w:gridCol w:w="1871"/>
        <w:gridCol w:w="1743"/>
        <w:gridCol w:w="1871"/>
        <w:gridCol w:w="1877"/>
      </w:tblGrid>
      <w:tr w:rsidR="00AE672E" w:rsidRPr="008D593D" w14:paraId="155B0C7F" w14:textId="77777777" w:rsidTr="00F65F46">
        <w:trPr>
          <w:tblHeader/>
        </w:trPr>
        <w:tc>
          <w:tcPr>
            <w:tcW w:w="548" w:type="pct"/>
            <w:vMerge w:val="restart"/>
            <w:tcBorders>
              <w:top w:val="single" w:sz="4" w:space="0" w:color="auto"/>
              <w:left w:val="nil"/>
              <w:bottom w:val="single" w:sz="4" w:space="0" w:color="291427" w:themeColor="accent5" w:themeShade="80"/>
              <w:right w:val="nil"/>
            </w:tcBorders>
            <w:shd w:val="clear" w:color="auto" w:fill="00686E" w:themeFill="background2" w:themeFillShade="E6"/>
            <w:vAlign w:val="center"/>
          </w:tcPr>
          <w:p w14:paraId="67513253" w14:textId="77777777" w:rsidR="00AE672E" w:rsidRPr="001C317D" w:rsidRDefault="00AE672E" w:rsidP="001C317D">
            <w:pPr>
              <w:pStyle w:val="APVMATableHead"/>
            </w:pPr>
            <w:r w:rsidRPr="001C317D">
              <w:t>Commodity</w:t>
            </w:r>
          </w:p>
        </w:tc>
        <w:tc>
          <w:tcPr>
            <w:tcW w:w="4452" w:type="pct"/>
            <w:gridSpan w:val="7"/>
            <w:tcBorders>
              <w:top w:val="single" w:sz="4" w:space="0" w:color="auto"/>
              <w:left w:val="nil"/>
              <w:bottom w:val="single" w:sz="4" w:space="0" w:color="291427" w:themeColor="accent5" w:themeShade="80"/>
              <w:right w:val="nil"/>
            </w:tcBorders>
            <w:shd w:val="clear" w:color="auto" w:fill="00686E" w:themeFill="background2" w:themeFillShade="E6"/>
          </w:tcPr>
          <w:p w14:paraId="3104847A" w14:textId="77777777" w:rsidR="00AE672E" w:rsidRPr="001C317D" w:rsidRDefault="00AE672E" w:rsidP="001C317D">
            <w:pPr>
              <w:pStyle w:val="APVMATableHead"/>
            </w:pPr>
            <w:r w:rsidRPr="001C317D">
              <w:t>Tolerance for residues arising from the use of tebuconazole (mg/kg)</w:t>
            </w:r>
          </w:p>
        </w:tc>
      </w:tr>
      <w:tr w:rsidR="00AE672E" w:rsidRPr="008D593D" w14:paraId="5FC603F9" w14:textId="77777777" w:rsidTr="00F65F46">
        <w:trPr>
          <w:tblHeader/>
        </w:trPr>
        <w:tc>
          <w:tcPr>
            <w:tcW w:w="548" w:type="pct"/>
            <w:vMerge/>
            <w:tcBorders>
              <w:top w:val="single" w:sz="4" w:space="0" w:color="291427" w:themeColor="accent5" w:themeShade="80"/>
              <w:left w:val="nil"/>
              <w:bottom w:val="single" w:sz="4" w:space="0" w:color="auto"/>
              <w:right w:val="nil"/>
            </w:tcBorders>
            <w:shd w:val="clear" w:color="auto" w:fill="00686E" w:themeFill="background2" w:themeFillShade="E6"/>
          </w:tcPr>
          <w:p w14:paraId="60FB253F" w14:textId="77777777" w:rsidR="00AE672E" w:rsidRPr="001C317D" w:rsidRDefault="00AE672E" w:rsidP="001C317D">
            <w:pPr>
              <w:pStyle w:val="APVMATableHead"/>
            </w:pPr>
          </w:p>
        </w:tc>
        <w:tc>
          <w:tcPr>
            <w:tcW w:w="642" w:type="pct"/>
            <w:tcBorders>
              <w:top w:val="single" w:sz="4" w:space="0" w:color="291427" w:themeColor="accent5" w:themeShade="80"/>
              <w:left w:val="nil"/>
              <w:bottom w:val="single" w:sz="4" w:space="0" w:color="auto"/>
              <w:right w:val="nil"/>
            </w:tcBorders>
            <w:shd w:val="clear" w:color="auto" w:fill="00686E" w:themeFill="background2" w:themeFillShade="E6"/>
          </w:tcPr>
          <w:p w14:paraId="1DD0DC2C" w14:textId="3ED32B1C" w:rsidR="00AE672E" w:rsidRPr="001C317D" w:rsidRDefault="00AE672E" w:rsidP="002C47AC">
            <w:pPr>
              <w:pStyle w:val="APVMATableHead"/>
              <w:jc w:val="right"/>
            </w:pPr>
            <w:r w:rsidRPr="001C317D">
              <w:t>Australia</w:t>
            </w:r>
            <w:r w:rsidRPr="00241879">
              <w:rPr>
                <w:vertAlign w:val="superscript"/>
              </w:rPr>
              <w:footnoteReference w:id="19"/>
            </w:r>
          </w:p>
        </w:tc>
        <w:tc>
          <w:tcPr>
            <w:tcW w:w="642" w:type="pct"/>
            <w:tcBorders>
              <w:top w:val="single" w:sz="4" w:space="0" w:color="291427" w:themeColor="accent5" w:themeShade="80"/>
              <w:left w:val="nil"/>
              <w:bottom w:val="single" w:sz="4" w:space="0" w:color="auto"/>
              <w:right w:val="nil"/>
            </w:tcBorders>
            <w:shd w:val="clear" w:color="auto" w:fill="00686E" w:themeFill="background2" w:themeFillShade="E6"/>
          </w:tcPr>
          <w:p w14:paraId="709B483E" w14:textId="5DE3D3B2" w:rsidR="00AE672E" w:rsidRPr="001C317D" w:rsidRDefault="00AE672E" w:rsidP="002C47AC">
            <w:pPr>
              <w:pStyle w:val="APVMATableHead"/>
              <w:jc w:val="right"/>
            </w:pPr>
            <w:r w:rsidRPr="001C317D">
              <w:t>Codex</w:t>
            </w:r>
            <w:r w:rsidRPr="00241879">
              <w:rPr>
                <w:vertAlign w:val="superscript"/>
              </w:rPr>
              <w:footnoteReference w:id="20"/>
            </w:r>
          </w:p>
        </w:tc>
        <w:tc>
          <w:tcPr>
            <w:tcW w:w="642" w:type="pct"/>
            <w:tcBorders>
              <w:top w:val="single" w:sz="4" w:space="0" w:color="291427" w:themeColor="accent5" w:themeShade="80"/>
              <w:left w:val="nil"/>
              <w:bottom w:val="single" w:sz="4" w:space="0" w:color="auto"/>
              <w:right w:val="nil"/>
            </w:tcBorders>
            <w:shd w:val="clear" w:color="auto" w:fill="00686E" w:themeFill="background2" w:themeFillShade="E6"/>
          </w:tcPr>
          <w:p w14:paraId="102F5E93" w14:textId="60272378" w:rsidR="00AE672E" w:rsidRPr="001C317D" w:rsidRDefault="00AE672E" w:rsidP="002C47AC">
            <w:pPr>
              <w:pStyle w:val="APVMATableHead"/>
              <w:jc w:val="right"/>
            </w:pPr>
            <w:r w:rsidRPr="001C317D">
              <w:t>China</w:t>
            </w:r>
            <w:r w:rsidRPr="00241879">
              <w:rPr>
                <w:rStyle w:val="FootnoteReference"/>
              </w:rPr>
              <w:footnoteReference w:id="21"/>
            </w:r>
          </w:p>
        </w:tc>
        <w:tc>
          <w:tcPr>
            <w:tcW w:w="642" w:type="pct"/>
            <w:tcBorders>
              <w:top w:val="single" w:sz="4" w:space="0" w:color="291427" w:themeColor="accent5" w:themeShade="80"/>
              <w:left w:val="nil"/>
              <w:bottom w:val="single" w:sz="4" w:space="0" w:color="auto"/>
              <w:right w:val="nil"/>
            </w:tcBorders>
            <w:shd w:val="clear" w:color="auto" w:fill="00686E" w:themeFill="background2" w:themeFillShade="E6"/>
          </w:tcPr>
          <w:p w14:paraId="044BDE2F" w14:textId="5CA96A7B" w:rsidR="00AE672E" w:rsidRPr="001C317D" w:rsidRDefault="00AE672E" w:rsidP="002C47AC">
            <w:pPr>
              <w:pStyle w:val="APVMATableHead"/>
              <w:jc w:val="right"/>
            </w:pPr>
            <w:r w:rsidRPr="001C317D">
              <w:t>Hong Kong</w:t>
            </w:r>
            <w:r w:rsidRPr="00241879">
              <w:rPr>
                <w:rStyle w:val="FootnoteReference"/>
              </w:rPr>
              <w:footnoteReference w:id="22"/>
            </w:r>
          </w:p>
        </w:tc>
        <w:tc>
          <w:tcPr>
            <w:tcW w:w="598" w:type="pct"/>
            <w:tcBorders>
              <w:top w:val="single" w:sz="4" w:space="0" w:color="291427" w:themeColor="accent5" w:themeShade="80"/>
              <w:left w:val="nil"/>
              <w:bottom w:val="single" w:sz="4" w:space="0" w:color="auto"/>
              <w:right w:val="nil"/>
            </w:tcBorders>
            <w:shd w:val="clear" w:color="auto" w:fill="00686E" w:themeFill="background2" w:themeFillShade="E6"/>
          </w:tcPr>
          <w:p w14:paraId="6D976E10" w14:textId="4EB5863A" w:rsidR="00AE672E" w:rsidRPr="001C317D" w:rsidRDefault="00AE672E" w:rsidP="002C47AC">
            <w:pPr>
              <w:pStyle w:val="APVMATableHead"/>
              <w:jc w:val="right"/>
            </w:pPr>
            <w:r w:rsidRPr="001C317D">
              <w:t>Singapore</w:t>
            </w:r>
            <w:r w:rsidRPr="001C317D">
              <w:rPr>
                <w:rStyle w:val="FootnoteReference"/>
                <w:vertAlign w:val="baseline"/>
              </w:rPr>
              <w:footnoteReference w:id="23"/>
            </w:r>
          </w:p>
        </w:tc>
        <w:tc>
          <w:tcPr>
            <w:tcW w:w="642" w:type="pct"/>
            <w:tcBorders>
              <w:top w:val="single" w:sz="4" w:space="0" w:color="291427" w:themeColor="accent5" w:themeShade="80"/>
              <w:left w:val="nil"/>
              <w:bottom w:val="single" w:sz="4" w:space="0" w:color="auto"/>
              <w:right w:val="nil"/>
            </w:tcBorders>
            <w:shd w:val="clear" w:color="auto" w:fill="00686E" w:themeFill="background2" w:themeFillShade="E6"/>
          </w:tcPr>
          <w:p w14:paraId="65665678" w14:textId="571E4C78" w:rsidR="00AE672E" w:rsidRPr="001C317D" w:rsidRDefault="00AE672E" w:rsidP="002C47AC">
            <w:pPr>
              <w:pStyle w:val="APVMATableHead"/>
              <w:jc w:val="right"/>
            </w:pPr>
            <w:r w:rsidRPr="001C317D">
              <w:t>EU</w:t>
            </w:r>
            <w:r w:rsidRPr="00241879">
              <w:rPr>
                <w:rStyle w:val="FootnoteReference"/>
              </w:rPr>
              <w:footnoteReference w:id="24"/>
            </w:r>
          </w:p>
        </w:tc>
        <w:tc>
          <w:tcPr>
            <w:tcW w:w="644" w:type="pct"/>
            <w:tcBorders>
              <w:top w:val="single" w:sz="4" w:space="0" w:color="291427" w:themeColor="accent5" w:themeShade="80"/>
              <w:left w:val="nil"/>
              <w:bottom w:val="single" w:sz="4" w:space="0" w:color="auto"/>
              <w:right w:val="nil"/>
            </w:tcBorders>
            <w:shd w:val="clear" w:color="auto" w:fill="00686E" w:themeFill="background2" w:themeFillShade="E6"/>
          </w:tcPr>
          <w:p w14:paraId="221020C6" w14:textId="4298DF27" w:rsidR="00AE672E" w:rsidRPr="001C317D" w:rsidRDefault="00AE672E" w:rsidP="002C47AC">
            <w:pPr>
              <w:pStyle w:val="APVMATableHead"/>
              <w:jc w:val="right"/>
            </w:pPr>
            <w:r w:rsidRPr="001C317D">
              <w:t>USA</w:t>
            </w:r>
            <w:r w:rsidRPr="00241879">
              <w:rPr>
                <w:rStyle w:val="FootnoteReference"/>
              </w:rPr>
              <w:footnoteReference w:id="25"/>
            </w:r>
          </w:p>
        </w:tc>
      </w:tr>
      <w:tr w:rsidR="00AE672E" w:rsidRPr="008D593D" w14:paraId="3F95D3A9" w14:textId="77777777" w:rsidTr="00F65F46">
        <w:tc>
          <w:tcPr>
            <w:tcW w:w="548" w:type="pct"/>
            <w:tcBorders>
              <w:top w:val="single" w:sz="4" w:space="0" w:color="auto"/>
              <w:left w:val="nil"/>
              <w:bottom w:val="single" w:sz="4" w:space="0" w:color="291427" w:themeColor="accent5" w:themeShade="80"/>
              <w:right w:val="nil"/>
            </w:tcBorders>
          </w:tcPr>
          <w:p w14:paraId="4A936290" w14:textId="755867F8" w:rsidR="00AE672E" w:rsidRPr="001C317D" w:rsidRDefault="00AE672E" w:rsidP="001C317D">
            <w:pPr>
              <w:pStyle w:val="APVMATableText"/>
            </w:pPr>
            <w:r w:rsidRPr="001C317D">
              <w:t xml:space="preserve">Residue </w:t>
            </w:r>
            <w:r w:rsidR="002C47AC">
              <w:t>d</w:t>
            </w:r>
            <w:r w:rsidRPr="001C317D">
              <w:t>efinition</w:t>
            </w:r>
          </w:p>
        </w:tc>
        <w:tc>
          <w:tcPr>
            <w:tcW w:w="642" w:type="pct"/>
            <w:tcBorders>
              <w:top w:val="single" w:sz="4" w:space="0" w:color="auto"/>
              <w:left w:val="nil"/>
              <w:bottom w:val="single" w:sz="4" w:space="0" w:color="291427" w:themeColor="accent5" w:themeShade="80"/>
              <w:right w:val="nil"/>
            </w:tcBorders>
          </w:tcPr>
          <w:p w14:paraId="133918DD" w14:textId="77777777" w:rsidR="00AE672E" w:rsidRPr="001C317D" w:rsidRDefault="00AE672E" w:rsidP="002C47AC">
            <w:pPr>
              <w:pStyle w:val="APVMATableText"/>
              <w:jc w:val="right"/>
            </w:pPr>
            <w:r w:rsidRPr="001C317D">
              <w:t>Tebuconazole</w:t>
            </w:r>
          </w:p>
        </w:tc>
        <w:tc>
          <w:tcPr>
            <w:tcW w:w="642" w:type="pct"/>
            <w:tcBorders>
              <w:top w:val="single" w:sz="4" w:space="0" w:color="auto"/>
              <w:left w:val="nil"/>
              <w:bottom w:val="single" w:sz="4" w:space="0" w:color="291427" w:themeColor="accent5" w:themeShade="80"/>
              <w:right w:val="nil"/>
            </w:tcBorders>
          </w:tcPr>
          <w:p w14:paraId="107B9501" w14:textId="77777777" w:rsidR="00AE672E" w:rsidRPr="001C317D" w:rsidRDefault="00AE672E" w:rsidP="002C47AC">
            <w:pPr>
              <w:pStyle w:val="APVMATableText"/>
              <w:jc w:val="right"/>
            </w:pPr>
            <w:r w:rsidRPr="001C317D">
              <w:t>Tebuconazole</w:t>
            </w:r>
          </w:p>
        </w:tc>
        <w:tc>
          <w:tcPr>
            <w:tcW w:w="642" w:type="pct"/>
            <w:tcBorders>
              <w:top w:val="single" w:sz="4" w:space="0" w:color="auto"/>
              <w:left w:val="nil"/>
              <w:bottom w:val="single" w:sz="4" w:space="0" w:color="291427" w:themeColor="accent5" w:themeShade="80"/>
              <w:right w:val="nil"/>
            </w:tcBorders>
          </w:tcPr>
          <w:p w14:paraId="700FFC1C" w14:textId="77777777" w:rsidR="00AE672E" w:rsidRPr="001C317D" w:rsidRDefault="00AE672E" w:rsidP="002C47AC">
            <w:pPr>
              <w:pStyle w:val="APVMATableText"/>
              <w:jc w:val="right"/>
            </w:pPr>
            <w:r w:rsidRPr="001C317D">
              <w:t>Tebuconazole</w:t>
            </w:r>
          </w:p>
        </w:tc>
        <w:tc>
          <w:tcPr>
            <w:tcW w:w="642" w:type="pct"/>
            <w:tcBorders>
              <w:top w:val="single" w:sz="4" w:space="0" w:color="auto"/>
              <w:left w:val="nil"/>
              <w:bottom w:val="single" w:sz="4" w:space="0" w:color="291427" w:themeColor="accent5" w:themeShade="80"/>
              <w:right w:val="nil"/>
            </w:tcBorders>
          </w:tcPr>
          <w:p w14:paraId="3047B994" w14:textId="77777777" w:rsidR="00AE672E" w:rsidRPr="001C317D" w:rsidRDefault="00AE672E" w:rsidP="002C47AC">
            <w:pPr>
              <w:pStyle w:val="APVMATableText"/>
              <w:jc w:val="right"/>
            </w:pPr>
            <w:r w:rsidRPr="001C317D">
              <w:t>Tebuconazole</w:t>
            </w:r>
          </w:p>
        </w:tc>
        <w:tc>
          <w:tcPr>
            <w:tcW w:w="598" w:type="pct"/>
            <w:tcBorders>
              <w:top w:val="single" w:sz="4" w:space="0" w:color="auto"/>
              <w:left w:val="nil"/>
              <w:bottom w:val="single" w:sz="4" w:space="0" w:color="291427" w:themeColor="accent5" w:themeShade="80"/>
              <w:right w:val="nil"/>
            </w:tcBorders>
          </w:tcPr>
          <w:p w14:paraId="4AA742E6" w14:textId="73153EA7" w:rsidR="00AE672E" w:rsidRPr="001C317D" w:rsidRDefault="002C47AC" w:rsidP="002C47AC">
            <w:pPr>
              <w:pStyle w:val="APVMATableText"/>
              <w:jc w:val="right"/>
            </w:pPr>
            <w:r>
              <w:t>–</w:t>
            </w:r>
          </w:p>
        </w:tc>
        <w:tc>
          <w:tcPr>
            <w:tcW w:w="642" w:type="pct"/>
            <w:tcBorders>
              <w:top w:val="single" w:sz="4" w:space="0" w:color="auto"/>
              <w:left w:val="nil"/>
              <w:bottom w:val="single" w:sz="4" w:space="0" w:color="291427" w:themeColor="accent5" w:themeShade="80"/>
              <w:right w:val="nil"/>
            </w:tcBorders>
          </w:tcPr>
          <w:p w14:paraId="0DBE4D1F" w14:textId="77777777" w:rsidR="00AE672E" w:rsidRPr="001C317D" w:rsidRDefault="00AE672E" w:rsidP="002C47AC">
            <w:pPr>
              <w:pStyle w:val="APVMATableText"/>
              <w:jc w:val="right"/>
            </w:pPr>
            <w:r w:rsidRPr="001C317D">
              <w:t>Tebuconazole</w:t>
            </w:r>
          </w:p>
        </w:tc>
        <w:tc>
          <w:tcPr>
            <w:tcW w:w="644" w:type="pct"/>
            <w:tcBorders>
              <w:top w:val="single" w:sz="4" w:space="0" w:color="auto"/>
              <w:left w:val="nil"/>
              <w:bottom w:val="single" w:sz="4" w:space="0" w:color="291427" w:themeColor="accent5" w:themeShade="80"/>
              <w:right w:val="nil"/>
            </w:tcBorders>
          </w:tcPr>
          <w:p w14:paraId="58A15063" w14:textId="77777777" w:rsidR="00AE672E" w:rsidRPr="001C317D" w:rsidRDefault="00AE672E" w:rsidP="002C47AC">
            <w:pPr>
              <w:pStyle w:val="APVMATableText"/>
              <w:jc w:val="right"/>
            </w:pPr>
            <w:r w:rsidRPr="001C317D">
              <w:t>Tebuconazole</w:t>
            </w:r>
          </w:p>
        </w:tc>
      </w:tr>
      <w:tr w:rsidR="00AE672E" w:rsidRPr="008D593D" w14:paraId="2F2976B5" w14:textId="77777777" w:rsidTr="00F65F46">
        <w:tc>
          <w:tcPr>
            <w:tcW w:w="548" w:type="pct"/>
            <w:tcBorders>
              <w:top w:val="single" w:sz="4" w:space="0" w:color="291427" w:themeColor="accent5" w:themeShade="80"/>
              <w:left w:val="nil"/>
              <w:bottom w:val="single" w:sz="4" w:space="0" w:color="291427" w:themeColor="accent5" w:themeShade="80"/>
              <w:right w:val="nil"/>
            </w:tcBorders>
            <w:vAlign w:val="center"/>
          </w:tcPr>
          <w:p w14:paraId="71E5D13C" w14:textId="77777777" w:rsidR="00AE672E" w:rsidRPr="001C317D" w:rsidRDefault="00AE672E" w:rsidP="001C317D">
            <w:pPr>
              <w:pStyle w:val="APVMATableText"/>
            </w:pPr>
            <w:r w:rsidRPr="001C317D">
              <w:t>Plums</w:t>
            </w:r>
          </w:p>
        </w:tc>
        <w:tc>
          <w:tcPr>
            <w:tcW w:w="642" w:type="pct"/>
            <w:tcBorders>
              <w:top w:val="single" w:sz="4" w:space="0" w:color="291427" w:themeColor="accent5" w:themeShade="80"/>
              <w:left w:val="nil"/>
              <w:bottom w:val="single" w:sz="4" w:space="0" w:color="291427" w:themeColor="accent5" w:themeShade="80"/>
              <w:right w:val="nil"/>
            </w:tcBorders>
          </w:tcPr>
          <w:p w14:paraId="1898D8A5" w14:textId="77777777" w:rsidR="00AE672E" w:rsidRPr="001C317D" w:rsidRDefault="00AE672E" w:rsidP="002C47AC">
            <w:pPr>
              <w:pStyle w:val="APVMATableText"/>
              <w:jc w:val="right"/>
            </w:pPr>
            <w:r w:rsidRPr="001C317D">
              <w:t>T0.3 (proposed)</w:t>
            </w:r>
          </w:p>
        </w:tc>
        <w:tc>
          <w:tcPr>
            <w:tcW w:w="642" w:type="pct"/>
            <w:tcBorders>
              <w:top w:val="single" w:sz="4" w:space="0" w:color="291427" w:themeColor="accent5" w:themeShade="80"/>
              <w:left w:val="nil"/>
              <w:bottom w:val="single" w:sz="4" w:space="0" w:color="291427" w:themeColor="accent5" w:themeShade="80"/>
              <w:right w:val="nil"/>
            </w:tcBorders>
          </w:tcPr>
          <w:p w14:paraId="3ABBF082" w14:textId="77777777" w:rsidR="00AE672E" w:rsidRPr="001C317D" w:rsidRDefault="00AE672E" w:rsidP="002C47AC">
            <w:pPr>
              <w:pStyle w:val="APVMATableText"/>
              <w:jc w:val="right"/>
            </w:pPr>
            <w:r w:rsidRPr="001C317D">
              <w:t>1 (subgroup)</w:t>
            </w:r>
          </w:p>
        </w:tc>
        <w:tc>
          <w:tcPr>
            <w:tcW w:w="642" w:type="pct"/>
            <w:tcBorders>
              <w:top w:val="single" w:sz="4" w:space="0" w:color="291427" w:themeColor="accent5" w:themeShade="80"/>
              <w:left w:val="nil"/>
              <w:bottom w:val="single" w:sz="4" w:space="0" w:color="291427" w:themeColor="accent5" w:themeShade="80"/>
              <w:right w:val="nil"/>
            </w:tcBorders>
          </w:tcPr>
          <w:p w14:paraId="57067867" w14:textId="77777777" w:rsidR="00AE672E" w:rsidRPr="001C317D" w:rsidRDefault="00AE672E" w:rsidP="002C47AC">
            <w:pPr>
              <w:pStyle w:val="APVMATableText"/>
              <w:jc w:val="right"/>
            </w:pPr>
            <w:r w:rsidRPr="001C317D">
              <w:t>1</w:t>
            </w:r>
          </w:p>
        </w:tc>
        <w:tc>
          <w:tcPr>
            <w:tcW w:w="642" w:type="pct"/>
            <w:tcBorders>
              <w:top w:val="single" w:sz="4" w:space="0" w:color="291427" w:themeColor="accent5" w:themeShade="80"/>
              <w:left w:val="nil"/>
              <w:bottom w:val="single" w:sz="4" w:space="0" w:color="291427" w:themeColor="accent5" w:themeShade="80"/>
              <w:right w:val="nil"/>
            </w:tcBorders>
          </w:tcPr>
          <w:p w14:paraId="2E45E4B5" w14:textId="67B82B61" w:rsidR="00AE672E" w:rsidRPr="001C317D" w:rsidRDefault="002C47AC" w:rsidP="002C47AC">
            <w:pPr>
              <w:pStyle w:val="APVMATableText"/>
              <w:jc w:val="right"/>
            </w:pPr>
            <w:r>
              <w:t>–</w:t>
            </w:r>
          </w:p>
        </w:tc>
        <w:tc>
          <w:tcPr>
            <w:tcW w:w="598" w:type="pct"/>
            <w:tcBorders>
              <w:top w:val="single" w:sz="4" w:space="0" w:color="291427" w:themeColor="accent5" w:themeShade="80"/>
              <w:left w:val="nil"/>
              <w:bottom w:val="single" w:sz="4" w:space="0" w:color="291427" w:themeColor="accent5" w:themeShade="80"/>
              <w:right w:val="nil"/>
            </w:tcBorders>
          </w:tcPr>
          <w:p w14:paraId="4A63ACB3" w14:textId="04B980A7" w:rsidR="00AE672E" w:rsidRPr="001C317D" w:rsidRDefault="002C47AC" w:rsidP="002C47AC">
            <w:pPr>
              <w:pStyle w:val="APVMATableText"/>
              <w:jc w:val="right"/>
            </w:pPr>
            <w:r>
              <w:t>–</w:t>
            </w:r>
          </w:p>
        </w:tc>
        <w:tc>
          <w:tcPr>
            <w:tcW w:w="642" w:type="pct"/>
            <w:tcBorders>
              <w:top w:val="single" w:sz="4" w:space="0" w:color="291427" w:themeColor="accent5" w:themeShade="80"/>
              <w:left w:val="nil"/>
              <w:bottom w:val="single" w:sz="4" w:space="0" w:color="291427" w:themeColor="accent5" w:themeShade="80"/>
              <w:right w:val="nil"/>
            </w:tcBorders>
          </w:tcPr>
          <w:p w14:paraId="6CE52AAA" w14:textId="77777777" w:rsidR="00AE672E" w:rsidRPr="001C317D" w:rsidRDefault="00AE672E" w:rsidP="002C47AC">
            <w:pPr>
              <w:pStyle w:val="APVMATableText"/>
              <w:jc w:val="right"/>
            </w:pPr>
            <w:r w:rsidRPr="001C317D">
              <w:t>1</w:t>
            </w:r>
          </w:p>
        </w:tc>
        <w:tc>
          <w:tcPr>
            <w:tcW w:w="644" w:type="pct"/>
            <w:tcBorders>
              <w:top w:val="single" w:sz="4" w:space="0" w:color="291427" w:themeColor="accent5" w:themeShade="80"/>
              <w:left w:val="nil"/>
              <w:bottom w:val="single" w:sz="4" w:space="0" w:color="291427" w:themeColor="accent5" w:themeShade="80"/>
              <w:right w:val="nil"/>
            </w:tcBorders>
          </w:tcPr>
          <w:p w14:paraId="2EA29B38" w14:textId="386C2282" w:rsidR="00AE672E" w:rsidRPr="001C317D" w:rsidRDefault="00AE672E" w:rsidP="002C47AC">
            <w:pPr>
              <w:pStyle w:val="APVMATableText"/>
              <w:jc w:val="right"/>
            </w:pPr>
            <w:r w:rsidRPr="001C317D">
              <w:t xml:space="preserve">1 </w:t>
            </w:r>
            <w:r w:rsidR="001D035F" w:rsidRPr="001C317D">
              <w:t>(subgroup</w:t>
            </w:r>
            <w:r w:rsidRPr="001C317D">
              <w:t>)</w:t>
            </w:r>
          </w:p>
        </w:tc>
      </w:tr>
      <w:tr w:rsidR="00AE672E" w:rsidRPr="008D593D" w14:paraId="4D8E655F" w14:textId="77777777" w:rsidTr="00F65F46">
        <w:tc>
          <w:tcPr>
            <w:tcW w:w="548" w:type="pct"/>
            <w:tcBorders>
              <w:top w:val="single" w:sz="4" w:space="0" w:color="291427" w:themeColor="accent5" w:themeShade="80"/>
              <w:left w:val="nil"/>
              <w:bottom w:val="single" w:sz="4" w:space="0" w:color="291427" w:themeColor="accent5" w:themeShade="80"/>
              <w:right w:val="nil"/>
            </w:tcBorders>
            <w:vAlign w:val="center"/>
          </w:tcPr>
          <w:p w14:paraId="64BBBC8B" w14:textId="77777777" w:rsidR="00AE672E" w:rsidRPr="001C317D" w:rsidRDefault="00AE672E" w:rsidP="001C317D">
            <w:pPr>
              <w:pStyle w:val="APVMATableText"/>
            </w:pPr>
            <w:r w:rsidRPr="001C317D">
              <w:t>Prunes</w:t>
            </w:r>
          </w:p>
        </w:tc>
        <w:tc>
          <w:tcPr>
            <w:tcW w:w="642" w:type="pct"/>
            <w:tcBorders>
              <w:top w:val="single" w:sz="4" w:space="0" w:color="291427" w:themeColor="accent5" w:themeShade="80"/>
              <w:left w:val="nil"/>
              <w:bottom w:val="single" w:sz="4" w:space="0" w:color="291427" w:themeColor="accent5" w:themeShade="80"/>
              <w:right w:val="nil"/>
            </w:tcBorders>
          </w:tcPr>
          <w:p w14:paraId="113D0295" w14:textId="77777777" w:rsidR="00AE672E" w:rsidRPr="001C317D" w:rsidRDefault="00AE672E" w:rsidP="002C47AC">
            <w:pPr>
              <w:pStyle w:val="APVMATableText"/>
              <w:jc w:val="right"/>
            </w:pPr>
            <w:r w:rsidRPr="001C317D">
              <w:t>T2</w:t>
            </w:r>
          </w:p>
        </w:tc>
        <w:tc>
          <w:tcPr>
            <w:tcW w:w="642" w:type="pct"/>
            <w:tcBorders>
              <w:top w:val="single" w:sz="4" w:space="0" w:color="291427" w:themeColor="accent5" w:themeShade="80"/>
              <w:left w:val="nil"/>
              <w:bottom w:val="single" w:sz="4" w:space="0" w:color="291427" w:themeColor="accent5" w:themeShade="80"/>
              <w:right w:val="nil"/>
            </w:tcBorders>
          </w:tcPr>
          <w:p w14:paraId="6C98B8B0" w14:textId="77777777" w:rsidR="00AE672E" w:rsidRPr="001C317D" w:rsidRDefault="00AE672E" w:rsidP="002C47AC">
            <w:pPr>
              <w:pStyle w:val="APVMATableText"/>
              <w:jc w:val="right"/>
            </w:pPr>
            <w:r w:rsidRPr="001C317D">
              <w:t>3</w:t>
            </w:r>
          </w:p>
        </w:tc>
        <w:tc>
          <w:tcPr>
            <w:tcW w:w="642" w:type="pct"/>
            <w:tcBorders>
              <w:top w:val="single" w:sz="4" w:space="0" w:color="291427" w:themeColor="accent5" w:themeShade="80"/>
              <w:left w:val="nil"/>
              <w:bottom w:val="single" w:sz="4" w:space="0" w:color="291427" w:themeColor="accent5" w:themeShade="80"/>
              <w:right w:val="nil"/>
            </w:tcBorders>
          </w:tcPr>
          <w:p w14:paraId="39F2185F" w14:textId="77777777" w:rsidR="00AE672E" w:rsidRPr="001C317D" w:rsidRDefault="00AE672E" w:rsidP="002C47AC">
            <w:pPr>
              <w:pStyle w:val="APVMATableText"/>
              <w:jc w:val="right"/>
            </w:pPr>
            <w:r w:rsidRPr="001C317D">
              <w:t>3</w:t>
            </w:r>
          </w:p>
        </w:tc>
        <w:tc>
          <w:tcPr>
            <w:tcW w:w="642" w:type="pct"/>
            <w:tcBorders>
              <w:top w:val="single" w:sz="4" w:space="0" w:color="291427" w:themeColor="accent5" w:themeShade="80"/>
              <w:left w:val="nil"/>
              <w:bottom w:val="single" w:sz="4" w:space="0" w:color="291427" w:themeColor="accent5" w:themeShade="80"/>
              <w:right w:val="nil"/>
            </w:tcBorders>
          </w:tcPr>
          <w:p w14:paraId="179DC5A9" w14:textId="39BC584C" w:rsidR="00AE672E" w:rsidRPr="001C317D" w:rsidRDefault="002C47AC" w:rsidP="002C47AC">
            <w:pPr>
              <w:pStyle w:val="APVMATableText"/>
              <w:jc w:val="right"/>
            </w:pPr>
            <w:r>
              <w:t>–</w:t>
            </w:r>
          </w:p>
        </w:tc>
        <w:tc>
          <w:tcPr>
            <w:tcW w:w="598" w:type="pct"/>
            <w:tcBorders>
              <w:top w:val="single" w:sz="4" w:space="0" w:color="291427" w:themeColor="accent5" w:themeShade="80"/>
              <w:left w:val="nil"/>
              <w:bottom w:val="single" w:sz="4" w:space="0" w:color="291427" w:themeColor="accent5" w:themeShade="80"/>
              <w:right w:val="nil"/>
            </w:tcBorders>
          </w:tcPr>
          <w:p w14:paraId="1AB4B35F" w14:textId="139D07EE" w:rsidR="00AE672E" w:rsidRPr="001C317D" w:rsidRDefault="002C47AC" w:rsidP="002C47AC">
            <w:pPr>
              <w:pStyle w:val="APVMATableText"/>
              <w:jc w:val="right"/>
            </w:pPr>
            <w:r>
              <w:t>–</w:t>
            </w:r>
          </w:p>
        </w:tc>
        <w:tc>
          <w:tcPr>
            <w:tcW w:w="642" w:type="pct"/>
            <w:tcBorders>
              <w:top w:val="single" w:sz="4" w:space="0" w:color="291427" w:themeColor="accent5" w:themeShade="80"/>
              <w:left w:val="nil"/>
              <w:bottom w:val="single" w:sz="4" w:space="0" w:color="291427" w:themeColor="accent5" w:themeShade="80"/>
              <w:right w:val="nil"/>
            </w:tcBorders>
          </w:tcPr>
          <w:p w14:paraId="21520839" w14:textId="37E366E7" w:rsidR="00AE672E" w:rsidRPr="001C317D" w:rsidRDefault="002C47AC" w:rsidP="002C47AC">
            <w:pPr>
              <w:pStyle w:val="APVMATableText"/>
              <w:jc w:val="right"/>
            </w:pPr>
            <w:r>
              <w:t>–</w:t>
            </w:r>
          </w:p>
        </w:tc>
        <w:tc>
          <w:tcPr>
            <w:tcW w:w="644" w:type="pct"/>
            <w:tcBorders>
              <w:top w:val="single" w:sz="4" w:space="0" w:color="291427" w:themeColor="accent5" w:themeShade="80"/>
              <w:left w:val="nil"/>
              <w:bottom w:val="single" w:sz="4" w:space="0" w:color="291427" w:themeColor="accent5" w:themeShade="80"/>
              <w:right w:val="nil"/>
            </w:tcBorders>
          </w:tcPr>
          <w:p w14:paraId="63123BD6" w14:textId="634A67E6" w:rsidR="00AE672E" w:rsidRPr="001C317D" w:rsidRDefault="002C47AC" w:rsidP="002C47AC">
            <w:pPr>
              <w:pStyle w:val="APVMATableText"/>
              <w:jc w:val="right"/>
            </w:pPr>
            <w:r>
              <w:t>–</w:t>
            </w:r>
          </w:p>
        </w:tc>
      </w:tr>
      <w:tr w:rsidR="00AE672E" w:rsidRPr="008D593D" w14:paraId="12029D94" w14:textId="77777777" w:rsidTr="00F65F46">
        <w:tc>
          <w:tcPr>
            <w:tcW w:w="548" w:type="pct"/>
            <w:tcBorders>
              <w:top w:val="single" w:sz="4" w:space="0" w:color="291427" w:themeColor="accent5" w:themeShade="80"/>
              <w:left w:val="nil"/>
              <w:bottom w:val="single" w:sz="4" w:space="0" w:color="291427" w:themeColor="accent5" w:themeShade="80"/>
              <w:right w:val="nil"/>
            </w:tcBorders>
            <w:vAlign w:val="center"/>
          </w:tcPr>
          <w:p w14:paraId="6AD3C52D" w14:textId="77777777" w:rsidR="00AE672E" w:rsidRPr="001C317D" w:rsidRDefault="00AE672E" w:rsidP="001C317D">
            <w:pPr>
              <w:pStyle w:val="APVMATableText"/>
            </w:pPr>
            <w:r w:rsidRPr="001C317D">
              <w:t>Stone fruits (group)</w:t>
            </w:r>
          </w:p>
        </w:tc>
        <w:tc>
          <w:tcPr>
            <w:tcW w:w="642" w:type="pct"/>
            <w:tcBorders>
              <w:top w:val="single" w:sz="4" w:space="0" w:color="291427" w:themeColor="accent5" w:themeShade="80"/>
              <w:left w:val="nil"/>
              <w:bottom w:val="single" w:sz="4" w:space="0" w:color="291427" w:themeColor="accent5" w:themeShade="80"/>
              <w:right w:val="nil"/>
            </w:tcBorders>
          </w:tcPr>
          <w:p w14:paraId="107585C9" w14:textId="7A8EB2BD" w:rsidR="00AE672E" w:rsidRPr="001C317D" w:rsidRDefault="00CC7D7F" w:rsidP="002C47AC">
            <w:pPr>
              <w:pStyle w:val="APVMATableText"/>
              <w:jc w:val="right"/>
            </w:pPr>
            <w:r>
              <w:t>*</w:t>
            </w:r>
            <w:r w:rsidR="00AE672E" w:rsidRPr="001C317D">
              <w:t>0.01 (established)</w:t>
            </w:r>
            <w:r w:rsidR="001C317D">
              <w:t xml:space="preserve"> </w:t>
            </w:r>
            <w:r>
              <w:t>*</w:t>
            </w:r>
            <w:r w:rsidR="00AE672E" w:rsidRPr="001C317D">
              <w:t>0.01 Stone fruits {except Plums} (proposed)</w:t>
            </w:r>
          </w:p>
        </w:tc>
        <w:tc>
          <w:tcPr>
            <w:tcW w:w="642" w:type="pct"/>
            <w:tcBorders>
              <w:top w:val="single" w:sz="4" w:space="0" w:color="291427" w:themeColor="accent5" w:themeShade="80"/>
              <w:left w:val="nil"/>
              <w:bottom w:val="single" w:sz="4" w:space="0" w:color="291427" w:themeColor="accent5" w:themeShade="80"/>
              <w:right w:val="nil"/>
            </w:tcBorders>
          </w:tcPr>
          <w:p w14:paraId="079A3A5A" w14:textId="4106FAFD" w:rsidR="00AE672E" w:rsidRPr="001C317D" w:rsidRDefault="002C47AC" w:rsidP="002C47AC">
            <w:pPr>
              <w:pStyle w:val="APVMATableText"/>
              <w:jc w:val="right"/>
            </w:pPr>
            <w:r>
              <w:t>–</w:t>
            </w:r>
          </w:p>
        </w:tc>
        <w:tc>
          <w:tcPr>
            <w:tcW w:w="642" w:type="pct"/>
            <w:tcBorders>
              <w:top w:val="single" w:sz="4" w:space="0" w:color="291427" w:themeColor="accent5" w:themeShade="80"/>
              <w:left w:val="nil"/>
              <w:bottom w:val="single" w:sz="4" w:space="0" w:color="291427" w:themeColor="accent5" w:themeShade="80"/>
              <w:right w:val="nil"/>
            </w:tcBorders>
          </w:tcPr>
          <w:p w14:paraId="42BD495D" w14:textId="40455C2C" w:rsidR="00AE672E" w:rsidRPr="001C317D" w:rsidRDefault="002C47AC" w:rsidP="002C47AC">
            <w:pPr>
              <w:pStyle w:val="APVMATableText"/>
              <w:jc w:val="right"/>
            </w:pPr>
            <w:r>
              <w:t>–</w:t>
            </w:r>
          </w:p>
        </w:tc>
        <w:tc>
          <w:tcPr>
            <w:tcW w:w="642" w:type="pct"/>
            <w:tcBorders>
              <w:top w:val="single" w:sz="4" w:space="0" w:color="291427" w:themeColor="accent5" w:themeShade="80"/>
              <w:left w:val="nil"/>
              <w:bottom w:val="single" w:sz="4" w:space="0" w:color="291427" w:themeColor="accent5" w:themeShade="80"/>
              <w:right w:val="nil"/>
            </w:tcBorders>
          </w:tcPr>
          <w:p w14:paraId="0B83B2EE" w14:textId="4A30674B" w:rsidR="00AE672E" w:rsidRPr="001C317D" w:rsidRDefault="00AE672E" w:rsidP="002C47AC">
            <w:pPr>
              <w:pStyle w:val="APVMATableText"/>
              <w:jc w:val="right"/>
            </w:pPr>
            <w:r w:rsidRPr="001C317D">
              <w:t>1(except cherries)</w:t>
            </w:r>
          </w:p>
        </w:tc>
        <w:tc>
          <w:tcPr>
            <w:tcW w:w="598" w:type="pct"/>
            <w:tcBorders>
              <w:top w:val="single" w:sz="4" w:space="0" w:color="291427" w:themeColor="accent5" w:themeShade="80"/>
              <w:left w:val="nil"/>
              <w:bottom w:val="single" w:sz="4" w:space="0" w:color="291427" w:themeColor="accent5" w:themeShade="80"/>
              <w:right w:val="nil"/>
            </w:tcBorders>
          </w:tcPr>
          <w:p w14:paraId="5673FA00" w14:textId="23FC1279" w:rsidR="00AE672E" w:rsidRPr="001C317D" w:rsidRDefault="002C47AC" w:rsidP="002C47AC">
            <w:pPr>
              <w:pStyle w:val="APVMATableText"/>
              <w:jc w:val="right"/>
            </w:pPr>
            <w:r>
              <w:t>–</w:t>
            </w:r>
          </w:p>
        </w:tc>
        <w:tc>
          <w:tcPr>
            <w:tcW w:w="642" w:type="pct"/>
            <w:tcBorders>
              <w:top w:val="single" w:sz="4" w:space="0" w:color="291427" w:themeColor="accent5" w:themeShade="80"/>
              <w:left w:val="nil"/>
              <w:bottom w:val="single" w:sz="4" w:space="0" w:color="291427" w:themeColor="accent5" w:themeShade="80"/>
              <w:right w:val="nil"/>
            </w:tcBorders>
          </w:tcPr>
          <w:p w14:paraId="3A4AABEA" w14:textId="52D50378" w:rsidR="00AE672E" w:rsidRPr="001C317D" w:rsidRDefault="002C47AC" w:rsidP="002C47AC">
            <w:pPr>
              <w:pStyle w:val="APVMATableText"/>
              <w:jc w:val="right"/>
            </w:pPr>
            <w:r>
              <w:t>–</w:t>
            </w:r>
          </w:p>
        </w:tc>
        <w:tc>
          <w:tcPr>
            <w:tcW w:w="644" w:type="pct"/>
            <w:tcBorders>
              <w:top w:val="single" w:sz="4" w:space="0" w:color="291427" w:themeColor="accent5" w:themeShade="80"/>
              <w:left w:val="nil"/>
              <w:bottom w:val="single" w:sz="4" w:space="0" w:color="291427" w:themeColor="accent5" w:themeShade="80"/>
              <w:right w:val="nil"/>
            </w:tcBorders>
          </w:tcPr>
          <w:p w14:paraId="5DB208A6" w14:textId="110F1F64" w:rsidR="00AE672E" w:rsidRPr="001C317D" w:rsidRDefault="002C47AC" w:rsidP="002C47AC">
            <w:pPr>
              <w:pStyle w:val="APVMATableText"/>
              <w:jc w:val="right"/>
            </w:pPr>
            <w:r>
              <w:t>–</w:t>
            </w:r>
          </w:p>
        </w:tc>
      </w:tr>
    </w:tbl>
    <w:p w14:paraId="40670353" w14:textId="77777777" w:rsidR="001C317D" w:rsidRDefault="001C317D" w:rsidP="001C317D">
      <w:pPr>
        <w:spacing w:line="240" w:lineRule="auto"/>
        <w:sectPr w:rsidR="001C317D" w:rsidSect="001D035F">
          <w:headerReference w:type="even" r:id="rId28"/>
          <w:pgSz w:w="16838" w:h="11906" w:orient="landscape" w:code="9"/>
          <w:pgMar w:top="2835" w:right="1134" w:bottom="1134" w:left="1134" w:header="1701" w:footer="680" w:gutter="0"/>
          <w:cols w:space="708"/>
          <w:docGrid w:linePitch="360"/>
        </w:sectPr>
      </w:pPr>
      <w:bookmarkStart w:id="69" w:name="_Toc231889750"/>
      <w:bookmarkStart w:id="70" w:name="_Toc2243853"/>
    </w:p>
    <w:p w14:paraId="7421D16B" w14:textId="4AF75B85" w:rsidR="006D36C8" w:rsidRPr="001C317D" w:rsidRDefault="006D36C8" w:rsidP="00F65F46">
      <w:pPr>
        <w:pStyle w:val="Heading2"/>
        <w:spacing w:before="0"/>
      </w:pPr>
      <w:bookmarkStart w:id="71" w:name="_Toc138344489"/>
      <w:r w:rsidRPr="001C317D">
        <w:lastRenderedPageBreak/>
        <w:t>Current and proposed Australian MRLs</w:t>
      </w:r>
      <w:bookmarkEnd w:id="69"/>
      <w:bookmarkEnd w:id="70"/>
      <w:bookmarkEnd w:id="71"/>
    </w:p>
    <w:p w14:paraId="54739A9F" w14:textId="1624B7EF" w:rsidR="006D36C8" w:rsidRPr="001C317D" w:rsidRDefault="00383003" w:rsidP="001C317D">
      <w:pPr>
        <w:pStyle w:val="Caption"/>
      </w:pPr>
      <w:bookmarkStart w:id="72" w:name="_Toc252955170"/>
      <w:bookmarkStart w:id="73" w:name="_Toc138344499"/>
      <w:r w:rsidRPr="001C317D">
        <w:t xml:space="preserve">Table </w:t>
      </w:r>
      <w:fldSimple w:instr=" SEQ Table \* ARABIC ">
        <w:r w:rsidR="0071488E">
          <w:rPr>
            <w:noProof/>
          </w:rPr>
          <w:t>8</w:t>
        </w:r>
      </w:fldSimple>
      <w:r w:rsidRPr="001C317D">
        <w:t>:</w:t>
      </w:r>
      <w:r w:rsidRPr="001C317D">
        <w:tab/>
        <w:t>Current MRL Standard</w:t>
      </w:r>
      <w:r w:rsidR="00696A51" w:rsidRPr="001C317D">
        <w:t xml:space="preserve"> – </w:t>
      </w:r>
      <w:r w:rsidR="006D36C8" w:rsidRPr="001C317D">
        <w:t>Table</w:t>
      </w:r>
      <w:r w:rsidR="00AE672E" w:rsidRPr="001C317D">
        <w:t xml:space="preserve"> </w:t>
      </w:r>
      <w:r w:rsidR="006D36C8" w:rsidRPr="001C317D">
        <w:t>1</w:t>
      </w:r>
      <w:bookmarkEnd w:id="72"/>
      <w:r w:rsidR="00AE672E" w:rsidRPr="001C317D">
        <w:t xml:space="preserve"> of the MRL standard</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1D035F">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1C317D">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1C317D">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2C47AC">
            <w:pPr>
              <w:pStyle w:val="APVMATableHead"/>
              <w:jc w:val="right"/>
            </w:pPr>
            <w:r>
              <w:t>MRL (mg/kg)</w:t>
            </w:r>
          </w:p>
        </w:tc>
      </w:tr>
      <w:tr w:rsidR="006D36C8" w14:paraId="511B8AD1" w14:textId="77777777" w:rsidTr="001D035F">
        <w:tc>
          <w:tcPr>
            <w:tcW w:w="5000" w:type="pct"/>
            <w:gridSpan w:val="3"/>
            <w:tcBorders>
              <w:top w:val="single" w:sz="4" w:space="0" w:color="auto"/>
              <w:left w:val="nil"/>
              <w:bottom w:val="single" w:sz="4" w:space="0" w:color="auto"/>
              <w:right w:val="nil"/>
            </w:tcBorders>
          </w:tcPr>
          <w:p w14:paraId="18174E17" w14:textId="2B5E9215" w:rsidR="006D36C8" w:rsidRPr="001C317D" w:rsidRDefault="00AE672E" w:rsidP="001C317D">
            <w:pPr>
              <w:pStyle w:val="MRLActiveName"/>
            </w:pPr>
            <w:bookmarkStart w:id="74" w:name="_Hlk137048645"/>
            <w:proofErr w:type="spellStart"/>
            <w:r w:rsidRPr="001C317D">
              <w:t>Fluopyram</w:t>
            </w:r>
            <w:proofErr w:type="spellEnd"/>
          </w:p>
        </w:tc>
      </w:tr>
      <w:bookmarkEnd w:id="74"/>
      <w:tr w:rsidR="006D36C8" w14:paraId="715F5C64" w14:textId="77777777" w:rsidTr="001D035F">
        <w:tc>
          <w:tcPr>
            <w:tcW w:w="1613" w:type="pct"/>
            <w:tcBorders>
              <w:top w:val="single" w:sz="4" w:space="0" w:color="auto"/>
              <w:left w:val="nil"/>
              <w:bottom w:val="single" w:sz="4" w:space="0" w:color="auto"/>
              <w:right w:val="nil"/>
            </w:tcBorders>
          </w:tcPr>
          <w:p w14:paraId="28A95230" w14:textId="7E22873D" w:rsidR="006D36C8" w:rsidRDefault="00AE672E" w:rsidP="001C317D">
            <w:pPr>
              <w:pStyle w:val="APVMATableText"/>
            </w:pPr>
            <w:r>
              <w:t>FS</w:t>
            </w:r>
            <w:r w:rsidR="006D36C8">
              <w:tab/>
              <w:t>00</w:t>
            </w:r>
            <w:r>
              <w:t>13</w:t>
            </w:r>
          </w:p>
        </w:tc>
        <w:tc>
          <w:tcPr>
            <w:tcW w:w="2392" w:type="pct"/>
            <w:tcBorders>
              <w:top w:val="single" w:sz="4" w:space="0" w:color="auto"/>
              <w:left w:val="nil"/>
              <w:bottom w:val="single" w:sz="4" w:space="0" w:color="auto"/>
              <w:right w:val="nil"/>
            </w:tcBorders>
          </w:tcPr>
          <w:p w14:paraId="02C2C240" w14:textId="6E963ECD" w:rsidR="006D36C8" w:rsidRDefault="00AE672E" w:rsidP="001C317D">
            <w:pPr>
              <w:pStyle w:val="APVMATableText"/>
            </w:pPr>
            <w:r>
              <w:t>Cherries</w:t>
            </w:r>
          </w:p>
        </w:tc>
        <w:tc>
          <w:tcPr>
            <w:tcW w:w="995" w:type="pct"/>
            <w:tcBorders>
              <w:top w:val="single" w:sz="4" w:space="0" w:color="auto"/>
              <w:left w:val="nil"/>
              <w:bottom w:val="single" w:sz="4" w:space="0" w:color="auto"/>
              <w:right w:val="nil"/>
            </w:tcBorders>
          </w:tcPr>
          <w:p w14:paraId="04A2B751" w14:textId="7E57AEF9" w:rsidR="006D36C8" w:rsidRDefault="00AE672E" w:rsidP="002C47AC">
            <w:pPr>
              <w:pStyle w:val="APVMATableText"/>
              <w:jc w:val="right"/>
            </w:pPr>
            <w:r>
              <w:t>3</w:t>
            </w:r>
          </w:p>
        </w:tc>
      </w:tr>
      <w:tr w:rsidR="006D36C8" w14:paraId="6A796B39" w14:textId="77777777" w:rsidTr="001D035F">
        <w:tc>
          <w:tcPr>
            <w:tcW w:w="1613" w:type="pct"/>
            <w:tcBorders>
              <w:top w:val="single" w:sz="4" w:space="0" w:color="auto"/>
              <w:left w:val="nil"/>
              <w:bottom w:val="single" w:sz="4" w:space="0" w:color="auto"/>
              <w:right w:val="nil"/>
            </w:tcBorders>
          </w:tcPr>
          <w:p w14:paraId="7268617A" w14:textId="15CDC789" w:rsidR="006D36C8" w:rsidRDefault="00AE672E" w:rsidP="001C317D">
            <w:pPr>
              <w:pStyle w:val="APVMATableText"/>
            </w:pPr>
            <w:r>
              <w:t>FS</w:t>
            </w:r>
            <w:r w:rsidR="006D36C8">
              <w:tab/>
              <w:t>00</w:t>
            </w:r>
            <w:r>
              <w:t>12</w:t>
            </w:r>
          </w:p>
        </w:tc>
        <w:tc>
          <w:tcPr>
            <w:tcW w:w="2392" w:type="pct"/>
            <w:tcBorders>
              <w:top w:val="single" w:sz="4" w:space="0" w:color="auto"/>
              <w:left w:val="nil"/>
              <w:bottom w:val="single" w:sz="4" w:space="0" w:color="auto"/>
              <w:right w:val="nil"/>
            </w:tcBorders>
          </w:tcPr>
          <w:p w14:paraId="29706B4D" w14:textId="0B8649C4" w:rsidR="006D36C8" w:rsidRDefault="00AE672E" w:rsidP="001C317D">
            <w:pPr>
              <w:pStyle w:val="APVMATableText"/>
            </w:pPr>
            <w:r>
              <w:t>Stone fruits {except Cherries}</w:t>
            </w:r>
          </w:p>
        </w:tc>
        <w:tc>
          <w:tcPr>
            <w:tcW w:w="995" w:type="pct"/>
            <w:tcBorders>
              <w:top w:val="single" w:sz="4" w:space="0" w:color="auto"/>
              <w:left w:val="nil"/>
              <w:bottom w:val="single" w:sz="4" w:space="0" w:color="auto"/>
              <w:right w:val="nil"/>
            </w:tcBorders>
          </w:tcPr>
          <w:p w14:paraId="58D124B0" w14:textId="7ADC95D9" w:rsidR="006D36C8" w:rsidRDefault="00AE672E" w:rsidP="002C47AC">
            <w:pPr>
              <w:pStyle w:val="APVMATableText"/>
              <w:jc w:val="right"/>
            </w:pPr>
            <w:r>
              <w:t>2</w:t>
            </w:r>
          </w:p>
        </w:tc>
      </w:tr>
      <w:tr w:rsidR="00AE672E" w14:paraId="7E25FDF8" w14:textId="77777777" w:rsidTr="001D035F">
        <w:tc>
          <w:tcPr>
            <w:tcW w:w="5000" w:type="pct"/>
            <w:gridSpan w:val="3"/>
            <w:tcBorders>
              <w:top w:val="single" w:sz="4" w:space="0" w:color="auto"/>
              <w:left w:val="nil"/>
              <w:bottom w:val="single" w:sz="4" w:space="0" w:color="auto"/>
              <w:right w:val="nil"/>
            </w:tcBorders>
          </w:tcPr>
          <w:p w14:paraId="4EFA94A9" w14:textId="1CAA53A9" w:rsidR="00AE672E" w:rsidRPr="001C317D" w:rsidRDefault="00AE672E" w:rsidP="001C317D">
            <w:pPr>
              <w:pStyle w:val="MRLActiveName"/>
            </w:pPr>
            <w:r w:rsidRPr="001C317D">
              <w:t>Tebuconazole</w:t>
            </w:r>
          </w:p>
        </w:tc>
      </w:tr>
      <w:tr w:rsidR="006D36C8" w14:paraId="4CF27F2D" w14:textId="77777777" w:rsidTr="001D035F">
        <w:tc>
          <w:tcPr>
            <w:tcW w:w="1613" w:type="pct"/>
            <w:tcBorders>
              <w:top w:val="single" w:sz="4" w:space="0" w:color="auto"/>
              <w:left w:val="nil"/>
              <w:bottom w:val="single" w:sz="4" w:space="0" w:color="auto"/>
              <w:right w:val="nil"/>
            </w:tcBorders>
          </w:tcPr>
          <w:p w14:paraId="4F134A24" w14:textId="4AFF193B" w:rsidR="006D36C8" w:rsidRDefault="00AE672E" w:rsidP="001C317D">
            <w:pPr>
              <w:pStyle w:val="APVMATableText"/>
            </w:pPr>
            <w:r>
              <w:t>FS</w:t>
            </w:r>
            <w:r w:rsidR="006D36C8">
              <w:tab/>
              <w:t>00</w:t>
            </w:r>
            <w:r>
              <w:t>12</w:t>
            </w:r>
          </w:p>
        </w:tc>
        <w:tc>
          <w:tcPr>
            <w:tcW w:w="2392" w:type="pct"/>
            <w:tcBorders>
              <w:top w:val="single" w:sz="4" w:space="0" w:color="auto"/>
              <w:left w:val="nil"/>
              <w:bottom w:val="single" w:sz="4" w:space="0" w:color="auto"/>
              <w:right w:val="nil"/>
            </w:tcBorders>
          </w:tcPr>
          <w:p w14:paraId="32101827" w14:textId="6BBC15A8" w:rsidR="006D36C8" w:rsidRDefault="00AE672E" w:rsidP="001C317D">
            <w:pPr>
              <w:pStyle w:val="APVMATableText"/>
            </w:pPr>
            <w:r>
              <w:t>Stone fruits</w:t>
            </w:r>
          </w:p>
        </w:tc>
        <w:tc>
          <w:tcPr>
            <w:tcW w:w="995" w:type="pct"/>
            <w:tcBorders>
              <w:top w:val="single" w:sz="4" w:space="0" w:color="auto"/>
              <w:left w:val="nil"/>
              <w:bottom w:val="single" w:sz="4" w:space="0" w:color="auto"/>
              <w:right w:val="nil"/>
            </w:tcBorders>
          </w:tcPr>
          <w:p w14:paraId="2E7B582D" w14:textId="6CD44ED9" w:rsidR="006D36C8" w:rsidRDefault="00CC7D7F" w:rsidP="002C47AC">
            <w:pPr>
              <w:pStyle w:val="APVMATableText"/>
              <w:jc w:val="right"/>
            </w:pPr>
            <w:r>
              <w:t>*</w:t>
            </w:r>
            <w:r w:rsidR="00AE672E">
              <w:t>0.01</w:t>
            </w:r>
          </w:p>
        </w:tc>
      </w:tr>
    </w:tbl>
    <w:p w14:paraId="670E5BD5" w14:textId="3C6321B5" w:rsidR="006D36C8" w:rsidRPr="001C317D" w:rsidRDefault="00383003" w:rsidP="001C317D">
      <w:pPr>
        <w:pStyle w:val="Caption"/>
      </w:pPr>
      <w:bookmarkStart w:id="75" w:name="_Toc252955171"/>
      <w:bookmarkStart w:id="76" w:name="_Toc138344500"/>
      <w:r w:rsidRPr="001C317D">
        <w:t xml:space="preserve">Table </w:t>
      </w:r>
      <w:fldSimple w:instr=" SEQ Table \* ARABIC ">
        <w:r w:rsidR="0071488E">
          <w:rPr>
            <w:noProof/>
          </w:rPr>
          <w:t>9</w:t>
        </w:r>
      </w:fldSimple>
      <w:r w:rsidRPr="001C317D">
        <w:t>:</w:t>
      </w:r>
      <w:r w:rsidRPr="001C317D">
        <w:tab/>
        <w:t>Proposed MRL Standard</w:t>
      </w:r>
      <w:r w:rsidR="00696A51" w:rsidRPr="001C317D">
        <w:t xml:space="preserve"> – </w:t>
      </w:r>
      <w:r w:rsidR="006D36C8" w:rsidRPr="001C317D">
        <w:t>Table</w:t>
      </w:r>
      <w:r w:rsidR="000E7700" w:rsidRPr="001C317D">
        <w:t xml:space="preserve"> </w:t>
      </w:r>
      <w:r w:rsidR="006D36C8" w:rsidRPr="001C317D">
        <w:t>1</w:t>
      </w:r>
      <w:r w:rsidR="000E7700" w:rsidRPr="001C317D">
        <w:t xml:space="preserve"> of the MRL standard</w:t>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1D035F">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1C317D">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1C317D">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2C47AC">
            <w:pPr>
              <w:pStyle w:val="APVMATableHead"/>
              <w:jc w:val="right"/>
            </w:pPr>
            <w:r>
              <w:t>MRL (mg/kg)</w:t>
            </w:r>
          </w:p>
        </w:tc>
      </w:tr>
      <w:tr w:rsidR="006D36C8" w14:paraId="2D825219" w14:textId="77777777" w:rsidTr="001D035F">
        <w:trPr>
          <w:cantSplit/>
        </w:trPr>
        <w:tc>
          <w:tcPr>
            <w:tcW w:w="5000" w:type="pct"/>
            <w:gridSpan w:val="3"/>
            <w:tcBorders>
              <w:top w:val="single" w:sz="4" w:space="0" w:color="auto"/>
              <w:left w:val="nil"/>
              <w:bottom w:val="single" w:sz="4" w:space="0" w:color="auto"/>
              <w:right w:val="nil"/>
            </w:tcBorders>
          </w:tcPr>
          <w:p w14:paraId="74A65E73" w14:textId="453A81A3" w:rsidR="006D36C8" w:rsidRPr="001C317D" w:rsidRDefault="000E7700" w:rsidP="001C317D">
            <w:pPr>
              <w:pStyle w:val="MRLActiveName"/>
            </w:pPr>
            <w:bookmarkStart w:id="77" w:name="_Hlk137048965"/>
            <w:r w:rsidRPr="001C317D">
              <w:t>Azoxystrobin</w:t>
            </w:r>
          </w:p>
        </w:tc>
      </w:tr>
      <w:tr w:rsidR="006D36C8" w14:paraId="0831FF57" w14:textId="77777777" w:rsidTr="001D035F">
        <w:trPr>
          <w:cantSplit/>
        </w:trPr>
        <w:tc>
          <w:tcPr>
            <w:tcW w:w="1613" w:type="pct"/>
            <w:tcBorders>
              <w:top w:val="single" w:sz="4" w:space="0" w:color="auto"/>
              <w:left w:val="nil"/>
              <w:bottom w:val="single" w:sz="4" w:space="0" w:color="auto"/>
              <w:right w:val="nil"/>
            </w:tcBorders>
          </w:tcPr>
          <w:p w14:paraId="7B944758" w14:textId="74834EF6" w:rsidR="006D36C8" w:rsidRDefault="000E7700" w:rsidP="001C317D">
            <w:pPr>
              <w:pStyle w:val="APVMATableText"/>
            </w:pPr>
            <w:bookmarkStart w:id="78" w:name="_Hlk137049113"/>
            <w:bookmarkEnd w:id="77"/>
            <w:r>
              <w:t>Add</w:t>
            </w:r>
            <w:r w:rsidR="007B1953">
              <w:t>:</w:t>
            </w:r>
          </w:p>
        </w:tc>
        <w:tc>
          <w:tcPr>
            <w:tcW w:w="2392" w:type="pct"/>
            <w:tcBorders>
              <w:top w:val="single" w:sz="4" w:space="0" w:color="auto"/>
              <w:left w:val="nil"/>
              <w:bottom w:val="single" w:sz="4" w:space="0" w:color="auto"/>
              <w:right w:val="nil"/>
            </w:tcBorders>
          </w:tcPr>
          <w:p w14:paraId="0281F901" w14:textId="77777777" w:rsidR="006D36C8" w:rsidRDefault="006D36C8" w:rsidP="001C317D">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2C47AC">
            <w:pPr>
              <w:pStyle w:val="APVMATableText"/>
              <w:jc w:val="right"/>
            </w:pPr>
          </w:p>
        </w:tc>
      </w:tr>
      <w:bookmarkEnd w:id="78"/>
      <w:tr w:rsidR="006D36C8" w14:paraId="286B4A97" w14:textId="77777777" w:rsidTr="001D035F">
        <w:trPr>
          <w:cantSplit/>
        </w:trPr>
        <w:tc>
          <w:tcPr>
            <w:tcW w:w="1613" w:type="pct"/>
            <w:tcBorders>
              <w:top w:val="single" w:sz="4" w:space="0" w:color="auto"/>
              <w:left w:val="nil"/>
              <w:bottom w:val="single" w:sz="4" w:space="0" w:color="auto"/>
              <w:right w:val="nil"/>
            </w:tcBorders>
          </w:tcPr>
          <w:p w14:paraId="011D585E" w14:textId="26E2B9B7" w:rsidR="006D36C8" w:rsidRDefault="000E7700" w:rsidP="001C317D">
            <w:pPr>
              <w:pStyle w:val="APVMATableText"/>
            </w:pPr>
            <w:r>
              <w:t>FS</w:t>
            </w:r>
            <w:r w:rsidR="006D36C8">
              <w:tab/>
              <w:t>00</w:t>
            </w:r>
            <w:r>
              <w:t>14</w:t>
            </w:r>
          </w:p>
        </w:tc>
        <w:tc>
          <w:tcPr>
            <w:tcW w:w="2392" w:type="pct"/>
            <w:tcBorders>
              <w:top w:val="single" w:sz="4" w:space="0" w:color="auto"/>
              <w:left w:val="nil"/>
              <w:bottom w:val="single" w:sz="4" w:space="0" w:color="auto"/>
              <w:right w:val="nil"/>
            </w:tcBorders>
          </w:tcPr>
          <w:p w14:paraId="5DD3C49F" w14:textId="3E384DCD" w:rsidR="006D36C8" w:rsidRDefault="000E7700" w:rsidP="001C317D">
            <w:pPr>
              <w:pStyle w:val="APVMATableText"/>
            </w:pPr>
            <w:r>
              <w:t>Plums (including prunes)</w:t>
            </w:r>
          </w:p>
        </w:tc>
        <w:tc>
          <w:tcPr>
            <w:tcW w:w="995" w:type="pct"/>
            <w:tcBorders>
              <w:top w:val="single" w:sz="4" w:space="0" w:color="auto"/>
              <w:left w:val="nil"/>
              <w:bottom w:val="single" w:sz="4" w:space="0" w:color="auto"/>
              <w:right w:val="nil"/>
            </w:tcBorders>
          </w:tcPr>
          <w:p w14:paraId="202AE3A1" w14:textId="029C125A" w:rsidR="006D36C8" w:rsidRDefault="000E7700" w:rsidP="002C47AC">
            <w:pPr>
              <w:pStyle w:val="APVMATableText"/>
              <w:jc w:val="right"/>
            </w:pPr>
            <w:r>
              <w:t>T0.8</w:t>
            </w:r>
          </w:p>
        </w:tc>
      </w:tr>
      <w:tr w:rsidR="000E7700" w14:paraId="2A6E0492" w14:textId="77777777" w:rsidTr="001D035F">
        <w:trPr>
          <w:cantSplit/>
        </w:trPr>
        <w:tc>
          <w:tcPr>
            <w:tcW w:w="5000" w:type="pct"/>
            <w:gridSpan w:val="3"/>
            <w:tcBorders>
              <w:top w:val="single" w:sz="4" w:space="0" w:color="auto"/>
              <w:left w:val="nil"/>
              <w:bottom w:val="single" w:sz="4" w:space="0" w:color="auto"/>
              <w:right w:val="nil"/>
            </w:tcBorders>
          </w:tcPr>
          <w:p w14:paraId="4542B030" w14:textId="19BAB09E" w:rsidR="000E7700" w:rsidRPr="001C317D" w:rsidRDefault="000E7700" w:rsidP="001C317D">
            <w:pPr>
              <w:pStyle w:val="MRLActiveName"/>
            </w:pPr>
            <w:r w:rsidRPr="001C317D">
              <w:t>Difenoconazole</w:t>
            </w:r>
          </w:p>
        </w:tc>
      </w:tr>
      <w:tr w:rsidR="000E7700" w14:paraId="35F10032" w14:textId="77777777" w:rsidTr="001D035F">
        <w:trPr>
          <w:cantSplit/>
        </w:trPr>
        <w:tc>
          <w:tcPr>
            <w:tcW w:w="1613" w:type="pct"/>
            <w:tcBorders>
              <w:top w:val="single" w:sz="4" w:space="0" w:color="auto"/>
              <w:left w:val="nil"/>
              <w:bottom w:val="single" w:sz="4" w:space="0" w:color="auto"/>
              <w:right w:val="nil"/>
            </w:tcBorders>
          </w:tcPr>
          <w:p w14:paraId="6668125F" w14:textId="77777777" w:rsidR="000E7700" w:rsidRDefault="000E7700" w:rsidP="001C317D">
            <w:pPr>
              <w:pStyle w:val="APVMATableText"/>
            </w:pPr>
            <w:r>
              <w:t>Add:</w:t>
            </w:r>
          </w:p>
        </w:tc>
        <w:tc>
          <w:tcPr>
            <w:tcW w:w="2392" w:type="pct"/>
            <w:tcBorders>
              <w:top w:val="single" w:sz="4" w:space="0" w:color="auto"/>
              <w:left w:val="nil"/>
              <w:bottom w:val="single" w:sz="4" w:space="0" w:color="auto"/>
              <w:right w:val="nil"/>
            </w:tcBorders>
          </w:tcPr>
          <w:p w14:paraId="4195C0CB" w14:textId="77777777" w:rsidR="000E7700" w:rsidRDefault="000E7700" w:rsidP="001C317D">
            <w:pPr>
              <w:pStyle w:val="APVMATableText"/>
            </w:pPr>
          </w:p>
        </w:tc>
        <w:tc>
          <w:tcPr>
            <w:tcW w:w="995" w:type="pct"/>
            <w:tcBorders>
              <w:top w:val="single" w:sz="4" w:space="0" w:color="auto"/>
              <w:left w:val="nil"/>
              <w:bottom w:val="single" w:sz="4" w:space="0" w:color="auto"/>
              <w:right w:val="nil"/>
            </w:tcBorders>
          </w:tcPr>
          <w:p w14:paraId="2912165F" w14:textId="77777777" w:rsidR="000E7700" w:rsidRDefault="000E7700" w:rsidP="002C47AC">
            <w:pPr>
              <w:pStyle w:val="APVMATableText"/>
              <w:jc w:val="right"/>
            </w:pPr>
          </w:p>
        </w:tc>
      </w:tr>
      <w:tr w:rsidR="000E7700" w14:paraId="5FD3D4C6" w14:textId="77777777" w:rsidTr="001D035F">
        <w:trPr>
          <w:cantSplit/>
        </w:trPr>
        <w:tc>
          <w:tcPr>
            <w:tcW w:w="1613" w:type="pct"/>
            <w:tcBorders>
              <w:top w:val="single" w:sz="4" w:space="0" w:color="auto"/>
              <w:left w:val="nil"/>
              <w:bottom w:val="single" w:sz="4" w:space="0" w:color="auto"/>
              <w:right w:val="nil"/>
            </w:tcBorders>
          </w:tcPr>
          <w:p w14:paraId="54A07124" w14:textId="63641037" w:rsidR="000E7700" w:rsidRDefault="000E7700" w:rsidP="001C317D">
            <w:pPr>
              <w:pStyle w:val="APVMATableText"/>
            </w:pPr>
            <w:r>
              <w:t>FS</w:t>
            </w:r>
            <w:r>
              <w:tab/>
              <w:t>0014</w:t>
            </w:r>
          </w:p>
        </w:tc>
        <w:tc>
          <w:tcPr>
            <w:tcW w:w="2392" w:type="pct"/>
            <w:tcBorders>
              <w:top w:val="single" w:sz="4" w:space="0" w:color="auto"/>
              <w:left w:val="nil"/>
              <w:bottom w:val="single" w:sz="4" w:space="0" w:color="auto"/>
              <w:right w:val="nil"/>
            </w:tcBorders>
          </w:tcPr>
          <w:p w14:paraId="2A214999" w14:textId="6F8B9355" w:rsidR="000E7700" w:rsidRDefault="000E7700" w:rsidP="001C317D">
            <w:pPr>
              <w:pStyle w:val="APVMATableText"/>
            </w:pPr>
            <w:r>
              <w:t>Plums (including prunes)</w:t>
            </w:r>
          </w:p>
        </w:tc>
        <w:tc>
          <w:tcPr>
            <w:tcW w:w="995" w:type="pct"/>
            <w:tcBorders>
              <w:top w:val="single" w:sz="4" w:space="0" w:color="auto"/>
              <w:left w:val="nil"/>
              <w:bottom w:val="single" w:sz="4" w:space="0" w:color="auto"/>
              <w:right w:val="nil"/>
            </w:tcBorders>
          </w:tcPr>
          <w:p w14:paraId="5A112C0D" w14:textId="380527FC" w:rsidR="000E7700" w:rsidRDefault="000E7700" w:rsidP="002C47AC">
            <w:pPr>
              <w:pStyle w:val="APVMATableText"/>
              <w:jc w:val="right"/>
            </w:pPr>
            <w:r>
              <w:t>T0.5</w:t>
            </w:r>
          </w:p>
        </w:tc>
      </w:tr>
      <w:tr w:rsidR="000E7700" w14:paraId="4CCB6214" w14:textId="77777777" w:rsidTr="001D035F">
        <w:trPr>
          <w:cantSplit/>
        </w:trPr>
        <w:tc>
          <w:tcPr>
            <w:tcW w:w="5000" w:type="pct"/>
            <w:gridSpan w:val="3"/>
            <w:tcBorders>
              <w:top w:val="single" w:sz="4" w:space="0" w:color="auto"/>
              <w:left w:val="nil"/>
              <w:bottom w:val="single" w:sz="4" w:space="0" w:color="auto"/>
              <w:right w:val="nil"/>
            </w:tcBorders>
          </w:tcPr>
          <w:p w14:paraId="2D8E7280" w14:textId="5EB8D1C2" w:rsidR="000E7700" w:rsidRPr="001C317D" w:rsidRDefault="000E7700" w:rsidP="001C317D">
            <w:pPr>
              <w:pStyle w:val="MRLActiveName"/>
            </w:pPr>
            <w:proofErr w:type="spellStart"/>
            <w:r w:rsidRPr="001C317D">
              <w:t>Isopyrazam</w:t>
            </w:r>
            <w:proofErr w:type="spellEnd"/>
          </w:p>
        </w:tc>
      </w:tr>
      <w:tr w:rsidR="000E7700" w14:paraId="24561D69" w14:textId="77777777" w:rsidTr="001D035F">
        <w:trPr>
          <w:cantSplit/>
        </w:trPr>
        <w:tc>
          <w:tcPr>
            <w:tcW w:w="1613" w:type="pct"/>
            <w:tcBorders>
              <w:top w:val="single" w:sz="4" w:space="0" w:color="auto"/>
              <w:left w:val="nil"/>
              <w:bottom w:val="single" w:sz="4" w:space="0" w:color="auto"/>
              <w:right w:val="nil"/>
            </w:tcBorders>
          </w:tcPr>
          <w:p w14:paraId="5C9698E7" w14:textId="2B41CC6B" w:rsidR="000E7700" w:rsidRDefault="000E7700" w:rsidP="001C317D">
            <w:pPr>
              <w:pStyle w:val="APVMATableText"/>
            </w:pPr>
            <w:r>
              <w:t>Add:</w:t>
            </w:r>
          </w:p>
        </w:tc>
        <w:tc>
          <w:tcPr>
            <w:tcW w:w="2392" w:type="pct"/>
            <w:tcBorders>
              <w:top w:val="single" w:sz="4" w:space="0" w:color="auto"/>
              <w:left w:val="nil"/>
              <w:bottom w:val="single" w:sz="4" w:space="0" w:color="auto"/>
              <w:right w:val="nil"/>
            </w:tcBorders>
          </w:tcPr>
          <w:p w14:paraId="1874C21E" w14:textId="77777777" w:rsidR="000E7700" w:rsidRDefault="000E7700" w:rsidP="001C317D">
            <w:pPr>
              <w:pStyle w:val="APVMATableText"/>
            </w:pPr>
          </w:p>
        </w:tc>
        <w:tc>
          <w:tcPr>
            <w:tcW w:w="995" w:type="pct"/>
            <w:tcBorders>
              <w:top w:val="single" w:sz="4" w:space="0" w:color="auto"/>
              <w:left w:val="nil"/>
              <w:bottom w:val="single" w:sz="4" w:space="0" w:color="auto"/>
              <w:right w:val="nil"/>
            </w:tcBorders>
          </w:tcPr>
          <w:p w14:paraId="5247B776" w14:textId="77777777" w:rsidR="000E7700" w:rsidRDefault="000E7700" w:rsidP="002C47AC">
            <w:pPr>
              <w:pStyle w:val="APVMATableText"/>
              <w:jc w:val="right"/>
            </w:pPr>
          </w:p>
        </w:tc>
      </w:tr>
      <w:tr w:rsidR="000E7700" w14:paraId="10ABB81C" w14:textId="77777777" w:rsidTr="001D035F">
        <w:trPr>
          <w:cantSplit/>
        </w:trPr>
        <w:tc>
          <w:tcPr>
            <w:tcW w:w="1613" w:type="pct"/>
            <w:tcBorders>
              <w:top w:val="single" w:sz="4" w:space="0" w:color="auto"/>
              <w:left w:val="nil"/>
              <w:bottom w:val="single" w:sz="4" w:space="0" w:color="auto"/>
              <w:right w:val="nil"/>
            </w:tcBorders>
          </w:tcPr>
          <w:p w14:paraId="16B2FC12" w14:textId="4072B2C6" w:rsidR="000E7700" w:rsidRDefault="000E7700" w:rsidP="001C317D">
            <w:pPr>
              <w:pStyle w:val="APVMATableText"/>
            </w:pPr>
            <w:r>
              <w:t>FS</w:t>
            </w:r>
            <w:r>
              <w:tab/>
              <w:t>0014</w:t>
            </w:r>
          </w:p>
        </w:tc>
        <w:tc>
          <w:tcPr>
            <w:tcW w:w="2392" w:type="pct"/>
            <w:tcBorders>
              <w:top w:val="single" w:sz="4" w:space="0" w:color="auto"/>
              <w:left w:val="nil"/>
              <w:bottom w:val="single" w:sz="4" w:space="0" w:color="auto"/>
              <w:right w:val="nil"/>
            </w:tcBorders>
          </w:tcPr>
          <w:p w14:paraId="6B7CF77B" w14:textId="7873E112" w:rsidR="000E7700" w:rsidRDefault="000E7700" w:rsidP="001C317D">
            <w:pPr>
              <w:pStyle w:val="APVMATableText"/>
            </w:pPr>
            <w:r>
              <w:t>Plums</w:t>
            </w:r>
          </w:p>
        </w:tc>
        <w:tc>
          <w:tcPr>
            <w:tcW w:w="995" w:type="pct"/>
            <w:tcBorders>
              <w:top w:val="single" w:sz="4" w:space="0" w:color="auto"/>
              <w:left w:val="nil"/>
              <w:bottom w:val="single" w:sz="4" w:space="0" w:color="auto"/>
              <w:right w:val="nil"/>
            </w:tcBorders>
          </w:tcPr>
          <w:p w14:paraId="342F2BAF" w14:textId="7520432C" w:rsidR="000E7700" w:rsidRDefault="000E7700" w:rsidP="002C47AC">
            <w:pPr>
              <w:pStyle w:val="APVMATableText"/>
              <w:jc w:val="right"/>
            </w:pPr>
            <w:r>
              <w:t>T0.7</w:t>
            </w:r>
          </w:p>
        </w:tc>
      </w:tr>
      <w:tr w:rsidR="000E7700" w14:paraId="3B498D48" w14:textId="77777777" w:rsidTr="001D035F">
        <w:trPr>
          <w:cantSplit/>
        </w:trPr>
        <w:tc>
          <w:tcPr>
            <w:tcW w:w="1613" w:type="pct"/>
            <w:tcBorders>
              <w:top w:val="single" w:sz="4" w:space="0" w:color="auto"/>
              <w:left w:val="nil"/>
              <w:bottom w:val="single" w:sz="4" w:space="0" w:color="auto"/>
              <w:right w:val="nil"/>
            </w:tcBorders>
          </w:tcPr>
          <w:p w14:paraId="26C2D45A" w14:textId="3E1A904C" w:rsidR="000E7700" w:rsidRDefault="000E7700" w:rsidP="001C317D">
            <w:pPr>
              <w:pStyle w:val="APVMATableText"/>
            </w:pPr>
            <w:r>
              <w:t>DF</w:t>
            </w:r>
            <w:r>
              <w:tab/>
              <w:t>0014</w:t>
            </w:r>
          </w:p>
        </w:tc>
        <w:tc>
          <w:tcPr>
            <w:tcW w:w="2392" w:type="pct"/>
            <w:tcBorders>
              <w:top w:val="single" w:sz="4" w:space="0" w:color="auto"/>
              <w:left w:val="nil"/>
              <w:bottom w:val="single" w:sz="4" w:space="0" w:color="auto"/>
              <w:right w:val="nil"/>
            </w:tcBorders>
          </w:tcPr>
          <w:p w14:paraId="1B5953CB" w14:textId="3CD22786" w:rsidR="000E7700" w:rsidRDefault="000E7700" w:rsidP="001C317D">
            <w:pPr>
              <w:pStyle w:val="APVMATableText"/>
            </w:pPr>
            <w:r>
              <w:t>Prunes</w:t>
            </w:r>
          </w:p>
        </w:tc>
        <w:tc>
          <w:tcPr>
            <w:tcW w:w="995" w:type="pct"/>
            <w:tcBorders>
              <w:top w:val="single" w:sz="4" w:space="0" w:color="auto"/>
              <w:left w:val="nil"/>
              <w:bottom w:val="single" w:sz="4" w:space="0" w:color="auto"/>
              <w:right w:val="nil"/>
            </w:tcBorders>
          </w:tcPr>
          <w:p w14:paraId="4CF05715" w14:textId="7F2F2904" w:rsidR="000E7700" w:rsidRDefault="000E7700" w:rsidP="002C47AC">
            <w:pPr>
              <w:pStyle w:val="APVMATableText"/>
              <w:jc w:val="right"/>
            </w:pPr>
            <w:r>
              <w:t>T3</w:t>
            </w:r>
          </w:p>
        </w:tc>
      </w:tr>
      <w:tr w:rsidR="000E7700" w14:paraId="5D34CBE8" w14:textId="77777777" w:rsidTr="001D035F">
        <w:trPr>
          <w:cantSplit/>
        </w:trPr>
        <w:tc>
          <w:tcPr>
            <w:tcW w:w="5000" w:type="pct"/>
            <w:gridSpan w:val="3"/>
            <w:tcBorders>
              <w:top w:val="single" w:sz="4" w:space="0" w:color="auto"/>
              <w:left w:val="nil"/>
              <w:bottom w:val="single" w:sz="4" w:space="0" w:color="auto"/>
              <w:right w:val="nil"/>
            </w:tcBorders>
          </w:tcPr>
          <w:p w14:paraId="317E8158" w14:textId="2ABD9575" w:rsidR="000E7700" w:rsidRPr="001C317D" w:rsidRDefault="000E7700" w:rsidP="001C317D">
            <w:pPr>
              <w:pStyle w:val="MRLActiveName"/>
            </w:pPr>
            <w:r w:rsidRPr="001C317D">
              <w:t>Tebuconazole</w:t>
            </w:r>
          </w:p>
        </w:tc>
      </w:tr>
      <w:tr w:rsidR="000E7700" w14:paraId="23425460" w14:textId="77777777" w:rsidTr="001D035F">
        <w:trPr>
          <w:cantSplit/>
        </w:trPr>
        <w:tc>
          <w:tcPr>
            <w:tcW w:w="1613" w:type="pct"/>
            <w:tcBorders>
              <w:top w:val="single" w:sz="4" w:space="0" w:color="auto"/>
              <w:left w:val="nil"/>
              <w:bottom w:val="single" w:sz="4" w:space="0" w:color="auto"/>
              <w:right w:val="nil"/>
            </w:tcBorders>
          </w:tcPr>
          <w:p w14:paraId="66174FC3" w14:textId="699D70CB" w:rsidR="000E7700" w:rsidRDefault="000E7700" w:rsidP="001C317D">
            <w:pPr>
              <w:pStyle w:val="APVMATableText"/>
            </w:pPr>
            <w:r>
              <w:t>Delete:</w:t>
            </w:r>
          </w:p>
        </w:tc>
        <w:tc>
          <w:tcPr>
            <w:tcW w:w="2392" w:type="pct"/>
            <w:tcBorders>
              <w:top w:val="single" w:sz="4" w:space="0" w:color="auto"/>
              <w:left w:val="nil"/>
              <w:bottom w:val="single" w:sz="4" w:space="0" w:color="auto"/>
              <w:right w:val="nil"/>
            </w:tcBorders>
          </w:tcPr>
          <w:p w14:paraId="275BD378" w14:textId="77777777" w:rsidR="000E7700" w:rsidRDefault="000E7700" w:rsidP="001C317D">
            <w:pPr>
              <w:pStyle w:val="APVMATableText"/>
            </w:pPr>
          </w:p>
        </w:tc>
        <w:tc>
          <w:tcPr>
            <w:tcW w:w="995" w:type="pct"/>
            <w:tcBorders>
              <w:top w:val="single" w:sz="4" w:space="0" w:color="auto"/>
              <w:left w:val="nil"/>
              <w:bottom w:val="single" w:sz="4" w:space="0" w:color="auto"/>
              <w:right w:val="nil"/>
            </w:tcBorders>
          </w:tcPr>
          <w:p w14:paraId="08CC5E17" w14:textId="77777777" w:rsidR="000E7700" w:rsidRDefault="000E7700" w:rsidP="002C47AC">
            <w:pPr>
              <w:pStyle w:val="APVMATableText"/>
              <w:jc w:val="right"/>
            </w:pPr>
          </w:p>
        </w:tc>
      </w:tr>
      <w:tr w:rsidR="000E7700" w14:paraId="66B6D2A8" w14:textId="77777777" w:rsidTr="001D035F">
        <w:trPr>
          <w:cantSplit/>
        </w:trPr>
        <w:tc>
          <w:tcPr>
            <w:tcW w:w="1613" w:type="pct"/>
            <w:tcBorders>
              <w:top w:val="single" w:sz="4" w:space="0" w:color="auto"/>
              <w:left w:val="nil"/>
              <w:bottom w:val="single" w:sz="4" w:space="0" w:color="auto"/>
              <w:right w:val="nil"/>
            </w:tcBorders>
          </w:tcPr>
          <w:p w14:paraId="42ABAD4F" w14:textId="23CA0F17" w:rsidR="000E7700" w:rsidRDefault="000E7700" w:rsidP="001C317D">
            <w:pPr>
              <w:pStyle w:val="APVMATableText"/>
            </w:pPr>
            <w:r>
              <w:t>FS</w:t>
            </w:r>
            <w:r>
              <w:tab/>
              <w:t>0012</w:t>
            </w:r>
          </w:p>
        </w:tc>
        <w:tc>
          <w:tcPr>
            <w:tcW w:w="2392" w:type="pct"/>
            <w:tcBorders>
              <w:top w:val="single" w:sz="4" w:space="0" w:color="auto"/>
              <w:left w:val="nil"/>
              <w:bottom w:val="single" w:sz="4" w:space="0" w:color="auto"/>
              <w:right w:val="nil"/>
            </w:tcBorders>
          </w:tcPr>
          <w:p w14:paraId="4F247FA6" w14:textId="268C83B5" w:rsidR="000E7700" w:rsidRDefault="000E7700" w:rsidP="001C317D">
            <w:pPr>
              <w:pStyle w:val="APVMATableText"/>
            </w:pPr>
            <w:r>
              <w:t>Stone fruits</w:t>
            </w:r>
          </w:p>
        </w:tc>
        <w:tc>
          <w:tcPr>
            <w:tcW w:w="995" w:type="pct"/>
            <w:tcBorders>
              <w:top w:val="single" w:sz="4" w:space="0" w:color="auto"/>
              <w:left w:val="nil"/>
              <w:bottom w:val="single" w:sz="4" w:space="0" w:color="auto"/>
              <w:right w:val="nil"/>
            </w:tcBorders>
          </w:tcPr>
          <w:p w14:paraId="4641D5E0" w14:textId="1F2C738D" w:rsidR="000E7700" w:rsidRDefault="00CC7D7F" w:rsidP="002C47AC">
            <w:pPr>
              <w:pStyle w:val="APVMATableText"/>
              <w:jc w:val="right"/>
            </w:pPr>
            <w:r>
              <w:t>*</w:t>
            </w:r>
            <w:r w:rsidR="000E7700">
              <w:t>0.01</w:t>
            </w:r>
          </w:p>
        </w:tc>
      </w:tr>
      <w:tr w:rsidR="000E7700" w14:paraId="4ECCA35C" w14:textId="77777777" w:rsidTr="001D035F">
        <w:trPr>
          <w:cantSplit/>
        </w:trPr>
        <w:tc>
          <w:tcPr>
            <w:tcW w:w="1613" w:type="pct"/>
            <w:tcBorders>
              <w:top w:val="single" w:sz="4" w:space="0" w:color="auto"/>
              <w:left w:val="nil"/>
              <w:bottom w:val="single" w:sz="4" w:space="0" w:color="auto"/>
              <w:right w:val="nil"/>
            </w:tcBorders>
          </w:tcPr>
          <w:p w14:paraId="1F139878" w14:textId="77777777" w:rsidR="000E7700" w:rsidRDefault="000E7700" w:rsidP="001C317D">
            <w:pPr>
              <w:pStyle w:val="APVMATableText"/>
            </w:pPr>
            <w:r>
              <w:t>Add:</w:t>
            </w:r>
          </w:p>
        </w:tc>
        <w:tc>
          <w:tcPr>
            <w:tcW w:w="2392" w:type="pct"/>
            <w:tcBorders>
              <w:top w:val="single" w:sz="4" w:space="0" w:color="auto"/>
              <w:left w:val="nil"/>
              <w:bottom w:val="single" w:sz="4" w:space="0" w:color="auto"/>
              <w:right w:val="nil"/>
            </w:tcBorders>
          </w:tcPr>
          <w:p w14:paraId="4DCCFAB3" w14:textId="77777777" w:rsidR="000E7700" w:rsidRDefault="000E7700" w:rsidP="001C317D">
            <w:pPr>
              <w:pStyle w:val="APVMATableText"/>
            </w:pPr>
          </w:p>
        </w:tc>
        <w:tc>
          <w:tcPr>
            <w:tcW w:w="995" w:type="pct"/>
            <w:tcBorders>
              <w:top w:val="single" w:sz="4" w:space="0" w:color="auto"/>
              <w:left w:val="nil"/>
              <w:bottom w:val="single" w:sz="4" w:space="0" w:color="auto"/>
              <w:right w:val="nil"/>
            </w:tcBorders>
          </w:tcPr>
          <w:p w14:paraId="4BBA8D54" w14:textId="77777777" w:rsidR="000E7700" w:rsidRDefault="000E7700" w:rsidP="002C47AC">
            <w:pPr>
              <w:pStyle w:val="APVMATableText"/>
              <w:jc w:val="right"/>
            </w:pPr>
          </w:p>
        </w:tc>
      </w:tr>
      <w:tr w:rsidR="000E7700" w14:paraId="1C2AE179" w14:textId="77777777" w:rsidTr="001D035F">
        <w:trPr>
          <w:cantSplit/>
        </w:trPr>
        <w:tc>
          <w:tcPr>
            <w:tcW w:w="1613" w:type="pct"/>
            <w:tcBorders>
              <w:top w:val="single" w:sz="4" w:space="0" w:color="auto"/>
              <w:left w:val="nil"/>
              <w:bottom w:val="single" w:sz="4" w:space="0" w:color="auto"/>
              <w:right w:val="nil"/>
            </w:tcBorders>
          </w:tcPr>
          <w:p w14:paraId="1BA3E414" w14:textId="77777777" w:rsidR="000E7700" w:rsidRDefault="000E7700" w:rsidP="001C317D">
            <w:pPr>
              <w:pStyle w:val="APVMATableText"/>
            </w:pPr>
            <w:r>
              <w:t>FS</w:t>
            </w:r>
            <w:r>
              <w:tab/>
              <w:t>0014</w:t>
            </w:r>
          </w:p>
        </w:tc>
        <w:tc>
          <w:tcPr>
            <w:tcW w:w="2392" w:type="pct"/>
            <w:tcBorders>
              <w:top w:val="single" w:sz="4" w:space="0" w:color="auto"/>
              <w:left w:val="nil"/>
              <w:bottom w:val="single" w:sz="4" w:space="0" w:color="auto"/>
              <w:right w:val="nil"/>
            </w:tcBorders>
          </w:tcPr>
          <w:p w14:paraId="79719D11" w14:textId="77777777" w:rsidR="000E7700" w:rsidRDefault="000E7700" w:rsidP="001C317D">
            <w:pPr>
              <w:pStyle w:val="APVMATableText"/>
            </w:pPr>
            <w:r>
              <w:t>Plums</w:t>
            </w:r>
          </w:p>
        </w:tc>
        <w:tc>
          <w:tcPr>
            <w:tcW w:w="995" w:type="pct"/>
            <w:tcBorders>
              <w:top w:val="single" w:sz="4" w:space="0" w:color="auto"/>
              <w:left w:val="nil"/>
              <w:bottom w:val="single" w:sz="4" w:space="0" w:color="auto"/>
              <w:right w:val="nil"/>
            </w:tcBorders>
          </w:tcPr>
          <w:p w14:paraId="16A39229" w14:textId="4E5251D2" w:rsidR="000E7700" w:rsidRDefault="000E7700" w:rsidP="002C47AC">
            <w:pPr>
              <w:pStyle w:val="APVMATableText"/>
              <w:jc w:val="right"/>
            </w:pPr>
            <w:r>
              <w:t>T0.3</w:t>
            </w:r>
          </w:p>
        </w:tc>
      </w:tr>
      <w:tr w:rsidR="000E7700" w14:paraId="74413ED3" w14:textId="77777777" w:rsidTr="001D035F">
        <w:trPr>
          <w:cantSplit/>
        </w:trPr>
        <w:tc>
          <w:tcPr>
            <w:tcW w:w="1613" w:type="pct"/>
            <w:tcBorders>
              <w:top w:val="single" w:sz="4" w:space="0" w:color="auto"/>
              <w:left w:val="nil"/>
              <w:bottom w:val="single" w:sz="4" w:space="0" w:color="auto"/>
              <w:right w:val="nil"/>
            </w:tcBorders>
          </w:tcPr>
          <w:p w14:paraId="3418A9BD" w14:textId="77777777" w:rsidR="000E7700" w:rsidRDefault="000E7700" w:rsidP="001C317D">
            <w:pPr>
              <w:pStyle w:val="APVMATableText"/>
            </w:pPr>
            <w:r>
              <w:t>DF</w:t>
            </w:r>
            <w:r>
              <w:tab/>
              <w:t>0014</w:t>
            </w:r>
          </w:p>
        </w:tc>
        <w:tc>
          <w:tcPr>
            <w:tcW w:w="2392" w:type="pct"/>
            <w:tcBorders>
              <w:top w:val="single" w:sz="4" w:space="0" w:color="auto"/>
              <w:left w:val="nil"/>
              <w:bottom w:val="single" w:sz="4" w:space="0" w:color="auto"/>
              <w:right w:val="nil"/>
            </w:tcBorders>
          </w:tcPr>
          <w:p w14:paraId="313475C7" w14:textId="77777777" w:rsidR="000E7700" w:rsidRDefault="000E7700" w:rsidP="001C317D">
            <w:pPr>
              <w:pStyle w:val="APVMATableText"/>
            </w:pPr>
            <w:r>
              <w:t>Prunes</w:t>
            </w:r>
          </w:p>
        </w:tc>
        <w:tc>
          <w:tcPr>
            <w:tcW w:w="995" w:type="pct"/>
            <w:tcBorders>
              <w:top w:val="single" w:sz="4" w:space="0" w:color="auto"/>
              <w:left w:val="nil"/>
              <w:bottom w:val="single" w:sz="4" w:space="0" w:color="auto"/>
              <w:right w:val="nil"/>
            </w:tcBorders>
          </w:tcPr>
          <w:p w14:paraId="44971D06" w14:textId="403C5861" w:rsidR="000E7700" w:rsidRDefault="000E7700" w:rsidP="002C47AC">
            <w:pPr>
              <w:pStyle w:val="APVMATableText"/>
              <w:jc w:val="right"/>
            </w:pPr>
            <w:r>
              <w:t>T2</w:t>
            </w:r>
          </w:p>
        </w:tc>
      </w:tr>
      <w:tr w:rsidR="000E7700" w14:paraId="60FDA1B9" w14:textId="77777777" w:rsidTr="001D035F">
        <w:trPr>
          <w:cantSplit/>
        </w:trPr>
        <w:tc>
          <w:tcPr>
            <w:tcW w:w="1613" w:type="pct"/>
            <w:tcBorders>
              <w:top w:val="single" w:sz="4" w:space="0" w:color="auto"/>
              <w:left w:val="nil"/>
              <w:bottom w:val="single" w:sz="4" w:space="0" w:color="auto"/>
              <w:right w:val="nil"/>
            </w:tcBorders>
          </w:tcPr>
          <w:p w14:paraId="0FBDD608" w14:textId="3EAA0A52" w:rsidR="000E7700" w:rsidRDefault="000E7700" w:rsidP="001C317D">
            <w:pPr>
              <w:pStyle w:val="APVMATableText"/>
            </w:pPr>
            <w:r>
              <w:t>FS</w:t>
            </w:r>
            <w:r>
              <w:tab/>
              <w:t>0012</w:t>
            </w:r>
          </w:p>
        </w:tc>
        <w:tc>
          <w:tcPr>
            <w:tcW w:w="2392" w:type="pct"/>
            <w:tcBorders>
              <w:top w:val="single" w:sz="4" w:space="0" w:color="auto"/>
              <w:left w:val="nil"/>
              <w:bottom w:val="single" w:sz="4" w:space="0" w:color="auto"/>
              <w:right w:val="nil"/>
            </w:tcBorders>
          </w:tcPr>
          <w:p w14:paraId="00C8A057" w14:textId="3ABFF118" w:rsidR="000E7700" w:rsidRDefault="000E7700" w:rsidP="001C317D">
            <w:pPr>
              <w:pStyle w:val="APVMATableText"/>
            </w:pPr>
            <w:r>
              <w:t>Stone fruits {except Plums}</w:t>
            </w:r>
          </w:p>
        </w:tc>
        <w:tc>
          <w:tcPr>
            <w:tcW w:w="995" w:type="pct"/>
            <w:tcBorders>
              <w:top w:val="single" w:sz="4" w:space="0" w:color="auto"/>
              <w:left w:val="nil"/>
              <w:bottom w:val="single" w:sz="4" w:space="0" w:color="auto"/>
              <w:right w:val="nil"/>
            </w:tcBorders>
          </w:tcPr>
          <w:p w14:paraId="2BBBDC42" w14:textId="184E9ECF" w:rsidR="000E7700" w:rsidRDefault="00CC7D7F" w:rsidP="002C47AC">
            <w:pPr>
              <w:pStyle w:val="APVMATableText"/>
              <w:jc w:val="right"/>
            </w:pPr>
            <w:r>
              <w:t>*</w:t>
            </w:r>
            <w:r w:rsidR="000E7700">
              <w:t>0.01</w:t>
            </w:r>
          </w:p>
        </w:tc>
      </w:tr>
    </w:tbl>
    <w:p w14:paraId="7B6402A0" w14:textId="77777777" w:rsidR="006D36C8" w:rsidRPr="001C317D" w:rsidRDefault="006D36C8" w:rsidP="001C317D">
      <w:pPr>
        <w:pStyle w:val="Heading2"/>
      </w:pPr>
      <w:bookmarkStart w:id="79" w:name="_Toc231889751"/>
      <w:bookmarkStart w:id="80" w:name="_Toc2243854"/>
      <w:bookmarkStart w:id="81" w:name="_Toc138344490"/>
      <w:r w:rsidRPr="001C317D">
        <w:lastRenderedPageBreak/>
        <w:t>Potential risk to trade</w:t>
      </w:r>
      <w:bookmarkEnd w:id="79"/>
      <w:bookmarkEnd w:id="80"/>
      <w:bookmarkEnd w:id="81"/>
    </w:p>
    <w:p w14:paraId="112F1ED4" w14:textId="39BE3BEA" w:rsidR="000E7700" w:rsidRPr="001C317D" w:rsidRDefault="000E7700" w:rsidP="001C317D">
      <w:pPr>
        <w:pStyle w:val="APVMAText"/>
      </w:pPr>
      <w:bookmarkStart w:id="82" w:name="_Hlk134513010"/>
      <w:r w:rsidRPr="001C317D">
        <w:t xml:space="preserve">Export of treated produce containing finite </w:t>
      </w:r>
      <w:bookmarkStart w:id="83" w:name="_Hlk134517558"/>
      <w:r w:rsidRPr="001C317D">
        <w:t xml:space="preserve">(measurable) residues </w:t>
      </w:r>
      <w:bookmarkEnd w:id="83"/>
      <w:r w:rsidRPr="001C317D">
        <w:t xml:space="preserve">of azoxystrobin, difenoconazole, </w:t>
      </w:r>
      <w:proofErr w:type="spellStart"/>
      <w:r w:rsidRPr="001C317D">
        <w:t>isopyrazam</w:t>
      </w:r>
      <w:proofErr w:type="spellEnd"/>
      <w:r w:rsidRPr="001C317D">
        <w:t xml:space="preserve"> and tebuconazole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1299FC3" w14:textId="4B09964C" w:rsidR="000E7700" w:rsidRPr="001C317D" w:rsidRDefault="000E7700" w:rsidP="001C317D">
      <w:pPr>
        <w:pStyle w:val="APVMAText"/>
      </w:pPr>
      <w:r w:rsidRPr="001C317D">
        <w:t>For azoxystrobin, the proposed MRL for Plums (including prunes) at T0.8</w:t>
      </w:r>
      <w:r w:rsidR="001C317D">
        <w:t> </w:t>
      </w:r>
      <w:r w:rsidRPr="001C317D">
        <w:t>mg/kg is lower than the MRL coverage for Stone fruits that is established at 2</w:t>
      </w:r>
      <w:r w:rsidR="001C317D">
        <w:t> </w:t>
      </w:r>
      <w:r w:rsidRPr="001C317D">
        <w:t>mg/kg in most significant markets except Singapore where no MRL is established.</w:t>
      </w:r>
      <w:r w:rsidR="005F530F" w:rsidRPr="001C317D">
        <w:t xml:space="preserve"> </w:t>
      </w:r>
      <w:bookmarkStart w:id="84" w:name="_Hlk137566811"/>
      <w:r w:rsidR="005F530F" w:rsidRPr="001C317D">
        <w:t>It is however noted that Singapore recognises Codex MRLs for pesticides which do not have MRLs specifically stipulated under their Food Regulations</w:t>
      </w:r>
      <w:r w:rsidR="005F530F" w:rsidRPr="00241879">
        <w:rPr>
          <w:rStyle w:val="FootnoteReference"/>
        </w:rPr>
        <w:footnoteReference w:id="26"/>
      </w:r>
      <w:bookmarkEnd w:id="84"/>
      <w:r w:rsidR="00AC0ADA" w:rsidRPr="001C317D">
        <w:t>.</w:t>
      </w:r>
    </w:p>
    <w:bookmarkEnd w:id="82"/>
    <w:p w14:paraId="04E2C13A" w14:textId="19F8D3F4" w:rsidR="000E7700" w:rsidRPr="001C317D" w:rsidRDefault="000E7700" w:rsidP="001C317D">
      <w:pPr>
        <w:pStyle w:val="APVMAText"/>
      </w:pPr>
      <w:r w:rsidRPr="001C317D">
        <w:t>For difenoconazole, the proposed MRL for Plums (including prunes) at T0.5</w:t>
      </w:r>
      <w:r w:rsidR="001C317D">
        <w:t> </w:t>
      </w:r>
      <w:r w:rsidRPr="001C317D">
        <w:t>mg/kg is lower than the MRL for Plums established in Hong Kong (2.5</w:t>
      </w:r>
      <w:r w:rsidR="001C317D">
        <w:t> </w:t>
      </w:r>
      <w:r w:rsidRPr="001C317D">
        <w:t>mg/kg), the EU (0.5</w:t>
      </w:r>
      <w:r w:rsidR="001C317D">
        <w:t> </w:t>
      </w:r>
      <w:r w:rsidRPr="001C317D">
        <w:t>mg/kg) and the USA (2.5</w:t>
      </w:r>
      <w:r w:rsidR="001C317D">
        <w:t> </w:t>
      </w:r>
      <w:r w:rsidRPr="001C317D">
        <w:t xml:space="preserve">mg/kg) but is higher than the MRL for Plums established in China and by Codex </w:t>
      </w:r>
      <w:bookmarkStart w:id="85" w:name="_Hlk137566909"/>
      <w:r w:rsidR="005F530F" w:rsidRPr="001C317D">
        <w:t xml:space="preserve">(and by reference, Singapore) </w:t>
      </w:r>
      <w:bookmarkEnd w:id="85"/>
      <w:r w:rsidRPr="001C317D">
        <w:t>at 0.2</w:t>
      </w:r>
      <w:r w:rsidR="001C317D">
        <w:t> </w:t>
      </w:r>
      <w:r w:rsidRPr="001C317D">
        <w:t>mg/kg.</w:t>
      </w:r>
    </w:p>
    <w:p w14:paraId="0A1B8931" w14:textId="7A064106" w:rsidR="000E7700" w:rsidRPr="001C317D" w:rsidRDefault="000E7700" w:rsidP="001C317D">
      <w:pPr>
        <w:pStyle w:val="APVMAText"/>
      </w:pPr>
      <w:r w:rsidRPr="001C317D">
        <w:t xml:space="preserve">For </w:t>
      </w:r>
      <w:proofErr w:type="spellStart"/>
      <w:r w:rsidRPr="001C317D">
        <w:t>isopyrazam</w:t>
      </w:r>
      <w:proofErr w:type="spellEnd"/>
      <w:r w:rsidRPr="001C317D">
        <w:t>, the proposed MRLs are for Plums at T0.7</w:t>
      </w:r>
      <w:r w:rsidR="001C317D">
        <w:t> </w:t>
      </w:r>
      <w:r w:rsidRPr="001C317D">
        <w:t>mg/kg and Prunes at T3</w:t>
      </w:r>
      <w:r w:rsidR="001C317D">
        <w:t> </w:t>
      </w:r>
      <w:r w:rsidRPr="001C317D">
        <w:t>mg/kg. MRLs for Plums or Stone fruits are not established in most significant markets except for the EU where an MRL for Plums is established at the limit of quantification (</w:t>
      </w:r>
      <w:r w:rsidR="00CC7D7F">
        <w:t>*</w:t>
      </w:r>
      <w:r w:rsidRPr="001C317D">
        <w:t>0.01</w:t>
      </w:r>
      <w:r w:rsidR="001C317D">
        <w:t> </w:t>
      </w:r>
      <w:r w:rsidRPr="001C317D">
        <w:t>mg/kg).</w:t>
      </w:r>
    </w:p>
    <w:p w14:paraId="118329C0" w14:textId="77777777" w:rsidR="00F65F46" w:rsidRDefault="000E7700" w:rsidP="000E7700">
      <w:pPr>
        <w:pStyle w:val="APVMAText"/>
        <w:sectPr w:rsidR="00F65F46">
          <w:headerReference w:type="even" r:id="rId29"/>
          <w:pgSz w:w="11906" w:h="16838" w:code="9"/>
          <w:pgMar w:top="2835" w:right="1134" w:bottom="1134" w:left="1134" w:header="1701" w:footer="680" w:gutter="0"/>
          <w:cols w:space="708"/>
          <w:docGrid w:linePitch="360"/>
        </w:sectPr>
      </w:pPr>
      <w:r w:rsidRPr="001C317D">
        <w:t>For tebuconazole, the proposed MRLs are for Plums at T0.3</w:t>
      </w:r>
      <w:r w:rsidR="001C317D">
        <w:t> </w:t>
      </w:r>
      <w:r w:rsidRPr="001C317D">
        <w:t>mg/kg and Prunes at T2</w:t>
      </w:r>
      <w:r w:rsidR="001C317D">
        <w:t> </w:t>
      </w:r>
      <w:r w:rsidRPr="001C317D">
        <w:t>mg/kg. Higher MRLs for Plums are established by Codex</w:t>
      </w:r>
      <w:r w:rsidR="005F530F" w:rsidRPr="001C317D">
        <w:t xml:space="preserve"> (and by reference, Singapore)</w:t>
      </w:r>
      <w:r w:rsidRPr="001C317D">
        <w:t>, China, the EU and the USA at 1</w:t>
      </w:r>
      <w:r w:rsidR="001C317D">
        <w:t> </w:t>
      </w:r>
      <w:r w:rsidRPr="001C317D">
        <w:t>mg/kg</w:t>
      </w:r>
      <w:r w:rsidR="00843845" w:rsidRPr="001C317D">
        <w:t>,</w:t>
      </w:r>
      <w:r w:rsidRPr="001C317D">
        <w:t xml:space="preserve"> however MRLs are not established in Hong Kong. For prunes</w:t>
      </w:r>
      <w:r w:rsidR="00843845" w:rsidRPr="001C317D">
        <w:t>,</w:t>
      </w:r>
      <w:r w:rsidRPr="001C317D">
        <w:t xml:space="preserve"> MRLs are established by Codex and China at 3</w:t>
      </w:r>
      <w:r w:rsidR="001C317D">
        <w:t> </w:t>
      </w:r>
      <w:r w:rsidRPr="001C317D">
        <w:t>mg/kg but are not established separately in other markets. It is noted that high residues from the proposed Australian use are expected in the processed commodity at &lt;1</w:t>
      </w:r>
      <w:r w:rsidR="001C317D">
        <w:t> </w:t>
      </w:r>
      <w:r w:rsidRPr="001C317D">
        <w:t xml:space="preserve">mg/kg and </w:t>
      </w:r>
      <w:r w:rsidR="008E13AE" w:rsidRPr="001C317D">
        <w:t>should</w:t>
      </w:r>
      <w:r w:rsidRPr="001C317D">
        <w:t xml:space="preserve"> be covered by the RAC MRL in most markets except Hong Kong and Singapore.</w:t>
      </w:r>
    </w:p>
    <w:p w14:paraId="66150D10" w14:textId="664325A4" w:rsidR="002E20AC" w:rsidRDefault="007B1953" w:rsidP="001C317D">
      <w:pPr>
        <w:pStyle w:val="Heading1"/>
      </w:pPr>
      <w:bookmarkStart w:id="86" w:name="_Toc138344491"/>
      <w:r>
        <w:lastRenderedPageBreak/>
        <w:t>C</w:t>
      </w:r>
      <w:r w:rsidR="006D36C8">
        <w:t>onclusion</w:t>
      </w:r>
      <w:bookmarkEnd w:id="86"/>
    </w:p>
    <w:p w14:paraId="5EAE14E4" w14:textId="77777777" w:rsidR="000E7700" w:rsidRPr="001C317D" w:rsidRDefault="000E7700" w:rsidP="001C317D">
      <w:pPr>
        <w:pStyle w:val="APVMAText"/>
      </w:pPr>
      <w:r w:rsidRPr="001C317D">
        <w:t>Comment is sought on the ability of industry to manage the potential trade risks associated with the proposed uses.</w:t>
      </w:r>
    </w:p>
    <w:sectPr w:rsidR="000E7700" w:rsidRPr="001C317D">
      <w:headerReference w:type="even" r:id="rId3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AE8E" w14:textId="77777777" w:rsidR="00E52505" w:rsidRDefault="00E52505">
      <w:r>
        <w:separator/>
      </w:r>
    </w:p>
    <w:p w14:paraId="65E1340F" w14:textId="77777777" w:rsidR="00E52505" w:rsidRDefault="00E52505"/>
    <w:p w14:paraId="0B96FF51" w14:textId="77777777" w:rsidR="00E52505" w:rsidRDefault="00E52505"/>
  </w:endnote>
  <w:endnote w:type="continuationSeparator" w:id="0">
    <w:p w14:paraId="76043905" w14:textId="77777777" w:rsidR="00E52505" w:rsidRDefault="00E52505">
      <w:r>
        <w:continuationSeparator/>
      </w:r>
    </w:p>
    <w:p w14:paraId="1B0C7386" w14:textId="77777777" w:rsidR="00E52505" w:rsidRDefault="00E52505"/>
    <w:p w14:paraId="47B89526" w14:textId="77777777" w:rsidR="00E52505" w:rsidRDefault="00E52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E23E" w14:textId="77777777" w:rsidR="001C317D" w:rsidRDefault="001C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FE51" w14:textId="77777777" w:rsidR="00E52505" w:rsidRDefault="00E52505">
      <w:r>
        <w:separator/>
      </w:r>
    </w:p>
  </w:footnote>
  <w:footnote w:type="continuationSeparator" w:id="0">
    <w:p w14:paraId="0E609265" w14:textId="77777777" w:rsidR="00E52505" w:rsidRDefault="00E52505">
      <w:pPr>
        <w:spacing w:line="180" w:lineRule="exact"/>
        <w:rPr>
          <w:sz w:val="16"/>
        </w:rPr>
      </w:pPr>
      <w:r>
        <w:rPr>
          <w:sz w:val="16"/>
        </w:rPr>
        <w:continuationSeparator/>
      </w:r>
    </w:p>
    <w:p w14:paraId="29DCE75D" w14:textId="77777777" w:rsidR="00E52505" w:rsidRDefault="00E52505"/>
    <w:p w14:paraId="1AA496E1" w14:textId="77777777" w:rsidR="00E52505" w:rsidRDefault="00E52505"/>
  </w:footnote>
  <w:footnote w:type="continuationNotice" w:id="1">
    <w:p w14:paraId="3AAE47E8" w14:textId="77777777" w:rsidR="00E52505" w:rsidRDefault="00E52505"/>
    <w:p w14:paraId="4B09623A" w14:textId="77777777" w:rsidR="00E52505" w:rsidRDefault="00E52505"/>
    <w:p w14:paraId="420A27D5" w14:textId="77777777" w:rsidR="00E52505" w:rsidRDefault="00E52505"/>
  </w:footnote>
  <w:footnote w:id="2">
    <w:p w14:paraId="3A2FA39C" w14:textId="1086BE78" w:rsidR="00AE672E" w:rsidRPr="001D035F" w:rsidRDefault="00AE672E" w:rsidP="001D035F">
      <w:pPr>
        <w:pStyle w:val="FootnoteText"/>
      </w:pPr>
      <w:r w:rsidRPr="001D035F">
        <w:rPr>
          <w:rStyle w:val="FootnoteReference"/>
          <w:vertAlign w:val="baseline"/>
        </w:rPr>
        <w:footnoteRef/>
      </w:r>
      <w:r w:rsidRPr="001D035F">
        <w:t xml:space="preserve"> </w:t>
      </w:r>
      <w:r w:rsidR="001C317D" w:rsidRPr="001D035F">
        <w:t xml:space="preserve">Australian Pesticides and Veterinary Medicines Authority (APVMA), 2020. </w:t>
      </w:r>
      <w:hyperlink r:id="rId1" w:anchor="major-export-food-commodity-groups" w:history="1">
        <w:r w:rsidR="001C317D" w:rsidRPr="001D035F">
          <w:rPr>
            <w:rStyle w:val="Hyperlink"/>
            <w:i/>
            <w:iCs/>
          </w:rPr>
          <w:t>Agricultural data guidelines – Pesticides: Overseas trade (Part 5B) – Major export food commodity groups</w:t>
        </w:r>
      </w:hyperlink>
      <w:r w:rsidR="001C317D" w:rsidRPr="001D035F">
        <w:t>, APVMA website.</w:t>
      </w:r>
    </w:p>
  </w:footnote>
  <w:footnote w:id="3">
    <w:p w14:paraId="39F953C2" w14:textId="401D9D40" w:rsidR="00AE672E" w:rsidRDefault="00AE672E" w:rsidP="001D035F">
      <w:pPr>
        <w:pStyle w:val="FootnoteText"/>
      </w:pPr>
      <w:r w:rsidRPr="001D035F">
        <w:rPr>
          <w:rStyle w:val="FootnoteReference"/>
          <w:rFonts w:eastAsiaTheme="majorEastAsia"/>
          <w:vertAlign w:val="baseline"/>
        </w:rPr>
        <w:footnoteRef/>
      </w:r>
      <w:r w:rsidRPr="001D035F">
        <w:t xml:space="preserve"> </w:t>
      </w:r>
      <w:proofErr w:type="spellStart"/>
      <w:r w:rsidRPr="001D035F">
        <w:t>Hort</w:t>
      </w:r>
      <w:proofErr w:type="spellEnd"/>
      <w:r w:rsidRPr="001D035F">
        <w:t xml:space="preserve"> Innovation, </w:t>
      </w:r>
      <w:hyperlink r:id="rId2" w:history="1">
        <w:r w:rsidRPr="001D035F">
          <w:rPr>
            <w:rStyle w:val="Hyperlink"/>
            <w:i/>
            <w:iCs/>
          </w:rPr>
          <w:t>Australian Horticulture Statistics Handbook 2021–22 – Fruit</w:t>
        </w:r>
      </w:hyperlink>
      <w:r w:rsidRPr="001D035F">
        <w:t xml:space="preserve">, </w:t>
      </w:r>
      <w:proofErr w:type="spellStart"/>
      <w:r w:rsidRPr="001D035F">
        <w:t>Hort</w:t>
      </w:r>
      <w:proofErr w:type="spellEnd"/>
      <w:r w:rsidRPr="001D035F">
        <w:t xml:space="preserve"> Innovation website, accessed April 2023.</w:t>
      </w:r>
    </w:p>
  </w:footnote>
  <w:footnote w:id="4">
    <w:p w14:paraId="20955AC1" w14:textId="1DDB7CAE" w:rsidR="00AE672E" w:rsidRPr="001C317D" w:rsidRDefault="00AE672E" w:rsidP="001C317D">
      <w:pPr>
        <w:pStyle w:val="FootnoteText"/>
      </w:pPr>
      <w:r w:rsidRPr="005D4D53">
        <w:rPr>
          <w:vertAlign w:val="superscript"/>
        </w:rPr>
        <w:footnoteRef/>
      </w:r>
      <w:r w:rsidRPr="001D035F">
        <w:t xml:space="preserve"> </w:t>
      </w:r>
      <w:bookmarkStart w:id="62" w:name="_Hlk138323076"/>
      <w:r w:rsidR="001C317D" w:rsidRPr="001C317D">
        <w:t>Federal Register of Legislation</w:t>
      </w:r>
      <w:bookmarkEnd w:id="62"/>
      <w:r w:rsidR="001C317D" w:rsidRPr="001C317D">
        <w:t>,</w:t>
      </w:r>
      <w:r w:rsidR="001C317D">
        <w:t xml:space="preserve"> 2019. </w:t>
      </w:r>
      <w:hyperlink r:id="rId3" w:history="1">
        <w:r w:rsidR="001C317D" w:rsidRPr="001C317D">
          <w:rPr>
            <w:rStyle w:val="Hyperlink"/>
            <w:i/>
            <w:iCs/>
          </w:rPr>
          <w:t>Agricultural and Veterinary Chemicals Code (MRL Standard) Instrument 2019</w:t>
        </w:r>
      </w:hyperlink>
      <w:r w:rsidR="001C317D">
        <w:t xml:space="preserve">, </w:t>
      </w:r>
      <w:r w:rsidR="001C317D" w:rsidRPr="001C317D">
        <w:t>Federal Register of Legislation</w:t>
      </w:r>
      <w:r w:rsidR="001C317D">
        <w:t xml:space="preserve"> website, </w:t>
      </w:r>
      <w:r w:rsidR="001C317D" w:rsidRPr="001C317D">
        <w:t>accessed 2 May 2023</w:t>
      </w:r>
    </w:p>
  </w:footnote>
  <w:footnote w:id="5">
    <w:p w14:paraId="0B36EEF2" w14:textId="766E729A" w:rsidR="001C317D" w:rsidRPr="001C317D" w:rsidRDefault="00AE672E" w:rsidP="001C317D">
      <w:pPr>
        <w:pStyle w:val="FootnoteText"/>
      </w:pPr>
      <w:r w:rsidRPr="005D4D53">
        <w:rPr>
          <w:rStyle w:val="FootnoteReference"/>
        </w:rPr>
        <w:footnoteRef/>
      </w:r>
      <w:r w:rsidRPr="001C317D">
        <w:t xml:space="preserve"> Food and Agriculture Organisation of the United Nations</w:t>
      </w:r>
      <w:r w:rsidR="001C317D" w:rsidRPr="001C317D">
        <w:t xml:space="preserve"> (FAO</w:t>
      </w:r>
      <w:r w:rsidR="001C317D">
        <w:t>)</w:t>
      </w:r>
      <w:r w:rsidRPr="001C317D">
        <w:t>,</w:t>
      </w:r>
      <w:r w:rsidR="001C317D" w:rsidRPr="001C317D">
        <w:t xml:space="preserve"> 2023.</w:t>
      </w:r>
      <w:r w:rsidRPr="001C317D">
        <w:t xml:space="preserve"> </w:t>
      </w:r>
      <w:hyperlink r:id="rId4" w:history="1">
        <w:r w:rsidRPr="001C317D">
          <w:rPr>
            <w:rStyle w:val="Hyperlink"/>
            <w:i/>
            <w:iCs/>
          </w:rPr>
          <w:t>Codex Alimentarius International Food Standards</w:t>
        </w:r>
        <w:r w:rsidR="001C317D" w:rsidRPr="001C317D">
          <w:rPr>
            <w:rStyle w:val="Hyperlink"/>
          </w:rPr>
          <w:t xml:space="preserve"> </w:t>
        </w:r>
        <w:r w:rsidR="001C317D" w:rsidRPr="001C317D">
          <w:rPr>
            <w:rStyle w:val="Hyperlink"/>
            <w:i/>
            <w:iCs/>
          </w:rPr>
          <w:t>Pesticide Index</w:t>
        </w:r>
      </w:hyperlink>
      <w:r w:rsidRPr="001C317D">
        <w:t>, FAO website, accessed 2 May 2023.</w:t>
      </w:r>
    </w:p>
  </w:footnote>
  <w:footnote w:id="6">
    <w:p w14:paraId="254722E4" w14:textId="4F4C9D0B" w:rsidR="00AE672E" w:rsidRPr="001C317D" w:rsidRDefault="00AE672E" w:rsidP="001C317D">
      <w:pPr>
        <w:pStyle w:val="FootnoteText"/>
      </w:pPr>
      <w:r w:rsidRPr="005D4D53">
        <w:rPr>
          <w:rStyle w:val="FootnoteReference"/>
        </w:rPr>
        <w:footnoteRef/>
      </w:r>
      <w:r w:rsidRPr="005D4D53">
        <w:rPr>
          <w:vertAlign w:val="superscript"/>
        </w:rPr>
        <w:t xml:space="preserve"> </w:t>
      </w:r>
      <w:r w:rsidRPr="005271C6">
        <w:t>United States Department of Agriculture</w:t>
      </w:r>
      <w:r w:rsidR="001C317D" w:rsidRPr="005271C6">
        <w:t xml:space="preserve"> (USDA) </w:t>
      </w:r>
      <w:r w:rsidRPr="005271C6">
        <w:t>Foreign Agricultural Service</w:t>
      </w:r>
      <w:r w:rsidR="001C317D" w:rsidRPr="005271C6">
        <w:t xml:space="preserve">, </w:t>
      </w:r>
      <w:hyperlink r:id="rId5" w:anchor="/home" w:history="1">
        <w:r w:rsidRPr="005271C6">
          <w:rPr>
            <w:rStyle w:val="Hyperlink"/>
            <w:i/>
            <w:iCs/>
          </w:rPr>
          <w:t xml:space="preserve">Translation of Maximum Residue limits </w:t>
        </w:r>
        <w:r w:rsidR="001C317D" w:rsidRPr="005271C6">
          <w:rPr>
            <w:rStyle w:val="Hyperlink"/>
            <w:i/>
            <w:iCs/>
          </w:rPr>
          <w:t>–</w:t>
        </w:r>
        <w:r w:rsidRPr="005271C6">
          <w:rPr>
            <w:rStyle w:val="Hyperlink"/>
            <w:i/>
            <w:iCs/>
          </w:rPr>
          <w:t xml:space="preserve"> People's Republic of China </w:t>
        </w:r>
        <w:r w:rsidR="001C317D" w:rsidRPr="005271C6">
          <w:rPr>
            <w:rStyle w:val="Hyperlink"/>
            <w:i/>
            <w:iCs/>
          </w:rPr>
          <w:t>–</w:t>
        </w:r>
        <w:r w:rsidRPr="005271C6">
          <w:rPr>
            <w:rStyle w:val="Hyperlink"/>
            <w:i/>
            <w:iCs/>
          </w:rPr>
          <w:t xml:space="preserve"> 24 August 2021</w:t>
        </w:r>
      </w:hyperlink>
      <w:r w:rsidRPr="001C317D">
        <w:t>, accessed 2 May 2023.</w:t>
      </w:r>
    </w:p>
  </w:footnote>
  <w:footnote w:id="7">
    <w:p w14:paraId="35125647" w14:textId="7EB37063" w:rsidR="00AE672E" w:rsidRPr="005271C6" w:rsidRDefault="00AE672E" w:rsidP="001C317D">
      <w:pPr>
        <w:pStyle w:val="FootnoteText"/>
      </w:pPr>
      <w:r w:rsidRPr="005D4D53">
        <w:rPr>
          <w:rStyle w:val="FootnoteReference"/>
        </w:rPr>
        <w:footnoteRef/>
      </w:r>
      <w:r w:rsidRPr="005D4D53">
        <w:rPr>
          <w:vertAlign w:val="superscript"/>
        </w:rPr>
        <w:t xml:space="preserve"> </w:t>
      </w:r>
      <w:r w:rsidRPr="005271C6">
        <w:t xml:space="preserve">The Government of </w:t>
      </w:r>
      <w:r w:rsidR="005271C6">
        <w:t xml:space="preserve">the </w:t>
      </w:r>
      <w:r w:rsidRPr="005271C6">
        <w:t>Hong Kong Special Administration Region</w:t>
      </w:r>
      <w:r w:rsidR="005271C6">
        <w:t xml:space="preserve"> </w:t>
      </w:r>
      <w:r w:rsidRPr="005271C6">
        <w:t>Centre for Food Safety</w:t>
      </w:r>
      <w:r w:rsidR="005271C6">
        <w:t xml:space="preserve"> (2017).</w:t>
      </w:r>
      <w:r w:rsidRPr="005271C6">
        <w:t xml:space="preserve"> </w:t>
      </w:r>
      <w:hyperlink r:id="rId6" w:history="1">
        <w:r w:rsidRPr="005271C6">
          <w:rPr>
            <w:rStyle w:val="Hyperlink"/>
            <w:i/>
            <w:iCs/>
          </w:rPr>
          <w:t xml:space="preserve">Hong Kong </w:t>
        </w:r>
        <w:r w:rsidR="005271C6" w:rsidRPr="005271C6">
          <w:rPr>
            <w:rStyle w:val="Hyperlink"/>
            <w:i/>
            <w:iCs/>
          </w:rPr>
          <w:t xml:space="preserve">Pesticide </w:t>
        </w:r>
        <w:r w:rsidRPr="005271C6">
          <w:rPr>
            <w:rStyle w:val="Hyperlink"/>
            <w:i/>
            <w:iCs/>
          </w:rPr>
          <w:t>MRL Database</w:t>
        </w:r>
      </w:hyperlink>
      <w:r w:rsidRPr="005271C6">
        <w:t>, accessed 2 May 2023.</w:t>
      </w:r>
    </w:p>
  </w:footnote>
  <w:footnote w:id="8">
    <w:p w14:paraId="1B84A648" w14:textId="7735731C" w:rsidR="00AE672E" w:rsidRPr="005271C6" w:rsidRDefault="00AE672E" w:rsidP="001C317D">
      <w:pPr>
        <w:pStyle w:val="FootnoteText"/>
      </w:pPr>
      <w:r w:rsidRPr="005D4D53">
        <w:rPr>
          <w:rStyle w:val="FootnoteReference"/>
        </w:rPr>
        <w:footnoteRef/>
      </w:r>
      <w:r w:rsidRPr="005271C6">
        <w:t xml:space="preserve"> Singapore Food Agency</w:t>
      </w:r>
      <w:r w:rsidR="005271C6">
        <w:t xml:space="preserve"> (SFA), n.d. </w:t>
      </w:r>
      <w:hyperlink r:id="rId7" w:history="1">
        <w:r w:rsidRPr="005271C6">
          <w:rPr>
            <w:rStyle w:val="Hyperlink"/>
            <w:i/>
            <w:iCs/>
          </w:rPr>
          <w:t xml:space="preserve">Ninth Schedule </w:t>
        </w:r>
        <w:r w:rsidR="005271C6" w:rsidRPr="005271C6">
          <w:rPr>
            <w:rStyle w:val="Hyperlink"/>
            <w:i/>
            <w:iCs/>
          </w:rPr>
          <w:t>–</w:t>
        </w:r>
        <w:r w:rsidRPr="005271C6">
          <w:rPr>
            <w:rStyle w:val="Hyperlink"/>
            <w:i/>
            <w:iCs/>
          </w:rPr>
          <w:t xml:space="preserve"> Regulation 30(2) and (5) </w:t>
        </w:r>
        <w:r w:rsidR="005271C6" w:rsidRPr="005271C6">
          <w:rPr>
            <w:rStyle w:val="Hyperlink"/>
            <w:i/>
            <w:iCs/>
          </w:rPr>
          <w:t>–</w:t>
        </w:r>
        <w:r w:rsidRPr="005271C6">
          <w:rPr>
            <w:rStyle w:val="Hyperlink"/>
            <w:i/>
            <w:iCs/>
          </w:rPr>
          <w:t xml:space="preserve"> Food with Maximum Amounts of Pesticides</w:t>
        </w:r>
      </w:hyperlink>
      <w:r w:rsidRPr="005271C6">
        <w:t>,</w:t>
      </w:r>
      <w:r w:rsidR="005271C6">
        <w:t xml:space="preserve"> SFA website,</w:t>
      </w:r>
      <w:r w:rsidRPr="005271C6">
        <w:t xml:space="preserve"> accessed 2 May 2023.</w:t>
      </w:r>
    </w:p>
  </w:footnote>
  <w:footnote w:id="9">
    <w:p w14:paraId="4AEBCC62" w14:textId="617E819D" w:rsidR="00AE672E" w:rsidRPr="005271C6" w:rsidRDefault="00AE672E" w:rsidP="001C317D">
      <w:pPr>
        <w:pStyle w:val="FootnoteText"/>
      </w:pPr>
      <w:r w:rsidRPr="005D4D53">
        <w:rPr>
          <w:rStyle w:val="FootnoteReference"/>
        </w:rPr>
        <w:footnoteRef/>
      </w:r>
      <w:r w:rsidRPr="005271C6">
        <w:t xml:space="preserve"> European Commission, </w:t>
      </w:r>
      <w:r w:rsidR="005271C6">
        <w:t xml:space="preserve">2023. </w:t>
      </w:r>
      <w:hyperlink r:id="rId8" w:history="1">
        <w:r w:rsidR="005271C6" w:rsidRPr="005271C6">
          <w:rPr>
            <w:rStyle w:val="Hyperlink"/>
            <w:i/>
            <w:iCs/>
          </w:rPr>
          <w:t xml:space="preserve">EU Pesticides Database: </w:t>
        </w:r>
        <w:r w:rsidRPr="005271C6">
          <w:rPr>
            <w:rStyle w:val="Hyperlink"/>
            <w:i/>
            <w:iCs/>
          </w:rPr>
          <w:t>Pesticide residue(s) and maximum residues levels (mg/kg), European Commission website</w:t>
        </w:r>
      </w:hyperlink>
      <w:r w:rsidRPr="005271C6">
        <w:t>, accessed 2 May 2023.</w:t>
      </w:r>
    </w:p>
  </w:footnote>
  <w:footnote w:id="10">
    <w:p w14:paraId="530C963B" w14:textId="08445B9C" w:rsidR="00AE672E" w:rsidRPr="004F32FC" w:rsidRDefault="00AE672E" w:rsidP="001C317D">
      <w:pPr>
        <w:pStyle w:val="FootnoteText"/>
      </w:pPr>
      <w:r w:rsidRPr="005D4D53">
        <w:rPr>
          <w:rStyle w:val="FootnoteReference"/>
        </w:rPr>
        <w:footnoteRef/>
      </w:r>
      <w:r w:rsidRPr="005271C6">
        <w:t xml:space="preserve"> Electronic Code of Federal Regulations</w:t>
      </w:r>
      <w:r w:rsidR="005271C6" w:rsidRPr="005271C6">
        <w:t xml:space="preserve"> (</w:t>
      </w:r>
      <w:proofErr w:type="spellStart"/>
      <w:r w:rsidR="005271C6" w:rsidRPr="005271C6">
        <w:t>eCFR</w:t>
      </w:r>
      <w:proofErr w:type="spellEnd"/>
      <w:r w:rsidR="005271C6" w:rsidRPr="005271C6">
        <w:t>), 2023.</w:t>
      </w:r>
      <w:r w:rsidRPr="005271C6">
        <w:t xml:space="preserve"> </w:t>
      </w:r>
      <w:hyperlink r:id="rId9" w:history="1">
        <w:r w:rsidR="005271C6" w:rsidRPr="005271C6">
          <w:rPr>
            <w:rStyle w:val="Hyperlink"/>
            <w:i/>
            <w:iCs/>
          </w:rPr>
          <w:t>Part 180 – Tolerances and exemptions for pesticide chemical residues in food</w:t>
        </w:r>
      </w:hyperlink>
      <w:r w:rsidR="005271C6" w:rsidRPr="005271C6">
        <w:t xml:space="preserve">, </w:t>
      </w:r>
      <w:proofErr w:type="spellStart"/>
      <w:r w:rsidR="005271C6">
        <w:t>e</w:t>
      </w:r>
      <w:r w:rsidRPr="005271C6">
        <w:t>CFR</w:t>
      </w:r>
      <w:proofErr w:type="spellEnd"/>
      <w:r w:rsidRPr="005271C6">
        <w:t xml:space="preserve"> website, accessed 2 May 2023.</w:t>
      </w:r>
    </w:p>
  </w:footnote>
  <w:footnote w:id="11">
    <w:p w14:paraId="2E718B57" w14:textId="72DA932B" w:rsidR="00AE672E" w:rsidRPr="001C317D" w:rsidRDefault="00AE672E" w:rsidP="001C317D">
      <w:pPr>
        <w:pStyle w:val="FootnoteText"/>
      </w:pPr>
      <w:r w:rsidRPr="005D4D53">
        <w:rPr>
          <w:vertAlign w:val="superscript"/>
        </w:rPr>
        <w:footnoteRef/>
      </w:r>
      <w:r w:rsidRPr="001D035F">
        <w:t xml:space="preserve"> </w:t>
      </w:r>
      <w:r w:rsidR="005271C6" w:rsidRPr="001C317D">
        <w:t>Federal Register of Legislation,</w:t>
      </w:r>
      <w:r w:rsidR="005271C6">
        <w:t xml:space="preserve"> 2019. </w:t>
      </w:r>
      <w:hyperlink r:id="rId10" w:history="1">
        <w:r w:rsidR="005271C6" w:rsidRPr="001C317D">
          <w:rPr>
            <w:rStyle w:val="Hyperlink"/>
            <w:i/>
            <w:iCs/>
          </w:rPr>
          <w:t>Agricultural and Veterinary Chemicals Code (MRL Standard) Instrument 2019</w:t>
        </w:r>
      </w:hyperlink>
      <w:r w:rsidR="005271C6">
        <w:t xml:space="preserve">, </w:t>
      </w:r>
      <w:r w:rsidR="005271C6" w:rsidRPr="001C317D">
        <w:t>Federal Register of Legislation</w:t>
      </w:r>
      <w:r w:rsidR="005271C6">
        <w:t xml:space="preserve"> website, </w:t>
      </w:r>
      <w:r w:rsidR="005271C6" w:rsidRPr="001C317D">
        <w:t>accessed 2 May 2023</w:t>
      </w:r>
    </w:p>
  </w:footnote>
  <w:footnote w:id="12">
    <w:p w14:paraId="7F4F0D88" w14:textId="70458F3E" w:rsidR="00AE672E" w:rsidRPr="001C317D" w:rsidRDefault="00AE672E" w:rsidP="001C317D">
      <w:pPr>
        <w:pStyle w:val="FootnoteText"/>
      </w:pPr>
      <w:r w:rsidRPr="005D4D53">
        <w:rPr>
          <w:rStyle w:val="FootnoteReference"/>
        </w:rPr>
        <w:footnoteRef/>
      </w:r>
      <w:r w:rsidRPr="005D4D53">
        <w:rPr>
          <w:vertAlign w:val="superscript"/>
        </w:rPr>
        <w:t xml:space="preserve"> </w:t>
      </w:r>
      <w:bookmarkStart w:id="64" w:name="_Hlk138325108"/>
      <w:r w:rsidR="005271C6" w:rsidRPr="001C317D">
        <w:t>Food and Agriculture Organisation of the United Nations (FAO</w:t>
      </w:r>
      <w:r w:rsidR="005271C6">
        <w:t>)</w:t>
      </w:r>
      <w:r w:rsidR="005271C6" w:rsidRPr="001C317D">
        <w:t xml:space="preserve">, 2023. </w:t>
      </w:r>
      <w:hyperlink r:id="rId11" w:history="1">
        <w:r w:rsidR="005271C6" w:rsidRPr="001C317D">
          <w:rPr>
            <w:rStyle w:val="Hyperlink"/>
            <w:i/>
            <w:iCs/>
          </w:rPr>
          <w:t>Codex Alimentarius International Food Standards</w:t>
        </w:r>
        <w:r w:rsidR="005271C6" w:rsidRPr="001C317D">
          <w:rPr>
            <w:rStyle w:val="Hyperlink"/>
          </w:rPr>
          <w:t xml:space="preserve"> </w:t>
        </w:r>
        <w:r w:rsidR="005271C6" w:rsidRPr="001C317D">
          <w:rPr>
            <w:rStyle w:val="Hyperlink"/>
            <w:i/>
            <w:iCs/>
          </w:rPr>
          <w:t>Pesticide Index</w:t>
        </w:r>
      </w:hyperlink>
      <w:r w:rsidR="005271C6" w:rsidRPr="001C317D">
        <w:t>, FAO website, accessed 2 May 2023.</w:t>
      </w:r>
      <w:bookmarkEnd w:id="64"/>
    </w:p>
  </w:footnote>
  <w:footnote w:id="13">
    <w:p w14:paraId="5B53EAAE" w14:textId="578764C9" w:rsidR="00AE672E" w:rsidRPr="001C317D" w:rsidRDefault="00AE672E" w:rsidP="001C317D">
      <w:pPr>
        <w:pStyle w:val="FootnoteText"/>
      </w:pPr>
      <w:r w:rsidRPr="005D4D53">
        <w:rPr>
          <w:rStyle w:val="FootnoteReference"/>
        </w:rPr>
        <w:footnoteRef/>
      </w:r>
      <w:r w:rsidRPr="001C317D">
        <w:t xml:space="preserve"> </w:t>
      </w:r>
      <w:r w:rsidR="005271C6" w:rsidRPr="005271C6">
        <w:t xml:space="preserve">United States Department of Agriculture (USDA) Foreign Agricultural Service, </w:t>
      </w:r>
      <w:hyperlink r:id="rId12" w:history="1">
        <w:r w:rsidR="005271C6" w:rsidRPr="005271C6">
          <w:rPr>
            <w:rStyle w:val="Hyperlink"/>
            <w:i/>
            <w:iCs/>
          </w:rPr>
          <w:t>Translation of Maximum Residue limits – People's Republic of China – 24 August 2021</w:t>
        </w:r>
      </w:hyperlink>
      <w:r w:rsidR="005271C6" w:rsidRPr="001C317D">
        <w:t>, accessed 2 May 2023.</w:t>
      </w:r>
    </w:p>
  </w:footnote>
  <w:footnote w:id="14">
    <w:p w14:paraId="371EE039" w14:textId="21522653"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 xml:space="preserve">The Government of </w:t>
      </w:r>
      <w:r w:rsidR="005271C6">
        <w:t xml:space="preserve">the </w:t>
      </w:r>
      <w:r w:rsidR="005271C6" w:rsidRPr="005271C6">
        <w:t>Hong Kong Special Administration Region</w:t>
      </w:r>
      <w:r w:rsidR="005271C6">
        <w:t xml:space="preserve"> </w:t>
      </w:r>
      <w:r w:rsidR="005271C6" w:rsidRPr="005271C6">
        <w:t>Centre for Food Safety</w:t>
      </w:r>
      <w:r w:rsidR="005271C6">
        <w:t xml:space="preserve"> (2017).</w:t>
      </w:r>
      <w:r w:rsidR="005271C6" w:rsidRPr="005271C6">
        <w:t xml:space="preserve"> </w:t>
      </w:r>
      <w:hyperlink r:id="rId13" w:history="1">
        <w:r w:rsidR="005271C6" w:rsidRPr="005271C6">
          <w:rPr>
            <w:rStyle w:val="Hyperlink"/>
            <w:i/>
            <w:iCs/>
          </w:rPr>
          <w:t>Hong Kong Pesticide MRL Database</w:t>
        </w:r>
      </w:hyperlink>
      <w:r w:rsidR="005271C6" w:rsidRPr="005271C6">
        <w:t>, accessed 2 May 2023.</w:t>
      </w:r>
    </w:p>
  </w:footnote>
  <w:footnote w:id="15">
    <w:p w14:paraId="618272C3" w14:textId="7A603476"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Singapore Food Agency</w:t>
      </w:r>
      <w:r w:rsidR="005271C6">
        <w:t xml:space="preserve"> (SFA), n.d. </w:t>
      </w:r>
      <w:hyperlink r:id="rId14" w:history="1">
        <w:r w:rsidR="005271C6" w:rsidRPr="005271C6">
          <w:rPr>
            <w:rStyle w:val="Hyperlink"/>
            <w:i/>
            <w:iCs/>
          </w:rPr>
          <w:t>Ninth Schedule – Regulation 30(2) and (5) – Food with Maximum Amounts of Pesticides</w:t>
        </w:r>
      </w:hyperlink>
      <w:r w:rsidR="005271C6" w:rsidRPr="005271C6">
        <w:t>,</w:t>
      </w:r>
      <w:r w:rsidR="005271C6">
        <w:t xml:space="preserve"> SFA website,</w:t>
      </w:r>
      <w:r w:rsidR="005271C6" w:rsidRPr="005271C6">
        <w:t xml:space="preserve"> accessed 2 May 2023.</w:t>
      </w:r>
    </w:p>
  </w:footnote>
  <w:footnote w:id="16">
    <w:p w14:paraId="45ADE50C" w14:textId="74509BF1"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 xml:space="preserve">European Commission, </w:t>
      </w:r>
      <w:r w:rsidR="005271C6">
        <w:t xml:space="preserve">2023. </w:t>
      </w:r>
      <w:hyperlink r:id="rId15" w:history="1">
        <w:r w:rsidR="005271C6" w:rsidRPr="005271C6">
          <w:rPr>
            <w:rStyle w:val="Hyperlink"/>
            <w:i/>
            <w:iCs/>
          </w:rPr>
          <w:t>EU Pesticides Database: Pesticide residue(s) and maximum residues levels (mg/kg), European Commission website</w:t>
        </w:r>
      </w:hyperlink>
      <w:r w:rsidR="005271C6" w:rsidRPr="005271C6">
        <w:t>, accessed 2 May 2023.</w:t>
      </w:r>
    </w:p>
  </w:footnote>
  <w:footnote w:id="17">
    <w:p w14:paraId="1F5D1F18" w14:textId="135AC783"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Electronic Code of Federal Regulations (</w:t>
      </w:r>
      <w:proofErr w:type="spellStart"/>
      <w:r w:rsidR="005271C6" w:rsidRPr="005271C6">
        <w:t>eCFR</w:t>
      </w:r>
      <w:proofErr w:type="spellEnd"/>
      <w:r w:rsidR="005271C6" w:rsidRPr="005271C6">
        <w:t xml:space="preserve">), 2023. </w:t>
      </w:r>
      <w:hyperlink r:id="rId16" w:history="1">
        <w:r w:rsidR="005271C6" w:rsidRPr="005271C6">
          <w:rPr>
            <w:rStyle w:val="Hyperlink"/>
            <w:i/>
            <w:iCs/>
          </w:rPr>
          <w:t>Part 180 – Tolerances and exemptions for pesticide chemical residues in food</w:t>
        </w:r>
      </w:hyperlink>
      <w:r w:rsidR="005271C6" w:rsidRPr="005271C6">
        <w:t xml:space="preserve">, </w:t>
      </w:r>
      <w:proofErr w:type="spellStart"/>
      <w:r w:rsidR="005271C6">
        <w:t>e</w:t>
      </w:r>
      <w:r w:rsidR="005271C6" w:rsidRPr="005271C6">
        <w:t>CFR</w:t>
      </w:r>
      <w:proofErr w:type="spellEnd"/>
      <w:r w:rsidR="005271C6" w:rsidRPr="005271C6">
        <w:t xml:space="preserve"> website, accessed 2 May 2023.</w:t>
      </w:r>
    </w:p>
  </w:footnote>
  <w:footnote w:id="18">
    <w:p w14:paraId="1E85983F" w14:textId="731F636C" w:rsidR="002C47AC" w:rsidRPr="001D035F" w:rsidRDefault="002C47AC" w:rsidP="001D035F">
      <w:pPr>
        <w:pStyle w:val="FootnoteText"/>
      </w:pPr>
      <w:r w:rsidRPr="005D4D53">
        <w:rPr>
          <w:rStyle w:val="FootnoteReference"/>
        </w:rPr>
        <w:footnoteRef/>
      </w:r>
      <w:r w:rsidRPr="005D4D53">
        <w:rPr>
          <w:vertAlign w:val="superscript"/>
        </w:rPr>
        <w:t xml:space="preserve"> </w:t>
      </w:r>
      <w:r w:rsidRPr="001D035F">
        <w:t>Temporary MRL</w:t>
      </w:r>
    </w:p>
  </w:footnote>
  <w:footnote w:id="19">
    <w:p w14:paraId="4629AC0F" w14:textId="6EBD9722" w:rsidR="00AE672E" w:rsidRPr="001C317D" w:rsidRDefault="00AE672E" w:rsidP="005271C6">
      <w:pPr>
        <w:pStyle w:val="FootnoteText"/>
      </w:pPr>
      <w:r w:rsidRPr="005D4D53">
        <w:rPr>
          <w:rStyle w:val="FootnoteReference"/>
        </w:rPr>
        <w:footnoteRef/>
      </w:r>
      <w:r w:rsidRPr="005D4D53">
        <w:rPr>
          <w:vertAlign w:val="superscript"/>
        </w:rPr>
        <w:t xml:space="preserve"> </w:t>
      </w:r>
      <w:r w:rsidR="005271C6" w:rsidRPr="001C317D">
        <w:t>Federal Register of Legislation,</w:t>
      </w:r>
      <w:r w:rsidR="005271C6">
        <w:t xml:space="preserve"> 2019. </w:t>
      </w:r>
      <w:hyperlink r:id="rId17" w:history="1">
        <w:r w:rsidR="005271C6" w:rsidRPr="001C317D">
          <w:rPr>
            <w:rStyle w:val="Hyperlink"/>
            <w:i/>
            <w:iCs/>
          </w:rPr>
          <w:t>Agricultural and Veterinary Chemicals Code (MRL Standard) Instrument 2019</w:t>
        </w:r>
      </w:hyperlink>
      <w:r w:rsidR="005271C6">
        <w:t xml:space="preserve">, </w:t>
      </w:r>
      <w:r w:rsidR="005271C6" w:rsidRPr="001C317D">
        <w:t>Federal Register of Legislation</w:t>
      </w:r>
      <w:r w:rsidR="005271C6">
        <w:t xml:space="preserve"> website, </w:t>
      </w:r>
      <w:r w:rsidR="005271C6" w:rsidRPr="001C317D">
        <w:t>accessed 2 May 2023</w:t>
      </w:r>
    </w:p>
  </w:footnote>
  <w:footnote w:id="20">
    <w:p w14:paraId="083D4D80" w14:textId="2B8511B4"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1C317D">
        <w:t>Food and Agriculture Organisation of the United Nations (FAO</w:t>
      </w:r>
      <w:r w:rsidR="005271C6">
        <w:t>)</w:t>
      </w:r>
      <w:r w:rsidR="005271C6" w:rsidRPr="001C317D">
        <w:t xml:space="preserve">, 2023. </w:t>
      </w:r>
      <w:hyperlink r:id="rId18" w:history="1">
        <w:r w:rsidR="005271C6" w:rsidRPr="001C317D">
          <w:rPr>
            <w:rStyle w:val="Hyperlink"/>
            <w:i/>
            <w:iCs/>
          </w:rPr>
          <w:t>Codex Alimentarius International Food Standards</w:t>
        </w:r>
        <w:r w:rsidR="005271C6" w:rsidRPr="001C317D">
          <w:rPr>
            <w:rStyle w:val="Hyperlink"/>
          </w:rPr>
          <w:t xml:space="preserve"> </w:t>
        </w:r>
        <w:r w:rsidR="005271C6" w:rsidRPr="001C317D">
          <w:rPr>
            <w:rStyle w:val="Hyperlink"/>
            <w:i/>
            <w:iCs/>
          </w:rPr>
          <w:t>Pesticide Index</w:t>
        </w:r>
      </w:hyperlink>
      <w:r w:rsidR="005271C6" w:rsidRPr="001C317D">
        <w:t>, FAO website, accessed 2 May 2023.</w:t>
      </w:r>
    </w:p>
  </w:footnote>
  <w:footnote w:id="21">
    <w:p w14:paraId="5888ADB3" w14:textId="3FE4CFA8"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 xml:space="preserve">United States Department of Agriculture (USDA) Foreign Agricultural Service, </w:t>
      </w:r>
      <w:hyperlink r:id="rId19" w:history="1">
        <w:r w:rsidR="005271C6" w:rsidRPr="005271C6">
          <w:rPr>
            <w:rStyle w:val="Hyperlink"/>
            <w:i/>
            <w:iCs/>
          </w:rPr>
          <w:t>Translation of Maximum Residue limits – People's Republic of China – 24 August 2021</w:t>
        </w:r>
      </w:hyperlink>
      <w:r w:rsidR="005271C6" w:rsidRPr="001C317D">
        <w:t>, accessed 2 May 2023.</w:t>
      </w:r>
    </w:p>
  </w:footnote>
  <w:footnote w:id="22">
    <w:p w14:paraId="6A66CBCB" w14:textId="57290E4C" w:rsidR="00AE672E" w:rsidRPr="001C317D" w:rsidRDefault="00AE672E" w:rsidP="001C317D">
      <w:pPr>
        <w:pStyle w:val="FootnoteText"/>
      </w:pPr>
      <w:r w:rsidRPr="005D4D53">
        <w:rPr>
          <w:rStyle w:val="FootnoteReference"/>
        </w:rPr>
        <w:footnoteRef/>
      </w:r>
      <w:r w:rsidRPr="001C317D">
        <w:t xml:space="preserve"> </w:t>
      </w:r>
      <w:r w:rsidR="005271C6" w:rsidRPr="005271C6">
        <w:t xml:space="preserve">The Government of </w:t>
      </w:r>
      <w:r w:rsidR="005271C6">
        <w:t xml:space="preserve">the </w:t>
      </w:r>
      <w:r w:rsidR="005271C6" w:rsidRPr="005271C6">
        <w:t>Hong Kong Special Administration Region</w:t>
      </w:r>
      <w:r w:rsidR="005271C6">
        <w:t xml:space="preserve"> </w:t>
      </w:r>
      <w:r w:rsidR="005271C6" w:rsidRPr="005271C6">
        <w:t>Centre for Food Safety</w:t>
      </w:r>
      <w:r w:rsidR="005271C6">
        <w:t xml:space="preserve"> (2017).</w:t>
      </w:r>
      <w:r w:rsidR="005271C6" w:rsidRPr="005271C6">
        <w:t xml:space="preserve"> </w:t>
      </w:r>
      <w:hyperlink r:id="rId20" w:history="1">
        <w:r w:rsidR="005271C6" w:rsidRPr="005271C6">
          <w:rPr>
            <w:rStyle w:val="Hyperlink"/>
            <w:i/>
            <w:iCs/>
          </w:rPr>
          <w:t>Hong Kong Pesticide MRL Database</w:t>
        </w:r>
      </w:hyperlink>
      <w:r w:rsidR="005271C6" w:rsidRPr="005271C6">
        <w:t>, accessed 2 May 2023.</w:t>
      </w:r>
    </w:p>
  </w:footnote>
  <w:footnote w:id="23">
    <w:p w14:paraId="24EB33AB" w14:textId="7046C1D9"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Singapore Food Agency</w:t>
      </w:r>
      <w:r w:rsidR="005271C6">
        <w:t xml:space="preserve"> (SFA), n.d. </w:t>
      </w:r>
      <w:hyperlink r:id="rId21" w:history="1">
        <w:r w:rsidR="005271C6" w:rsidRPr="005271C6">
          <w:rPr>
            <w:rStyle w:val="Hyperlink"/>
            <w:i/>
            <w:iCs/>
          </w:rPr>
          <w:t>Ninth Schedule – Regulation 30(2) and (5) – Food with Maximum Amounts of Pesticides</w:t>
        </w:r>
      </w:hyperlink>
      <w:r w:rsidR="005271C6" w:rsidRPr="005271C6">
        <w:t>,</w:t>
      </w:r>
      <w:r w:rsidR="005271C6">
        <w:t xml:space="preserve"> SFA website,</w:t>
      </w:r>
      <w:r w:rsidR="005271C6" w:rsidRPr="005271C6">
        <w:t xml:space="preserve"> accessed 2 May 2023.</w:t>
      </w:r>
    </w:p>
  </w:footnote>
  <w:footnote w:id="24">
    <w:p w14:paraId="40687208" w14:textId="7B9DAC61" w:rsidR="00AE672E" w:rsidRPr="001C317D" w:rsidRDefault="00AE672E" w:rsidP="001C317D">
      <w:pPr>
        <w:pStyle w:val="FootnoteText"/>
      </w:pPr>
      <w:r w:rsidRPr="005D4D53">
        <w:rPr>
          <w:rStyle w:val="FootnoteReference"/>
        </w:rPr>
        <w:footnoteRef/>
      </w:r>
      <w:r w:rsidRPr="005D4D53">
        <w:rPr>
          <w:vertAlign w:val="superscript"/>
        </w:rPr>
        <w:t xml:space="preserve"> </w:t>
      </w:r>
      <w:r w:rsidR="005271C6" w:rsidRPr="005271C6">
        <w:t xml:space="preserve">European Commission, </w:t>
      </w:r>
      <w:r w:rsidR="005271C6">
        <w:t xml:space="preserve">2023. </w:t>
      </w:r>
      <w:hyperlink r:id="rId22" w:history="1">
        <w:r w:rsidR="005271C6" w:rsidRPr="005271C6">
          <w:rPr>
            <w:rStyle w:val="Hyperlink"/>
            <w:i/>
            <w:iCs/>
          </w:rPr>
          <w:t>EU Pesticides Database: Pesticide residue(s) and maximum residues levels (mg/kg), European Commission website</w:t>
        </w:r>
      </w:hyperlink>
      <w:r w:rsidR="005271C6" w:rsidRPr="005271C6">
        <w:t>, accessed 2 May 2023.</w:t>
      </w:r>
    </w:p>
  </w:footnote>
  <w:footnote w:id="25">
    <w:p w14:paraId="7DB5AC64" w14:textId="31222A76" w:rsidR="00AE672E" w:rsidRPr="004F32FC" w:rsidRDefault="00AE672E" w:rsidP="005271C6">
      <w:pPr>
        <w:pStyle w:val="FootnoteText"/>
      </w:pPr>
      <w:r w:rsidRPr="005D4D53">
        <w:rPr>
          <w:rStyle w:val="FootnoteReference"/>
        </w:rPr>
        <w:footnoteRef/>
      </w:r>
      <w:r w:rsidRPr="005D4D53">
        <w:rPr>
          <w:vertAlign w:val="superscript"/>
        </w:rPr>
        <w:t xml:space="preserve"> </w:t>
      </w:r>
      <w:r w:rsidR="005271C6" w:rsidRPr="005271C6">
        <w:t>Electronic Code of Federal Regulations (</w:t>
      </w:r>
      <w:proofErr w:type="spellStart"/>
      <w:r w:rsidR="005271C6" w:rsidRPr="005271C6">
        <w:t>eCFR</w:t>
      </w:r>
      <w:proofErr w:type="spellEnd"/>
      <w:r w:rsidR="005271C6" w:rsidRPr="005271C6">
        <w:t xml:space="preserve">), 2023. </w:t>
      </w:r>
      <w:hyperlink r:id="rId23" w:history="1">
        <w:r w:rsidR="005271C6" w:rsidRPr="005271C6">
          <w:rPr>
            <w:rStyle w:val="Hyperlink"/>
            <w:i/>
            <w:iCs/>
          </w:rPr>
          <w:t>Part 180 – Tolerances and exemptions for pesticide chemical residues in food</w:t>
        </w:r>
      </w:hyperlink>
      <w:r w:rsidR="005271C6" w:rsidRPr="005271C6">
        <w:t xml:space="preserve">, </w:t>
      </w:r>
      <w:proofErr w:type="spellStart"/>
      <w:r w:rsidR="005271C6">
        <w:t>e</w:t>
      </w:r>
      <w:r w:rsidR="005271C6" w:rsidRPr="005271C6">
        <w:t>CFR</w:t>
      </w:r>
      <w:proofErr w:type="spellEnd"/>
      <w:r w:rsidR="005271C6" w:rsidRPr="005271C6">
        <w:t xml:space="preserve"> website, accessed 2 May 2023.</w:t>
      </w:r>
    </w:p>
  </w:footnote>
  <w:footnote w:id="26">
    <w:p w14:paraId="3A7D4743" w14:textId="38779BA3" w:rsidR="005F530F" w:rsidRPr="001C317D" w:rsidRDefault="005F530F" w:rsidP="001C317D">
      <w:pPr>
        <w:pStyle w:val="FootnoteText"/>
      </w:pPr>
      <w:r w:rsidRPr="005D4D53">
        <w:rPr>
          <w:rStyle w:val="FootnoteReference"/>
        </w:rPr>
        <w:footnoteRef/>
      </w:r>
      <w:r w:rsidRPr="005D4D53">
        <w:rPr>
          <w:vertAlign w:val="superscript"/>
        </w:rPr>
        <w:t xml:space="preserve"> </w:t>
      </w:r>
      <w:r w:rsidR="005271C6" w:rsidRPr="001C317D">
        <w:t xml:space="preserve">Singapore Food Agency </w:t>
      </w:r>
      <w:r w:rsidR="005271C6">
        <w:t xml:space="preserve">(SFA), 2020. </w:t>
      </w:r>
      <w:hyperlink r:id="rId24" w:history="1">
        <w:r w:rsidRPr="005271C6">
          <w:rPr>
            <w:rStyle w:val="Hyperlink"/>
            <w:i/>
            <w:iCs/>
          </w:rPr>
          <w:t>Singapore Food Agency Circular 20 April 2020</w:t>
        </w:r>
      </w:hyperlink>
      <w:r w:rsidRPr="001C317D">
        <w:t xml:space="preserve">, </w:t>
      </w:r>
      <w:r w:rsidR="005271C6">
        <w:t xml:space="preserve">SFA website, </w:t>
      </w:r>
      <w:r w:rsidRPr="001C317D">
        <w:t>accessed 13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4B7588CD" w:rsidR="007B1953" w:rsidRDefault="007B1953" w:rsidP="007B1953">
    <w:pPr>
      <w:pStyle w:val="APVMAOddHeader"/>
    </w:pPr>
    <w:r>
      <w:tab/>
    </w:r>
    <w:r w:rsidR="007325C5">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7E5242A0"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AE672E" w:rsidRPr="00AE672E">
      <w:t xml:space="preserve">azoxystrobin, difenoconazole, </w:t>
    </w:r>
    <w:proofErr w:type="spellStart"/>
    <w:r w:rsidR="00AE672E" w:rsidRPr="00AE672E">
      <w:t>fluopyram</w:t>
    </w:r>
    <w:proofErr w:type="spellEnd"/>
    <w:r w:rsidR="00AE672E" w:rsidRPr="00AE672E">
      <w:t xml:space="preserve">, </w:t>
    </w:r>
    <w:proofErr w:type="spellStart"/>
    <w:r w:rsidR="00AE672E" w:rsidRPr="00AE672E">
      <w:t>isopyrazam</w:t>
    </w:r>
    <w:proofErr w:type="spellEnd"/>
    <w:r w:rsidR="00AE672E" w:rsidRPr="00AE672E">
      <w:t xml:space="preserve"> and tebuconazole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2561" w14:textId="73D1DEB1" w:rsidR="001C317D" w:rsidRDefault="001C317D" w:rsidP="007B1953">
    <w:pPr>
      <w:pStyle w:val="APVMAOddHeader"/>
    </w:pPr>
    <w:r>
      <w:tab/>
    </w:r>
    <w:r w:rsidR="001D035F" w:rsidRPr="001D035F">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5CB0" w14:textId="0654A55C" w:rsidR="001C317D" w:rsidRPr="001D035F" w:rsidRDefault="001D035F" w:rsidP="001D035F">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1</w:t>
    </w:r>
    <w:r>
      <w:rPr>
        <w:rStyle w:val="PageNumber"/>
        <w:b/>
        <w:caps/>
        <w:szCs w:val="24"/>
      </w:rPr>
      <w:fldChar w:fldCharType="end"/>
    </w:r>
    <w:r>
      <w:tab/>
      <w:t xml:space="preserve">Trade Advice Notice on </w:t>
    </w:r>
    <w:r w:rsidRPr="00AE672E">
      <w:t xml:space="preserve">azoxystrobin, difenoconazole, </w:t>
    </w:r>
    <w:proofErr w:type="spellStart"/>
    <w:r w:rsidRPr="00AE672E">
      <w:t>fluopyram</w:t>
    </w:r>
    <w:proofErr w:type="spellEnd"/>
    <w:r w:rsidRPr="00AE672E">
      <w:t xml:space="preserve">, </w:t>
    </w:r>
    <w:proofErr w:type="spellStart"/>
    <w:r w:rsidRPr="00AE672E">
      <w:t>isopyrazam</w:t>
    </w:r>
    <w:proofErr w:type="spellEnd"/>
    <w:r w:rsidRPr="00AE672E">
      <w:t xml:space="preserve"> and tebuconazole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290D" w14:textId="589A6F4E" w:rsidR="001D035F" w:rsidRDefault="001D035F" w:rsidP="009D5D03">
    <w:pPr>
      <w:pStyle w:val="APVMAOddHeader"/>
      <w:tabs>
        <w:tab w:val="clear" w:pos="9072"/>
        <w:tab w:val="clear" w:pos="9638"/>
        <w:tab w:val="right" w:pos="13892"/>
        <w:tab w:val="right" w:pos="14459"/>
      </w:tabs>
    </w:pPr>
    <w:r>
      <w:tab/>
    </w:r>
    <w:r w:rsidRPr="001D035F">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18C1" w14:textId="77777777" w:rsidR="009D5D03" w:rsidRDefault="009D5D03" w:rsidP="007B1953">
    <w:pPr>
      <w:pStyle w:val="APVMAOddHeader"/>
    </w:pPr>
    <w:r>
      <w:tab/>
    </w:r>
    <w:r w:rsidRPr="001D035F">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67D" w14:textId="132F953E" w:rsidR="00F65F46" w:rsidRDefault="00F65F46"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828"/>
    <w:rsid w:val="000765C1"/>
    <w:rsid w:val="0008350E"/>
    <w:rsid w:val="00096163"/>
    <w:rsid w:val="000A7EF6"/>
    <w:rsid w:val="000C2C1B"/>
    <w:rsid w:val="000C56C2"/>
    <w:rsid w:val="000C5EB1"/>
    <w:rsid w:val="000D49ED"/>
    <w:rsid w:val="000E7700"/>
    <w:rsid w:val="001004E6"/>
    <w:rsid w:val="00116540"/>
    <w:rsid w:val="00120E00"/>
    <w:rsid w:val="00125B8E"/>
    <w:rsid w:val="00130432"/>
    <w:rsid w:val="001534D8"/>
    <w:rsid w:val="0016476E"/>
    <w:rsid w:val="0016652E"/>
    <w:rsid w:val="00167BB3"/>
    <w:rsid w:val="00174E15"/>
    <w:rsid w:val="00184190"/>
    <w:rsid w:val="00191DD4"/>
    <w:rsid w:val="00193533"/>
    <w:rsid w:val="001945E4"/>
    <w:rsid w:val="001B335C"/>
    <w:rsid w:val="001B7360"/>
    <w:rsid w:val="001C317D"/>
    <w:rsid w:val="001C6607"/>
    <w:rsid w:val="001D035F"/>
    <w:rsid w:val="001D3257"/>
    <w:rsid w:val="001F0620"/>
    <w:rsid w:val="0021215A"/>
    <w:rsid w:val="00216C49"/>
    <w:rsid w:val="00241879"/>
    <w:rsid w:val="0024289A"/>
    <w:rsid w:val="0026493F"/>
    <w:rsid w:val="00273344"/>
    <w:rsid w:val="00280720"/>
    <w:rsid w:val="00282A32"/>
    <w:rsid w:val="002A69DD"/>
    <w:rsid w:val="002B4618"/>
    <w:rsid w:val="002B5703"/>
    <w:rsid w:val="002C19CF"/>
    <w:rsid w:val="002C47AC"/>
    <w:rsid w:val="002D7779"/>
    <w:rsid w:val="002E20AC"/>
    <w:rsid w:val="002E49F4"/>
    <w:rsid w:val="002F4591"/>
    <w:rsid w:val="0030255E"/>
    <w:rsid w:val="0031487D"/>
    <w:rsid w:val="003207F2"/>
    <w:rsid w:val="0034311D"/>
    <w:rsid w:val="00347883"/>
    <w:rsid w:val="003506C5"/>
    <w:rsid w:val="00364192"/>
    <w:rsid w:val="00381544"/>
    <w:rsid w:val="00382B7C"/>
    <w:rsid w:val="00383003"/>
    <w:rsid w:val="003A1BD7"/>
    <w:rsid w:val="003A2363"/>
    <w:rsid w:val="003A558F"/>
    <w:rsid w:val="003B56DE"/>
    <w:rsid w:val="003C0891"/>
    <w:rsid w:val="004070E1"/>
    <w:rsid w:val="00407597"/>
    <w:rsid w:val="0041228F"/>
    <w:rsid w:val="00444045"/>
    <w:rsid w:val="004616C8"/>
    <w:rsid w:val="00461D26"/>
    <w:rsid w:val="00470304"/>
    <w:rsid w:val="004D2C4F"/>
    <w:rsid w:val="004D48AF"/>
    <w:rsid w:val="004D654E"/>
    <w:rsid w:val="004E1991"/>
    <w:rsid w:val="004E4CD7"/>
    <w:rsid w:val="004F66B0"/>
    <w:rsid w:val="005033A8"/>
    <w:rsid w:val="005064D5"/>
    <w:rsid w:val="005148C0"/>
    <w:rsid w:val="00520963"/>
    <w:rsid w:val="00522E27"/>
    <w:rsid w:val="005271C6"/>
    <w:rsid w:val="0054252F"/>
    <w:rsid w:val="00545A0A"/>
    <w:rsid w:val="005527B9"/>
    <w:rsid w:val="00556804"/>
    <w:rsid w:val="00560E83"/>
    <w:rsid w:val="00563297"/>
    <w:rsid w:val="005645E9"/>
    <w:rsid w:val="00566590"/>
    <w:rsid w:val="00596F1D"/>
    <w:rsid w:val="005D00D1"/>
    <w:rsid w:val="005D1A47"/>
    <w:rsid w:val="005D4D53"/>
    <w:rsid w:val="005F4701"/>
    <w:rsid w:val="005F530F"/>
    <w:rsid w:val="00606E79"/>
    <w:rsid w:val="006110AE"/>
    <w:rsid w:val="0062466B"/>
    <w:rsid w:val="00633641"/>
    <w:rsid w:val="00637AB9"/>
    <w:rsid w:val="00641B1B"/>
    <w:rsid w:val="00643052"/>
    <w:rsid w:val="00657A28"/>
    <w:rsid w:val="0066107B"/>
    <w:rsid w:val="00696A51"/>
    <w:rsid w:val="006A32A5"/>
    <w:rsid w:val="006C08BC"/>
    <w:rsid w:val="006D36C8"/>
    <w:rsid w:val="006E33F7"/>
    <w:rsid w:val="00700C27"/>
    <w:rsid w:val="00701C6F"/>
    <w:rsid w:val="00702B7D"/>
    <w:rsid w:val="00704C88"/>
    <w:rsid w:val="0071488E"/>
    <w:rsid w:val="007275CF"/>
    <w:rsid w:val="00731659"/>
    <w:rsid w:val="007325C5"/>
    <w:rsid w:val="007368E2"/>
    <w:rsid w:val="00741F48"/>
    <w:rsid w:val="00753ED8"/>
    <w:rsid w:val="00756031"/>
    <w:rsid w:val="00770B96"/>
    <w:rsid w:val="00772D8F"/>
    <w:rsid w:val="00790A8E"/>
    <w:rsid w:val="0079772A"/>
    <w:rsid w:val="007B1953"/>
    <w:rsid w:val="007B2C31"/>
    <w:rsid w:val="007F0146"/>
    <w:rsid w:val="007F6C64"/>
    <w:rsid w:val="00814579"/>
    <w:rsid w:val="00832D38"/>
    <w:rsid w:val="008362F6"/>
    <w:rsid w:val="00836556"/>
    <w:rsid w:val="008366A3"/>
    <w:rsid w:val="00843845"/>
    <w:rsid w:val="00847050"/>
    <w:rsid w:val="00860B66"/>
    <w:rsid w:val="00862E63"/>
    <w:rsid w:val="008836D1"/>
    <w:rsid w:val="008851A0"/>
    <w:rsid w:val="00892292"/>
    <w:rsid w:val="008B2E83"/>
    <w:rsid w:val="008C5C0D"/>
    <w:rsid w:val="008C6B9D"/>
    <w:rsid w:val="008D01CF"/>
    <w:rsid w:val="008D1A7E"/>
    <w:rsid w:val="008E13AE"/>
    <w:rsid w:val="008E36E3"/>
    <w:rsid w:val="008F14C4"/>
    <w:rsid w:val="009054A8"/>
    <w:rsid w:val="0090612E"/>
    <w:rsid w:val="0095647E"/>
    <w:rsid w:val="00957A91"/>
    <w:rsid w:val="00966603"/>
    <w:rsid w:val="00972247"/>
    <w:rsid w:val="009970A0"/>
    <w:rsid w:val="009A4448"/>
    <w:rsid w:val="009A7614"/>
    <w:rsid w:val="009B6ACE"/>
    <w:rsid w:val="009D0E59"/>
    <w:rsid w:val="009D452E"/>
    <w:rsid w:val="009D5D03"/>
    <w:rsid w:val="009E54C1"/>
    <w:rsid w:val="009F16FF"/>
    <w:rsid w:val="00A03801"/>
    <w:rsid w:val="00A11221"/>
    <w:rsid w:val="00A1629F"/>
    <w:rsid w:val="00A23729"/>
    <w:rsid w:val="00A2448D"/>
    <w:rsid w:val="00A25290"/>
    <w:rsid w:val="00A5136D"/>
    <w:rsid w:val="00A5252F"/>
    <w:rsid w:val="00A60905"/>
    <w:rsid w:val="00A6283D"/>
    <w:rsid w:val="00A74E95"/>
    <w:rsid w:val="00A77CE7"/>
    <w:rsid w:val="00A81500"/>
    <w:rsid w:val="00A82202"/>
    <w:rsid w:val="00A87101"/>
    <w:rsid w:val="00AB3185"/>
    <w:rsid w:val="00AB659C"/>
    <w:rsid w:val="00AC0ADA"/>
    <w:rsid w:val="00AE672E"/>
    <w:rsid w:val="00AF1ED4"/>
    <w:rsid w:val="00AF232A"/>
    <w:rsid w:val="00B061D3"/>
    <w:rsid w:val="00B15647"/>
    <w:rsid w:val="00B15793"/>
    <w:rsid w:val="00B22F9F"/>
    <w:rsid w:val="00B271DC"/>
    <w:rsid w:val="00B27675"/>
    <w:rsid w:val="00B32E0B"/>
    <w:rsid w:val="00B50074"/>
    <w:rsid w:val="00BA67F0"/>
    <w:rsid w:val="00BC5423"/>
    <w:rsid w:val="00BD021C"/>
    <w:rsid w:val="00BD0287"/>
    <w:rsid w:val="00BD2289"/>
    <w:rsid w:val="00BD55DB"/>
    <w:rsid w:val="00BD62F9"/>
    <w:rsid w:val="00BD70E8"/>
    <w:rsid w:val="00BD7C8B"/>
    <w:rsid w:val="00BF0C7F"/>
    <w:rsid w:val="00C01FCE"/>
    <w:rsid w:val="00C53C96"/>
    <w:rsid w:val="00C73D24"/>
    <w:rsid w:val="00C95323"/>
    <w:rsid w:val="00C9656F"/>
    <w:rsid w:val="00CA17DC"/>
    <w:rsid w:val="00CC7D7F"/>
    <w:rsid w:val="00CD6650"/>
    <w:rsid w:val="00CE3E56"/>
    <w:rsid w:val="00CE456A"/>
    <w:rsid w:val="00CE6C51"/>
    <w:rsid w:val="00D10F59"/>
    <w:rsid w:val="00D22CCB"/>
    <w:rsid w:val="00D4143D"/>
    <w:rsid w:val="00D505AD"/>
    <w:rsid w:val="00D67788"/>
    <w:rsid w:val="00D70A54"/>
    <w:rsid w:val="00D874AA"/>
    <w:rsid w:val="00D9318E"/>
    <w:rsid w:val="00D942C8"/>
    <w:rsid w:val="00DB3BF5"/>
    <w:rsid w:val="00E203CD"/>
    <w:rsid w:val="00E318E3"/>
    <w:rsid w:val="00E35DE7"/>
    <w:rsid w:val="00E41FED"/>
    <w:rsid w:val="00E47C3B"/>
    <w:rsid w:val="00E52505"/>
    <w:rsid w:val="00E63AC3"/>
    <w:rsid w:val="00E70840"/>
    <w:rsid w:val="00E830F0"/>
    <w:rsid w:val="00E84BA9"/>
    <w:rsid w:val="00E97570"/>
    <w:rsid w:val="00EA1757"/>
    <w:rsid w:val="00EE0D34"/>
    <w:rsid w:val="00EE297E"/>
    <w:rsid w:val="00EE2C22"/>
    <w:rsid w:val="00EE5B09"/>
    <w:rsid w:val="00EE6B92"/>
    <w:rsid w:val="00F30BA1"/>
    <w:rsid w:val="00F30BDA"/>
    <w:rsid w:val="00F34959"/>
    <w:rsid w:val="00F36224"/>
    <w:rsid w:val="00F453FE"/>
    <w:rsid w:val="00F51AA7"/>
    <w:rsid w:val="00F5697C"/>
    <w:rsid w:val="00F56C76"/>
    <w:rsid w:val="00F65F46"/>
    <w:rsid w:val="00F6733A"/>
    <w:rsid w:val="00F74FA6"/>
    <w:rsid w:val="00F81727"/>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F65F46"/>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Char1 Char,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AE672E"/>
    <w:rPr>
      <w:color w:val="605E5C"/>
      <w:shd w:val="clear" w:color="auto" w:fill="E1DFDD"/>
    </w:rPr>
  </w:style>
  <w:style w:type="character" w:customStyle="1" w:styleId="FootnoteTextChar">
    <w:name w:val="Footnote Text Char"/>
    <w:aliases w:val="APVMA_Footnote Char,DAR001 Char,Tabellenanmerkung Char,Char1 Char Char, Char1 Char Char"/>
    <w:basedOn w:val="DefaultParagraphFont"/>
    <w:link w:val="FootnoteText"/>
    <w:rsid w:val="00AE672E"/>
    <w:rPr>
      <w:rFonts w:ascii="Arial" w:hAnsi="Arial" w:cs="Arial"/>
      <w:spacing w:val="6"/>
      <w:kern w:val="20"/>
      <w:sz w:val="16"/>
      <w:u w:color="000000"/>
      <w:lang w:eastAsia="en-US"/>
    </w:rPr>
  </w:style>
  <w:style w:type="paragraph" w:customStyle="1" w:styleId="Style1">
    <w:name w:val="Style1"/>
    <w:basedOn w:val="Heading1"/>
    <w:uiPriority w:val="4"/>
    <w:rsid w:val="005F530F"/>
    <w:pPr>
      <w:pageBreakBefore w:val="0"/>
    </w:pPr>
  </w:style>
  <w:style w:type="paragraph" w:customStyle="1" w:styleId="Style3">
    <w:name w:val="Style3"/>
    <w:basedOn w:val="Heading1"/>
    <w:uiPriority w:val="4"/>
    <w:rsid w:val="005F530F"/>
    <w:pPr>
      <w:pageBreakBefore w:val="0"/>
      <w:ind w:left="680" w:hanging="680"/>
    </w:pPr>
  </w:style>
  <w:style w:type="paragraph" w:customStyle="1" w:styleId="Style4">
    <w:name w:val="Style4"/>
    <w:basedOn w:val="Heading1"/>
    <w:uiPriority w:val="4"/>
    <w:rsid w:val="005F530F"/>
    <w:pPr>
      <w:pageBreakBefore w:val="0"/>
      <w:ind w:left="680" w:hanging="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eader" Target="header6.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footer" Target="footer1.xml" Id="rId27" /><Relationship Type="http://schemas.openxmlformats.org/officeDocument/2006/relationships/header" Target="header8.xml" Id="rId30" /><Relationship Type="http://schemas.openxmlformats.org/officeDocument/2006/relationships/customXml" Target="/customXML/item4.xml" Id="Ra4573b55c1474838"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food/plant/pesticides/eu-pesticides-database/start/screen/mrls" TargetMode="External"/><Relationship Id="rId13" Type="http://schemas.openxmlformats.org/officeDocument/2006/relationships/hyperlink" Target="https://www.cfs.gov.hk/english/mrl/index.php" TargetMode="External"/><Relationship Id="rId18" Type="http://schemas.openxmlformats.org/officeDocument/2006/relationships/hyperlink" Target="https://www.fao.org/fao-who-codexalimentarius/codex-texts/dbs/pestres/pesticides/en/" TargetMode="External"/><Relationship Id="rId3" Type="http://schemas.openxmlformats.org/officeDocument/2006/relationships/hyperlink" Target="Agricultural%20and%20Veterinary%20Chemicals%20Code%20(MRL%20Standard)%20Instrument%202019" TargetMode="External"/><Relationship Id="rId21" Type="http://schemas.openxmlformats.org/officeDocument/2006/relationships/hyperlink" Target="https://www.sfa.gov.sg/" TargetMode="External"/><Relationship Id="rId7" Type="http://schemas.openxmlformats.org/officeDocument/2006/relationships/hyperlink" Target="https://www.sfa.gov.sg/" TargetMode="External"/><Relationship Id="rId12"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17" Type="http://schemas.openxmlformats.org/officeDocument/2006/relationships/hyperlink" Target="Agricultural%20and%20Veterinary%20Chemicals%20Code%20(MRL%20Standard)%20Instrument%202019" TargetMode="External"/><Relationship Id="rId2" Type="http://schemas.openxmlformats.org/officeDocument/2006/relationships/hyperlink" Target="https://www.horticulture.com.au/globalassets/hort-innovation/australian-horticulture-statistics-handbook/ahsh-2021-22-fruit-r.pdf" TargetMode="External"/><Relationship Id="rId16" Type="http://schemas.openxmlformats.org/officeDocument/2006/relationships/hyperlink" Target="https://www.ecfr.gov/current/title-40/chapter-I/subchapter-E/part-180" TargetMode="External"/><Relationship Id="rId20" Type="http://schemas.openxmlformats.org/officeDocument/2006/relationships/hyperlink" Target="https://www.cfs.gov.hk/english/mrl/index.php" TargetMode="External"/><Relationship Id="rId1" Type="http://schemas.openxmlformats.org/officeDocument/2006/relationships/hyperlink" Target="https://apvma.gov.au/node/1017" TargetMode="External"/><Relationship Id="rId6" Type="http://schemas.openxmlformats.org/officeDocument/2006/relationships/hyperlink" Target="https://www.cfs.gov.hk/english/mrl/index.php" TargetMode="External"/><Relationship Id="rId11" Type="http://schemas.openxmlformats.org/officeDocument/2006/relationships/hyperlink" Target="https://www.fao.org/fao-who-codexalimentarius/codex-texts/dbs/pestres/pesticides/en/" TargetMode="External"/><Relationship Id="rId24" Type="http://schemas.openxmlformats.org/officeDocument/2006/relationships/hyperlink" Target="https://www.sfa.gov.sg/docs/default-source/default-document-library/circular---maximum-residue-limits-for-pesticides-and-veterinary-drugs-in-food.pdf" TargetMode="External"/><Relationship Id="rId5" Type="http://schemas.openxmlformats.org/officeDocument/2006/relationships/hyperlink" Target="https://gain.fas.usda.gov/" TargetMode="External"/><Relationship Id="rId15" Type="http://schemas.openxmlformats.org/officeDocument/2006/relationships/hyperlink" Target="https://ec.europa.eu/food/plant/pesticides/eu-pesticides-database/start/screen/mrls" TargetMode="External"/><Relationship Id="rId23" Type="http://schemas.openxmlformats.org/officeDocument/2006/relationships/hyperlink" Target="https://www.ecfr.gov/current/title-40/chapter-I/subchapter-E/part-180" TargetMode="External"/><Relationship Id="rId10" Type="http://schemas.openxmlformats.org/officeDocument/2006/relationships/hyperlink" Target="Agricultural%20and%20Veterinary%20Chemicals%20Code%20(MRL%20Standard)%20Instrument%202019" TargetMode="External"/><Relationship Id="rId19"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4" Type="http://schemas.openxmlformats.org/officeDocument/2006/relationships/hyperlink" Target="https://www.fao.org/fao-who-codexalimentarius/codex-texts/dbs/pestres/pesticides/en/" TargetMode="External"/><Relationship Id="rId9" Type="http://schemas.openxmlformats.org/officeDocument/2006/relationships/hyperlink" Target="https://www.ecfr.gov/current/title-40/chapter-I/subchapter-E/part-180" TargetMode="External"/><Relationship Id="rId14" Type="http://schemas.openxmlformats.org/officeDocument/2006/relationships/hyperlink" Target="https://www.sfa.gov.sg/docs/default-source/default-document-library/pesticide-mrls-(consolidated).pdf" TargetMode="External"/><Relationship Id="rId22" Type="http://schemas.openxmlformats.org/officeDocument/2006/relationships/hyperlink" Target="https://ec.europa.eu/food/plant/pesticides/eu-pesticides-database/start/screen/mr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A3053901</value>
    </field>
    <field name="Objective-Title">
      <value order="0">Trade Advice Notice_92785_136654</value>
    </field>
    <field name="Objective-Description">
      <value order="0"/>
    </field>
    <field name="Objective-CreationStamp">
      <value order="0">2023-06-07T06:47:50Z</value>
    </field>
    <field name="Objective-IsApproved">
      <value order="0">false</value>
    </field>
    <field name="Objective-IsPublished">
      <value order="0">false</value>
    </field>
    <field name="Objective-DatePublished">
      <value order="0"/>
    </field>
    <field name="Objective-ModificationStamp">
      <value order="0">2023-06-23T00:28:07Z</value>
    </field>
    <field name="Objective-Owner">
      <value order="0">Daniel Poflotski</value>
    </field>
    <field name="Objective-Path">
      <value order="0">APVMA:SCIENTIFIC ASSESSMENT:Scientific Assessment - Residues and Trade:Scientific Assessment - Residues and Trade - Evaluations:Scientific Assessment - Residues and Trade - Evaluations - A-D:SA - R&amp;T - Evaluations - Azoxystrobin:4.Residues - Azoxystrobin - Difenoconazole - Fluopyram - Isopyrazam - Tebuconazole - 92785 - 136654</value>
    </field>
    <field name="Objective-Parent">
      <value order="0">4.Residues - Azoxystrobin - Difenoconazole - Fluopyram - Isopyrazam - Tebuconazole - 92785 - 136654</value>
    </field>
    <field name="Objective-State">
      <value order="0">Being Drafted</value>
    </field>
    <field name="Objective-VersionId">
      <value order="0">vA4529332</value>
    </field>
    <field name="Objective-Version">
      <value order="0">0.12</value>
    </field>
    <field name="Objective-VersionNumber">
      <value order="0">12</value>
    </field>
    <field name="Objective-VersionComment">
      <value order="0"/>
    </field>
    <field name="Objective-FileNumber">
      <value order="0">2023\0553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660</TotalTime>
  <Pages>20</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Trade Advice Notice on azoxystrobin, difenoconazole, fluopyram, isopyrazam and tebuconazole for use on plums</vt:lpstr>
    </vt:vector>
  </TitlesOfParts>
  <Manager/>
  <Company>Australian Pesticides and Veterinary Medicines Authority</Company>
  <LinksUpToDate>false</LinksUpToDate>
  <CharactersWithSpaces>25455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azoxystrobin, difenoconazole, fluopyram, isopyrazam and tebuconazole for use on plums</dc:title>
  <dc:subject/>
  <dc:creator>APVMA</dc:creator>
  <cp:keywords/>
  <dc:description/>
  <cp:lastModifiedBy>ELLIOTT, Amy</cp:lastModifiedBy>
  <cp:revision>38</cp:revision>
  <cp:lastPrinted>2019-04-25T12:55:00Z</cp:lastPrinted>
  <dcterms:created xsi:type="dcterms:W3CDTF">2023-06-07T06:48:00Z</dcterms:created>
  <dcterms:modified xsi:type="dcterms:W3CDTF">2023-06-22T06:45:00Z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A3053901</vt:lpwstr>
  </property>
  <property fmtid="{D5CDD505-2E9C-101B-9397-08002B2CF9AE}" pid="4" name="Objective-Title">
    <vt:lpwstr>Trade Advice Notice_92785_136654</vt:lpwstr>
  </property>
  <property fmtid="{D5CDD505-2E9C-101B-9397-08002B2CF9AE}" pid="5" name="Objective-Comment">
    <vt:lpwstr/>
  </property>
  <property fmtid="{D5CDD505-2E9C-101B-9397-08002B2CF9AE}" pid="6" name="Objective-CreationStamp">
    <vt:filetime>2023-06-07T22:21:44Z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2023-06-23T00:28:07Z</vt:filetime>
  </property>
  <property fmtid="{D5CDD505-2E9C-101B-9397-08002B2CF9AE}" pid="11" name="Objective-Owner">
    <vt:lpwstr>Daniel Poflotski</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Azoxystrobin:4.Residues - Azoxystrobin - Difenoconazole - Fluopyram - Isopyrazam - Tebuconazole - 92785 - 136654:</vt:lpwstr>
  </property>
  <property fmtid="{D5CDD505-2E9C-101B-9397-08002B2CF9AE}" pid="13" name="Objective-Parent">
    <vt:lpwstr>4.Residues - Azoxystrobin - Difenoconazole - Fluopyram - Isopyrazam - Tebuconazole - 92785 - 136654</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vA4529332</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