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7D670F6D" wp14:editId="75C7BD1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1FC5E257" w:rsidR="003C0891" w:rsidRDefault="006D36C8" w:rsidP="00193533">
      <w:pPr>
        <w:pStyle w:val="APVMACoverSubtitle"/>
        <w:jc w:val="center"/>
      </w:pPr>
      <w:r>
        <w:t xml:space="preserve">on </w:t>
      </w:r>
      <w:r w:rsidR="00884D0E">
        <w:t>cyantraniliprole</w:t>
      </w:r>
      <w:r>
        <w:t xml:space="preserve"> in the product </w:t>
      </w:r>
      <w:r w:rsidR="00997280">
        <w:t>Exirel Insecticide</w:t>
      </w:r>
      <w:r>
        <w:t xml:space="preserve"> for use on </w:t>
      </w:r>
      <w:r w:rsidR="00884D0E">
        <w:t>canola</w:t>
      </w:r>
    </w:p>
    <w:p w14:paraId="7FB897BF" w14:textId="7C17CB55" w:rsidR="006D36C8" w:rsidRDefault="006D36C8" w:rsidP="00193533">
      <w:pPr>
        <w:pStyle w:val="APVMACoverSubtitle"/>
        <w:jc w:val="center"/>
      </w:pPr>
      <w:r>
        <w:t xml:space="preserve">APVMA product number </w:t>
      </w:r>
      <w:r w:rsidR="00997280">
        <w:t>64103</w:t>
      </w:r>
    </w:p>
    <w:p w14:paraId="5C6E8565" w14:textId="00F7B2B8" w:rsidR="00193533" w:rsidRPr="00E41FED" w:rsidRDefault="00435A00"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February</w:t>
      </w:r>
      <w:r w:rsidR="00997280">
        <w:t xml:space="preserve"> 2023</w:t>
      </w:r>
    </w:p>
    <w:p w14:paraId="170061D7" w14:textId="69D8D58F" w:rsidR="00862E63" w:rsidRPr="005C0ACC" w:rsidRDefault="00862E63" w:rsidP="00021A6A">
      <w:pPr>
        <w:pStyle w:val="Copyrightpage"/>
      </w:pPr>
      <w:r w:rsidRPr="005C0ACC">
        <w:lastRenderedPageBreak/>
        <w:t xml:space="preserve">© Australian Pesticides and Veterinary Medicines Authority </w:t>
      </w:r>
      <w:r w:rsidR="001F354E" w:rsidRPr="00884D0E">
        <w:t>2023</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64CA9570"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 xml:space="preserve">views of the </w:t>
      </w:r>
      <w:proofErr w:type="gramStart"/>
      <w:r w:rsidRPr="005C0ACC">
        <w:t>APVMA, or</w:t>
      </w:r>
      <w:proofErr w:type="gramEnd"/>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74A12484" w14:textId="33D2D648" w:rsidR="00F565B4" w:rsidRDefault="005064D5">
      <w:pPr>
        <w:pStyle w:val="TOC1"/>
        <w:rPr>
          <w:rFonts w:asciiTheme="minorHAnsi" w:eastAsiaTheme="minorEastAsia" w:hAnsiTheme="minorHAnsi" w:cstheme="minorBidi"/>
          <w:bCs w:val="0"/>
          <w:color w:val="auto"/>
          <w:kern w:val="0"/>
          <w:sz w:val="22"/>
          <w:szCs w:val="22"/>
          <w:lang w:eastAsia="en-AU"/>
        </w:rPr>
      </w:pPr>
      <w:r>
        <w:rPr>
          <w:bCs w:val="0"/>
          <w:sz w:val="19"/>
        </w:rPr>
        <w:fldChar w:fldCharType="begin"/>
      </w:r>
      <w:r>
        <w:rPr>
          <w:bCs w:val="0"/>
        </w:rPr>
        <w:instrText xml:space="preserve"> TOC \o "1-3" \h \z \u </w:instrText>
      </w:r>
      <w:r>
        <w:rPr>
          <w:bCs w:val="0"/>
          <w:sz w:val="19"/>
        </w:rPr>
        <w:fldChar w:fldCharType="separate"/>
      </w:r>
      <w:hyperlink w:anchor="_Toc127964729" w:history="1">
        <w:r w:rsidR="00F565B4" w:rsidRPr="00C50A6F">
          <w:rPr>
            <w:rStyle w:val="Hyperlink"/>
          </w:rPr>
          <w:t>Preface</w:t>
        </w:r>
        <w:r w:rsidR="00F565B4">
          <w:rPr>
            <w:webHidden/>
          </w:rPr>
          <w:tab/>
        </w:r>
        <w:r w:rsidR="00F565B4">
          <w:rPr>
            <w:webHidden/>
          </w:rPr>
          <w:fldChar w:fldCharType="begin"/>
        </w:r>
        <w:r w:rsidR="00F565B4">
          <w:rPr>
            <w:webHidden/>
          </w:rPr>
          <w:instrText xml:space="preserve"> PAGEREF _Toc127964729 \h </w:instrText>
        </w:r>
        <w:r w:rsidR="00F565B4">
          <w:rPr>
            <w:webHidden/>
          </w:rPr>
        </w:r>
        <w:r w:rsidR="00F565B4">
          <w:rPr>
            <w:webHidden/>
          </w:rPr>
          <w:fldChar w:fldCharType="separate"/>
        </w:r>
        <w:r w:rsidR="00F565B4">
          <w:rPr>
            <w:webHidden/>
          </w:rPr>
          <w:t>1</w:t>
        </w:r>
        <w:r w:rsidR="00F565B4">
          <w:rPr>
            <w:webHidden/>
          </w:rPr>
          <w:fldChar w:fldCharType="end"/>
        </w:r>
      </w:hyperlink>
    </w:p>
    <w:p w14:paraId="6502E512" w14:textId="02C16FBC" w:rsidR="00F565B4" w:rsidRDefault="00D23E36">
      <w:pPr>
        <w:pStyle w:val="TOC2"/>
        <w:rPr>
          <w:rFonts w:asciiTheme="minorHAnsi" w:eastAsiaTheme="minorEastAsia" w:hAnsiTheme="minorHAnsi" w:cstheme="minorBidi"/>
          <w:b w:val="0"/>
          <w:color w:val="auto"/>
          <w:sz w:val="22"/>
          <w:szCs w:val="22"/>
          <w:lang w:eastAsia="en-AU"/>
        </w:rPr>
      </w:pPr>
      <w:hyperlink w:anchor="_Toc127964730" w:history="1">
        <w:r w:rsidR="00F565B4" w:rsidRPr="00C50A6F">
          <w:rPr>
            <w:rStyle w:val="Hyperlink"/>
          </w:rPr>
          <w:t>About this document</w:t>
        </w:r>
        <w:r w:rsidR="00F565B4">
          <w:rPr>
            <w:webHidden/>
          </w:rPr>
          <w:tab/>
        </w:r>
        <w:r w:rsidR="00F565B4">
          <w:rPr>
            <w:webHidden/>
          </w:rPr>
          <w:fldChar w:fldCharType="begin"/>
        </w:r>
        <w:r w:rsidR="00F565B4">
          <w:rPr>
            <w:webHidden/>
          </w:rPr>
          <w:instrText xml:space="preserve"> PAGEREF _Toc127964730 \h </w:instrText>
        </w:r>
        <w:r w:rsidR="00F565B4">
          <w:rPr>
            <w:webHidden/>
          </w:rPr>
        </w:r>
        <w:r w:rsidR="00F565B4">
          <w:rPr>
            <w:webHidden/>
          </w:rPr>
          <w:fldChar w:fldCharType="separate"/>
        </w:r>
        <w:r w:rsidR="00F565B4">
          <w:rPr>
            <w:webHidden/>
          </w:rPr>
          <w:t>1</w:t>
        </w:r>
        <w:r w:rsidR="00F565B4">
          <w:rPr>
            <w:webHidden/>
          </w:rPr>
          <w:fldChar w:fldCharType="end"/>
        </w:r>
      </w:hyperlink>
    </w:p>
    <w:p w14:paraId="3B1ACCF7" w14:textId="32F38576" w:rsidR="00F565B4" w:rsidRDefault="00D23E36">
      <w:pPr>
        <w:pStyle w:val="TOC2"/>
        <w:rPr>
          <w:rFonts w:asciiTheme="minorHAnsi" w:eastAsiaTheme="minorEastAsia" w:hAnsiTheme="minorHAnsi" w:cstheme="minorBidi"/>
          <w:b w:val="0"/>
          <w:color w:val="auto"/>
          <w:sz w:val="22"/>
          <w:szCs w:val="22"/>
          <w:lang w:eastAsia="en-AU"/>
        </w:rPr>
      </w:pPr>
      <w:hyperlink w:anchor="_Toc127964731" w:history="1">
        <w:r w:rsidR="00F565B4" w:rsidRPr="00C50A6F">
          <w:rPr>
            <w:rStyle w:val="Hyperlink"/>
          </w:rPr>
          <w:t>Making a submission</w:t>
        </w:r>
        <w:r w:rsidR="00F565B4">
          <w:rPr>
            <w:webHidden/>
          </w:rPr>
          <w:tab/>
        </w:r>
        <w:r w:rsidR="00F565B4">
          <w:rPr>
            <w:webHidden/>
          </w:rPr>
          <w:fldChar w:fldCharType="begin"/>
        </w:r>
        <w:r w:rsidR="00F565B4">
          <w:rPr>
            <w:webHidden/>
          </w:rPr>
          <w:instrText xml:space="preserve"> PAGEREF _Toc127964731 \h </w:instrText>
        </w:r>
        <w:r w:rsidR="00F565B4">
          <w:rPr>
            <w:webHidden/>
          </w:rPr>
        </w:r>
        <w:r w:rsidR="00F565B4">
          <w:rPr>
            <w:webHidden/>
          </w:rPr>
          <w:fldChar w:fldCharType="separate"/>
        </w:r>
        <w:r w:rsidR="00F565B4">
          <w:rPr>
            <w:webHidden/>
          </w:rPr>
          <w:t>1</w:t>
        </w:r>
        <w:r w:rsidR="00F565B4">
          <w:rPr>
            <w:webHidden/>
          </w:rPr>
          <w:fldChar w:fldCharType="end"/>
        </w:r>
      </w:hyperlink>
    </w:p>
    <w:p w14:paraId="0E35E904" w14:textId="1D55E9CD" w:rsidR="00F565B4" w:rsidRDefault="00D23E36">
      <w:pPr>
        <w:pStyle w:val="TOC2"/>
        <w:rPr>
          <w:rFonts w:asciiTheme="minorHAnsi" w:eastAsiaTheme="minorEastAsia" w:hAnsiTheme="minorHAnsi" w:cstheme="minorBidi"/>
          <w:b w:val="0"/>
          <w:color w:val="auto"/>
          <w:sz w:val="22"/>
          <w:szCs w:val="22"/>
          <w:lang w:eastAsia="en-AU"/>
        </w:rPr>
      </w:pPr>
      <w:hyperlink w:anchor="_Toc127964732" w:history="1">
        <w:r w:rsidR="00F565B4" w:rsidRPr="00C50A6F">
          <w:rPr>
            <w:rStyle w:val="Hyperlink"/>
          </w:rPr>
          <w:t>Further information</w:t>
        </w:r>
        <w:r w:rsidR="00F565B4">
          <w:rPr>
            <w:webHidden/>
          </w:rPr>
          <w:tab/>
        </w:r>
        <w:r w:rsidR="00F565B4">
          <w:rPr>
            <w:webHidden/>
          </w:rPr>
          <w:fldChar w:fldCharType="begin"/>
        </w:r>
        <w:r w:rsidR="00F565B4">
          <w:rPr>
            <w:webHidden/>
          </w:rPr>
          <w:instrText xml:space="preserve"> PAGEREF _Toc127964732 \h </w:instrText>
        </w:r>
        <w:r w:rsidR="00F565B4">
          <w:rPr>
            <w:webHidden/>
          </w:rPr>
        </w:r>
        <w:r w:rsidR="00F565B4">
          <w:rPr>
            <w:webHidden/>
          </w:rPr>
          <w:fldChar w:fldCharType="separate"/>
        </w:r>
        <w:r w:rsidR="00F565B4">
          <w:rPr>
            <w:webHidden/>
          </w:rPr>
          <w:t>2</w:t>
        </w:r>
        <w:r w:rsidR="00F565B4">
          <w:rPr>
            <w:webHidden/>
          </w:rPr>
          <w:fldChar w:fldCharType="end"/>
        </w:r>
      </w:hyperlink>
    </w:p>
    <w:p w14:paraId="4538E44B" w14:textId="45C265FC" w:rsidR="00F565B4" w:rsidRDefault="00D23E36">
      <w:pPr>
        <w:pStyle w:val="TOC1"/>
        <w:rPr>
          <w:rFonts w:asciiTheme="minorHAnsi" w:eastAsiaTheme="minorEastAsia" w:hAnsiTheme="minorHAnsi" w:cstheme="minorBidi"/>
          <w:bCs w:val="0"/>
          <w:color w:val="auto"/>
          <w:kern w:val="0"/>
          <w:sz w:val="22"/>
          <w:szCs w:val="22"/>
          <w:lang w:eastAsia="en-AU"/>
        </w:rPr>
      </w:pPr>
      <w:hyperlink w:anchor="_Toc127964733" w:history="1">
        <w:r w:rsidR="00F565B4" w:rsidRPr="00C50A6F">
          <w:rPr>
            <w:rStyle w:val="Hyperlink"/>
          </w:rPr>
          <w:t>Introduction</w:t>
        </w:r>
        <w:r w:rsidR="00F565B4">
          <w:rPr>
            <w:webHidden/>
          </w:rPr>
          <w:tab/>
        </w:r>
        <w:r w:rsidR="00F565B4">
          <w:rPr>
            <w:webHidden/>
          </w:rPr>
          <w:fldChar w:fldCharType="begin"/>
        </w:r>
        <w:r w:rsidR="00F565B4">
          <w:rPr>
            <w:webHidden/>
          </w:rPr>
          <w:instrText xml:space="preserve"> PAGEREF _Toc127964733 \h </w:instrText>
        </w:r>
        <w:r w:rsidR="00F565B4">
          <w:rPr>
            <w:webHidden/>
          </w:rPr>
        </w:r>
        <w:r w:rsidR="00F565B4">
          <w:rPr>
            <w:webHidden/>
          </w:rPr>
          <w:fldChar w:fldCharType="separate"/>
        </w:r>
        <w:r w:rsidR="00F565B4">
          <w:rPr>
            <w:webHidden/>
          </w:rPr>
          <w:t>3</w:t>
        </w:r>
        <w:r w:rsidR="00F565B4">
          <w:rPr>
            <w:webHidden/>
          </w:rPr>
          <w:fldChar w:fldCharType="end"/>
        </w:r>
      </w:hyperlink>
    </w:p>
    <w:p w14:paraId="329AE0AC" w14:textId="634F2E6F" w:rsidR="00F565B4" w:rsidRDefault="00D23E36">
      <w:pPr>
        <w:pStyle w:val="TOC1"/>
        <w:rPr>
          <w:rFonts w:asciiTheme="minorHAnsi" w:eastAsiaTheme="minorEastAsia" w:hAnsiTheme="minorHAnsi" w:cstheme="minorBidi"/>
          <w:bCs w:val="0"/>
          <w:color w:val="auto"/>
          <w:kern w:val="0"/>
          <w:sz w:val="22"/>
          <w:szCs w:val="22"/>
          <w:lang w:eastAsia="en-AU"/>
        </w:rPr>
      </w:pPr>
      <w:hyperlink w:anchor="_Toc127964734" w:history="1">
        <w:r w:rsidR="00F565B4" w:rsidRPr="00C50A6F">
          <w:rPr>
            <w:rStyle w:val="Hyperlink"/>
          </w:rPr>
          <w:t>Trade considerations</w:t>
        </w:r>
        <w:r w:rsidR="00F565B4">
          <w:rPr>
            <w:webHidden/>
          </w:rPr>
          <w:tab/>
        </w:r>
        <w:r w:rsidR="00F565B4">
          <w:rPr>
            <w:webHidden/>
          </w:rPr>
          <w:fldChar w:fldCharType="begin"/>
        </w:r>
        <w:r w:rsidR="00F565B4">
          <w:rPr>
            <w:webHidden/>
          </w:rPr>
          <w:instrText xml:space="preserve"> PAGEREF _Toc127964734 \h </w:instrText>
        </w:r>
        <w:r w:rsidR="00F565B4">
          <w:rPr>
            <w:webHidden/>
          </w:rPr>
        </w:r>
        <w:r w:rsidR="00F565B4">
          <w:rPr>
            <w:webHidden/>
          </w:rPr>
          <w:fldChar w:fldCharType="separate"/>
        </w:r>
        <w:r w:rsidR="00F565B4">
          <w:rPr>
            <w:webHidden/>
          </w:rPr>
          <w:t>4</w:t>
        </w:r>
        <w:r w:rsidR="00F565B4">
          <w:rPr>
            <w:webHidden/>
          </w:rPr>
          <w:fldChar w:fldCharType="end"/>
        </w:r>
      </w:hyperlink>
    </w:p>
    <w:p w14:paraId="7AA9EEA3" w14:textId="41B7CEF2" w:rsidR="00F565B4" w:rsidRDefault="00D23E36">
      <w:pPr>
        <w:pStyle w:val="TOC2"/>
        <w:rPr>
          <w:rFonts w:asciiTheme="minorHAnsi" w:eastAsiaTheme="minorEastAsia" w:hAnsiTheme="minorHAnsi" w:cstheme="minorBidi"/>
          <w:b w:val="0"/>
          <w:color w:val="auto"/>
          <w:sz w:val="22"/>
          <w:szCs w:val="22"/>
          <w:lang w:eastAsia="en-AU"/>
        </w:rPr>
      </w:pPr>
      <w:hyperlink w:anchor="_Toc127964735" w:history="1">
        <w:r w:rsidR="00F565B4" w:rsidRPr="00C50A6F">
          <w:rPr>
            <w:rStyle w:val="Hyperlink"/>
          </w:rPr>
          <w:t>Commodities exported</w:t>
        </w:r>
        <w:r w:rsidR="00F565B4">
          <w:rPr>
            <w:webHidden/>
          </w:rPr>
          <w:tab/>
        </w:r>
        <w:r w:rsidR="00F565B4">
          <w:rPr>
            <w:webHidden/>
          </w:rPr>
          <w:fldChar w:fldCharType="begin"/>
        </w:r>
        <w:r w:rsidR="00F565B4">
          <w:rPr>
            <w:webHidden/>
          </w:rPr>
          <w:instrText xml:space="preserve"> PAGEREF _Toc127964735 \h </w:instrText>
        </w:r>
        <w:r w:rsidR="00F565B4">
          <w:rPr>
            <w:webHidden/>
          </w:rPr>
        </w:r>
        <w:r w:rsidR="00F565B4">
          <w:rPr>
            <w:webHidden/>
          </w:rPr>
          <w:fldChar w:fldCharType="separate"/>
        </w:r>
        <w:r w:rsidR="00F565B4">
          <w:rPr>
            <w:webHidden/>
          </w:rPr>
          <w:t>4</w:t>
        </w:r>
        <w:r w:rsidR="00F565B4">
          <w:rPr>
            <w:webHidden/>
          </w:rPr>
          <w:fldChar w:fldCharType="end"/>
        </w:r>
      </w:hyperlink>
    </w:p>
    <w:p w14:paraId="6434E058" w14:textId="477FA0D3" w:rsidR="00F565B4" w:rsidRDefault="00D23E36">
      <w:pPr>
        <w:pStyle w:val="TOC2"/>
        <w:rPr>
          <w:rFonts w:asciiTheme="minorHAnsi" w:eastAsiaTheme="minorEastAsia" w:hAnsiTheme="minorHAnsi" w:cstheme="minorBidi"/>
          <w:b w:val="0"/>
          <w:color w:val="auto"/>
          <w:sz w:val="22"/>
          <w:szCs w:val="22"/>
          <w:lang w:eastAsia="en-AU"/>
        </w:rPr>
      </w:pPr>
      <w:hyperlink w:anchor="_Toc127964736" w:history="1">
        <w:r w:rsidR="00F565B4" w:rsidRPr="00C50A6F">
          <w:rPr>
            <w:rStyle w:val="Hyperlink"/>
          </w:rPr>
          <w:t>Destination and value of exports</w:t>
        </w:r>
        <w:r w:rsidR="00F565B4">
          <w:rPr>
            <w:webHidden/>
          </w:rPr>
          <w:tab/>
        </w:r>
        <w:r w:rsidR="00F565B4">
          <w:rPr>
            <w:webHidden/>
          </w:rPr>
          <w:fldChar w:fldCharType="begin"/>
        </w:r>
        <w:r w:rsidR="00F565B4">
          <w:rPr>
            <w:webHidden/>
          </w:rPr>
          <w:instrText xml:space="preserve"> PAGEREF _Toc127964736 \h </w:instrText>
        </w:r>
        <w:r w:rsidR="00F565B4">
          <w:rPr>
            <w:webHidden/>
          </w:rPr>
        </w:r>
        <w:r w:rsidR="00F565B4">
          <w:rPr>
            <w:webHidden/>
          </w:rPr>
          <w:fldChar w:fldCharType="separate"/>
        </w:r>
        <w:r w:rsidR="00F565B4">
          <w:rPr>
            <w:webHidden/>
          </w:rPr>
          <w:t>4</w:t>
        </w:r>
        <w:r w:rsidR="00F565B4">
          <w:rPr>
            <w:webHidden/>
          </w:rPr>
          <w:fldChar w:fldCharType="end"/>
        </w:r>
      </w:hyperlink>
    </w:p>
    <w:p w14:paraId="5B8F76FE" w14:textId="244BC6DD" w:rsidR="00F565B4" w:rsidRDefault="00D23E36">
      <w:pPr>
        <w:pStyle w:val="TOC2"/>
        <w:rPr>
          <w:rFonts w:asciiTheme="minorHAnsi" w:eastAsiaTheme="minorEastAsia" w:hAnsiTheme="minorHAnsi" w:cstheme="minorBidi"/>
          <w:b w:val="0"/>
          <w:color w:val="auto"/>
          <w:sz w:val="22"/>
          <w:szCs w:val="22"/>
          <w:lang w:eastAsia="en-AU"/>
        </w:rPr>
      </w:pPr>
      <w:hyperlink w:anchor="_Toc127964737" w:history="1">
        <w:r w:rsidR="00F565B4" w:rsidRPr="00C50A6F">
          <w:rPr>
            <w:rStyle w:val="Hyperlink"/>
          </w:rPr>
          <w:t>Proposed Australian use pattern</w:t>
        </w:r>
        <w:r w:rsidR="00F565B4">
          <w:rPr>
            <w:webHidden/>
          </w:rPr>
          <w:tab/>
        </w:r>
        <w:r w:rsidR="00F565B4">
          <w:rPr>
            <w:webHidden/>
          </w:rPr>
          <w:fldChar w:fldCharType="begin"/>
        </w:r>
        <w:r w:rsidR="00F565B4">
          <w:rPr>
            <w:webHidden/>
          </w:rPr>
          <w:instrText xml:space="preserve"> PAGEREF _Toc127964737 \h </w:instrText>
        </w:r>
        <w:r w:rsidR="00F565B4">
          <w:rPr>
            <w:webHidden/>
          </w:rPr>
        </w:r>
        <w:r w:rsidR="00F565B4">
          <w:rPr>
            <w:webHidden/>
          </w:rPr>
          <w:fldChar w:fldCharType="separate"/>
        </w:r>
        <w:r w:rsidR="00F565B4">
          <w:rPr>
            <w:webHidden/>
          </w:rPr>
          <w:t>4</w:t>
        </w:r>
        <w:r w:rsidR="00F565B4">
          <w:rPr>
            <w:webHidden/>
          </w:rPr>
          <w:fldChar w:fldCharType="end"/>
        </w:r>
      </w:hyperlink>
    </w:p>
    <w:p w14:paraId="29D4E51D" w14:textId="40CDE440" w:rsidR="00F565B4" w:rsidRDefault="00D23E36">
      <w:pPr>
        <w:pStyle w:val="TOC3"/>
        <w:rPr>
          <w:rFonts w:asciiTheme="minorHAnsi" w:eastAsiaTheme="minorEastAsia" w:hAnsiTheme="minorHAnsi" w:cstheme="minorBidi"/>
          <w:sz w:val="22"/>
          <w:szCs w:val="22"/>
          <w:lang w:eastAsia="en-AU"/>
        </w:rPr>
      </w:pPr>
      <w:hyperlink w:anchor="_Toc127964738" w:history="1">
        <w:r w:rsidR="00F565B4" w:rsidRPr="00C50A6F">
          <w:rPr>
            <w:rStyle w:val="Hyperlink"/>
          </w:rPr>
          <w:t>Withholding periods</w:t>
        </w:r>
        <w:r w:rsidR="00F565B4">
          <w:rPr>
            <w:webHidden/>
          </w:rPr>
          <w:tab/>
        </w:r>
        <w:r w:rsidR="00F565B4">
          <w:rPr>
            <w:webHidden/>
          </w:rPr>
          <w:fldChar w:fldCharType="begin"/>
        </w:r>
        <w:r w:rsidR="00F565B4">
          <w:rPr>
            <w:webHidden/>
          </w:rPr>
          <w:instrText xml:space="preserve"> PAGEREF _Toc127964738 \h </w:instrText>
        </w:r>
        <w:r w:rsidR="00F565B4">
          <w:rPr>
            <w:webHidden/>
          </w:rPr>
        </w:r>
        <w:r w:rsidR="00F565B4">
          <w:rPr>
            <w:webHidden/>
          </w:rPr>
          <w:fldChar w:fldCharType="separate"/>
        </w:r>
        <w:r w:rsidR="00F565B4">
          <w:rPr>
            <w:webHidden/>
          </w:rPr>
          <w:t>5</w:t>
        </w:r>
        <w:r w:rsidR="00F565B4">
          <w:rPr>
            <w:webHidden/>
          </w:rPr>
          <w:fldChar w:fldCharType="end"/>
        </w:r>
      </w:hyperlink>
    </w:p>
    <w:p w14:paraId="67664028" w14:textId="44BCC6FD" w:rsidR="00F565B4" w:rsidRDefault="00D23E36">
      <w:pPr>
        <w:pStyle w:val="TOC3"/>
        <w:rPr>
          <w:rFonts w:asciiTheme="minorHAnsi" w:eastAsiaTheme="minorEastAsia" w:hAnsiTheme="minorHAnsi" w:cstheme="minorBidi"/>
          <w:sz w:val="22"/>
          <w:szCs w:val="22"/>
          <w:lang w:eastAsia="en-AU"/>
        </w:rPr>
      </w:pPr>
      <w:hyperlink w:anchor="_Toc127964739" w:history="1">
        <w:r w:rsidR="00F565B4" w:rsidRPr="00C50A6F">
          <w:rPr>
            <w:rStyle w:val="Hyperlink"/>
          </w:rPr>
          <w:t>Trade advice</w:t>
        </w:r>
        <w:r w:rsidR="00F565B4">
          <w:rPr>
            <w:webHidden/>
          </w:rPr>
          <w:tab/>
        </w:r>
        <w:r w:rsidR="00F565B4">
          <w:rPr>
            <w:webHidden/>
          </w:rPr>
          <w:fldChar w:fldCharType="begin"/>
        </w:r>
        <w:r w:rsidR="00F565B4">
          <w:rPr>
            <w:webHidden/>
          </w:rPr>
          <w:instrText xml:space="preserve"> PAGEREF _Toc127964739 \h </w:instrText>
        </w:r>
        <w:r w:rsidR="00F565B4">
          <w:rPr>
            <w:webHidden/>
          </w:rPr>
        </w:r>
        <w:r w:rsidR="00F565B4">
          <w:rPr>
            <w:webHidden/>
          </w:rPr>
          <w:fldChar w:fldCharType="separate"/>
        </w:r>
        <w:r w:rsidR="00F565B4">
          <w:rPr>
            <w:webHidden/>
          </w:rPr>
          <w:t>5</w:t>
        </w:r>
        <w:r w:rsidR="00F565B4">
          <w:rPr>
            <w:webHidden/>
          </w:rPr>
          <w:fldChar w:fldCharType="end"/>
        </w:r>
      </w:hyperlink>
    </w:p>
    <w:p w14:paraId="58B82854" w14:textId="7A4B4FE1" w:rsidR="00F565B4" w:rsidRDefault="00D23E36">
      <w:pPr>
        <w:pStyle w:val="TOC2"/>
        <w:rPr>
          <w:rFonts w:asciiTheme="minorHAnsi" w:eastAsiaTheme="minorEastAsia" w:hAnsiTheme="minorHAnsi" w:cstheme="minorBidi"/>
          <w:b w:val="0"/>
          <w:color w:val="auto"/>
          <w:sz w:val="22"/>
          <w:szCs w:val="22"/>
          <w:lang w:eastAsia="en-AU"/>
        </w:rPr>
      </w:pPr>
      <w:hyperlink w:anchor="_Toc127964740" w:history="1">
        <w:r w:rsidR="00F565B4" w:rsidRPr="00C50A6F">
          <w:rPr>
            <w:rStyle w:val="Hyperlink"/>
          </w:rPr>
          <w:t>Results from residues trials presented to the APVMA</w:t>
        </w:r>
        <w:r w:rsidR="00F565B4">
          <w:rPr>
            <w:webHidden/>
          </w:rPr>
          <w:tab/>
        </w:r>
        <w:r w:rsidR="00F565B4">
          <w:rPr>
            <w:webHidden/>
          </w:rPr>
          <w:fldChar w:fldCharType="begin"/>
        </w:r>
        <w:r w:rsidR="00F565B4">
          <w:rPr>
            <w:webHidden/>
          </w:rPr>
          <w:instrText xml:space="preserve"> PAGEREF _Toc127964740 \h </w:instrText>
        </w:r>
        <w:r w:rsidR="00F565B4">
          <w:rPr>
            <w:webHidden/>
          </w:rPr>
        </w:r>
        <w:r w:rsidR="00F565B4">
          <w:rPr>
            <w:webHidden/>
          </w:rPr>
          <w:fldChar w:fldCharType="separate"/>
        </w:r>
        <w:r w:rsidR="00F565B4">
          <w:rPr>
            <w:webHidden/>
          </w:rPr>
          <w:t>6</w:t>
        </w:r>
        <w:r w:rsidR="00F565B4">
          <w:rPr>
            <w:webHidden/>
          </w:rPr>
          <w:fldChar w:fldCharType="end"/>
        </w:r>
      </w:hyperlink>
    </w:p>
    <w:p w14:paraId="2BF00AA4" w14:textId="40A8043D" w:rsidR="00F565B4" w:rsidRDefault="00D23E36">
      <w:pPr>
        <w:pStyle w:val="TOC3"/>
        <w:rPr>
          <w:rFonts w:asciiTheme="minorHAnsi" w:eastAsiaTheme="minorEastAsia" w:hAnsiTheme="minorHAnsi" w:cstheme="minorBidi"/>
          <w:sz w:val="22"/>
          <w:szCs w:val="22"/>
          <w:lang w:eastAsia="en-AU"/>
        </w:rPr>
      </w:pPr>
      <w:hyperlink w:anchor="_Toc127964741" w:history="1">
        <w:r w:rsidR="00F565B4" w:rsidRPr="00C50A6F">
          <w:rPr>
            <w:rStyle w:val="Hyperlink"/>
          </w:rPr>
          <w:t>Canola forage</w:t>
        </w:r>
        <w:r w:rsidR="00F565B4">
          <w:rPr>
            <w:webHidden/>
          </w:rPr>
          <w:tab/>
        </w:r>
        <w:r w:rsidR="00F565B4">
          <w:rPr>
            <w:webHidden/>
          </w:rPr>
          <w:fldChar w:fldCharType="begin"/>
        </w:r>
        <w:r w:rsidR="00F565B4">
          <w:rPr>
            <w:webHidden/>
          </w:rPr>
          <w:instrText xml:space="preserve"> PAGEREF _Toc127964741 \h </w:instrText>
        </w:r>
        <w:r w:rsidR="00F565B4">
          <w:rPr>
            <w:webHidden/>
          </w:rPr>
        </w:r>
        <w:r w:rsidR="00F565B4">
          <w:rPr>
            <w:webHidden/>
          </w:rPr>
          <w:fldChar w:fldCharType="separate"/>
        </w:r>
        <w:r w:rsidR="00F565B4">
          <w:rPr>
            <w:webHidden/>
          </w:rPr>
          <w:t>6</w:t>
        </w:r>
        <w:r w:rsidR="00F565B4">
          <w:rPr>
            <w:webHidden/>
          </w:rPr>
          <w:fldChar w:fldCharType="end"/>
        </w:r>
      </w:hyperlink>
    </w:p>
    <w:p w14:paraId="32D4ED2D" w14:textId="5E6C0A3E" w:rsidR="00F565B4" w:rsidRDefault="00D23E36">
      <w:pPr>
        <w:pStyle w:val="TOC3"/>
        <w:rPr>
          <w:rFonts w:asciiTheme="minorHAnsi" w:eastAsiaTheme="minorEastAsia" w:hAnsiTheme="minorHAnsi" w:cstheme="minorBidi"/>
          <w:sz w:val="22"/>
          <w:szCs w:val="22"/>
          <w:lang w:eastAsia="en-AU"/>
        </w:rPr>
      </w:pPr>
      <w:hyperlink w:anchor="_Toc127964742" w:history="1">
        <w:r w:rsidR="00F565B4" w:rsidRPr="00C50A6F">
          <w:rPr>
            <w:rStyle w:val="Hyperlink"/>
          </w:rPr>
          <w:t>Canola seed</w:t>
        </w:r>
        <w:r w:rsidR="00F565B4">
          <w:rPr>
            <w:webHidden/>
          </w:rPr>
          <w:tab/>
        </w:r>
        <w:r w:rsidR="00F565B4">
          <w:rPr>
            <w:webHidden/>
          </w:rPr>
          <w:fldChar w:fldCharType="begin"/>
        </w:r>
        <w:r w:rsidR="00F565B4">
          <w:rPr>
            <w:webHidden/>
          </w:rPr>
          <w:instrText xml:space="preserve"> PAGEREF _Toc127964742 \h </w:instrText>
        </w:r>
        <w:r w:rsidR="00F565B4">
          <w:rPr>
            <w:webHidden/>
          </w:rPr>
        </w:r>
        <w:r w:rsidR="00F565B4">
          <w:rPr>
            <w:webHidden/>
          </w:rPr>
          <w:fldChar w:fldCharType="separate"/>
        </w:r>
        <w:r w:rsidR="00F565B4">
          <w:rPr>
            <w:webHidden/>
          </w:rPr>
          <w:t>6</w:t>
        </w:r>
        <w:r w:rsidR="00F565B4">
          <w:rPr>
            <w:webHidden/>
          </w:rPr>
          <w:fldChar w:fldCharType="end"/>
        </w:r>
      </w:hyperlink>
    </w:p>
    <w:p w14:paraId="2D9BA8A5" w14:textId="27A3BAA1" w:rsidR="00F565B4" w:rsidRDefault="00D23E36">
      <w:pPr>
        <w:pStyle w:val="TOC3"/>
        <w:rPr>
          <w:rFonts w:asciiTheme="minorHAnsi" w:eastAsiaTheme="minorEastAsia" w:hAnsiTheme="minorHAnsi" w:cstheme="minorBidi"/>
          <w:sz w:val="22"/>
          <w:szCs w:val="22"/>
          <w:lang w:eastAsia="en-AU"/>
        </w:rPr>
      </w:pPr>
      <w:hyperlink w:anchor="_Toc127964743" w:history="1">
        <w:r w:rsidR="00F565B4" w:rsidRPr="00C50A6F">
          <w:rPr>
            <w:rStyle w:val="Hyperlink"/>
          </w:rPr>
          <w:t>Canola oil</w:t>
        </w:r>
        <w:r w:rsidR="00F565B4">
          <w:rPr>
            <w:webHidden/>
          </w:rPr>
          <w:tab/>
        </w:r>
        <w:r w:rsidR="00F565B4">
          <w:rPr>
            <w:webHidden/>
          </w:rPr>
          <w:fldChar w:fldCharType="begin"/>
        </w:r>
        <w:r w:rsidR="00F565B4">
          <w:rPr>
            <w:webHidden/>
          </w:rPr>
          <w:instrText xml:space="preserve"> PAGEREF _Toc127964743 \h </w:instrText>
        </w:r>
        <w:r w:rsidR="00F565B4">
          <w:rPr>
            <w:webHidden/>
          </w:rPr>
        </w:r>
        <w:r w:rsidR="00F565B4">
          <w:rPr>
            <w:webHidden/>
          </w:rPr>
          <w:fldChar w:fldCharType="separate"/>
        </w:r>
        <w:r w:rsidR="00F565B4">
          <w:rPr>
            <w:webHidden/>
          </w:rPr>
          <w:t>7</w:t>
        </w:r>
        <w:r w:rsidR="00F565B4">
          <w:rPr>
            <w:webHidden/>
          </w:rPr>
          <w:fldChar w:fldCharType="end"/>
        </w:r>
      </w:hyperlink>
    </w:p>
    <w:p w14:paraId="47A19EDA" w14:textId="36425E5C" w:rsidR="00F565B4" w:rsidRDefault="00D23E36">
      <w:pPr>
        <w:pStyle w:val="TOC3"/>
        <w:rPr>
          <w:rFonts w:asciiTheme="minorHAnsi" w:eastAsiaTheme="minorEastAsia" w:hAnsiTheme="minorHAnsi" w:cstheme="minorBidi"/>
          <w:sz w:val="22"/>
          <w:szCs w:val="22"/>
          <w:lang w:eastAsia="en-AU"/>
        </w:rPr>
      </w:pPr>
      <w:hyperlink w:anchor="_Toc127964744" w:history="1">
        <w:r w:rsidR="00F565B4" w:rsidRPr="00C50A6F">
          <w:rPr>
            <w:rStyle w:val="Hyperlink"/>
          </w:rPr>
          <w:t>Canola stubble</w:t>
        </w:r>
        <w:r w:rsidR="00F565B4">
          <w:rPr>
            <w:webHidden/>
          </w:rPr>
          <w:tab/>
        </w:r>
        <w:r w:rsidR="00F565B4">
          <w:rPr>
            <w:webHidden/>
          </w:rPr>
          <w:fldChar w:fldCharType="begin"/>
        </w:r>
        <w:r w:rsidR="00F565B4">
          <w:rPr>
            <w:webHidden/>
          </w:rPr>
          <w:instrText xml:space="preserve"> PAGEREF _Toc127964744 \h </w:instrText>
        </w:r>
        <w:r w:rsidR="00F565B4">
          <w:rPr>
            <w:webHidden/>
          </w:rPr>
        </w:r>
        <w:r w:rsidR="00F565B4">
          <w:rPr>
            <w:webHidden/>
          </w:rPr>
          <w:fldChar w:fldCharType="separate"/>
        </w:r>
        <w:r w:rsidR="00F565B4">
          <w:rPr>
            <w:webHidden/>
          </w:rPr>
          <w:t>7</w:t>
        </w:r>
        <w:r w:rsidR="00F565B4">
          <w:rPr>
            <w:webHidden/>
          </w:rPr>
          <w:fldChar w:fldCharType="end"/>
        </w:r>
      </w:hyperlink>
    </w:p>
    <w:p w14:paraId="1E57F407" w14:textId="0AAE2A28" w:rsidR="00F565B4" w:rsidRDefault="00D23E36">
      <w:pPr>
        <w:pStyle w:val="TOC3"/>
        <w:rPr>
          <w:rFonts w:asciiTheme="minorHAnsi" w:eastAsiaTheme="minorEastAsia" w:hAnsiTheme="minorHAnsi" w:cstheme="minorBidi"/>
          <w:sz w:val="22"/>
          <w:szCs w:val="22"/>
          <w:lang w:eastAsia="en-AU"/>
        </w:rPr>
      </w:pPr>
      <w:hyperlink w:anchor="_Toc127964745" w:history="1">
        <w:r w:rsidR="00F565B4" w:rsidRPr="00C50A6F">
          <w:rPr>
            <w:rStyle w:val="Hyperlink"/>
          </w:rPr>
          <w:t>Canola meal</w:t>
        </w:r>
        <w:r w:rsidR="00F565B4">
          <w:rPr>
            <w:webHidden/>
          </w:rPr>
          <w:tab/>
        </w:r>
        <w:r w:rsidR="00F565B4">
          <w:rPr>
            <w:webHidden/>
          </w:rPr>
          <w:fldChar w:fldCharType="begin"/>
        </w:r>
        <w:r w:rsidR="00F565B4">
          <w:rPr>
            <w:webHidden/>
          </w:rPr>
          <w:instrText xml:space="preserve"> PAGEREF _Toc127964745 \h </w:instrText>
        </w:r>
        <w:r w:rsidR="00F565B4">
          <w:rPr>
            <w:webHidden/>
          </w:rPr>
        </w:r>
        <w:r w:rsidR="00F565B4">
          <w:rPr>
            <w:webHidden/>
          </w:rPr>
          <w:fldChar w:fldCharType="separate"/>
        </w:r>
        <w:r w:rsidR="00F565B4">
          <w:rPr>
            <w:webHidden/>
          </w:rPr>
          <w:t>7</w:t>
        </w:r>
        <w:r w:rsidR="00F565B4">
          <w:rPr>
            <w:webHidden/>
          </w:rPr>
          <w:fldChar w:fldCharType="end"/>
        </w:r>
      </w:hyperlink>
    </w:p>
    <w:p w14:paraId="2F397A6C" w14:textId="59B642D6" w:rsidR="00F565B4" w:rsidRDefault="00D23E36">
      <w:pPr>
        <w:pStyle w:val="TOC2"/>
        <w:rPr>
          <w:rFonts w:asciiTheme="minorHAnsi" w:eastAsiaTheme="minorEastAsia" w:hAnsiTheme="minorHAnsi" w:cstheme="minorBidi"/>
          <w:b w:val="0"/>
          <w:color w:val="auto"/>
          <w:sz w:val="22"/>
          <w:szCs w:val="22"/>
          <w:lang w:eastAsia="en-AU"/>
        </w:rPr>
      </w:pPr>
      <w:hyperlink w:anchor="_Toc127964746" w:history="1">
        <w:r w:rsidR="00F565B4" w:rsidRPr="00C50A6F">
          <w:rPr>
            <w:rStyle w:val="Hyperlink"/>
          </w:rPr>
          <w:t>Codex Alimentarius Commission and overseas MRLs</w:t>
        </w:r>
        <w:r w:rsidR="00F565B4">
          <w:rPr>
            <w:webHidden/>
          </w:rPr>
          <w:tab/>
        </w:r>
        <w:r w:rsidR="00F565B4">
          <w:rPr>
            <w:webHidden/>
          </w:rPr>
          <w:fldChar w:fldCharType="begin"/>
        </w:r>
        <w:r w:rsidR="00F565B4">
          <w:rPr>
            <w:webHidden/>
          </w:rPr>
          <w:instrText xml:space="preserve"> PAGEREF _Toc127964746 \h </w:instrText>
        </w:r>
        <w:r w:rsidR="00F565B4">
          <w:rPr>
            <w:webHidden/>
          </w:rPr>
        </w:r>
        <w:r w:rsidR="00F565B4">
          <w:rPr>
            <w:webHidden/>
          </w:rPr>
          <w:fldChar w:fldCharType="separate"/>
        </w:r>
        <w:r w:rsidR="00F565B4">
          <w:rPr>
            <w:webHidden/>
          </w:rPr>
          <w:t>8</w:t>
        </w:r>
        <w:r w:rsidR="00F565B4">
          <w:rPr>
            <w:webHidden/>
          </w:rPr>
          <w:fldChar w:fldCharType="end"/>
        </w:r>
      </w:hyperlink>
    </w:p>
    <w:p w14:paraId="4B1A5ED2" w14:textId="5C10F2C4" w:rsidR="00F565B4" w:rsidRDefault="00D23E36">
      <w:pPr>
        <w:pStyle w:val="TOC2"/>
        <w:rPr>
          <w:rFonts w:asciiTheme="minorHAnsi" w:eastAsiaTheme="minorEastAsia" w:hAnsiTheme="minorHAnsi" w:cstheme="minorBidi"/>
          <w:b w:val="0"/>
          <w:color w:val="auto"/>
          <w:sz w:val="22"/>
          <w:szCs w:val="22"/>
          <w:lang w:eastAsia="en-AU"/>
        </w:rPr>
      </w:pPr>
      <w:hyperlink w:anchor="_Toc127964747" w:history="1">
        <w:r w:rsidR="00F565B4" w:rsidRPr="00C50A6F">
          <w:rPr>
            <w:rStyle w:val="Hyperlink"/>
          </w:rPr>
          <w:t>Current and proposed Australian MRLs for cyantraniliprole</w:t>
        </w:r>
        <w:r w:rsidR="00F565B4">
          <w:rPr>
            <w:webHidden/>
          </w:rPr>
          <w:tab/>
        </w:r>
        <w:r w:rsidR="00F565B4">
          <w:rPr>
            <w:webHidden/>
          </w:rPr>
          <w:fldChar w:fldCharType="begin"/>
        </w:r>
        <w:r w:rsidR="00F565B4">
          <w:rPr>
            <w:webHidden/>
          </w:rPr>
          <w:instrText xml:space="preserve"> PAGEREF _Toc127964747 \h </w:instrText>
        </w:r>
        <w:r w:rsidR="00F565B4">
          <w:rPr>
            <w:webHidden/>
          </w:rPr>
        </w:r>
        <w:r w:rsidR="00F565B4">
          <w:rPr>
            <w:webHidden/>
          </w:rPr>
          <w:fldChar w:fldCharType="separate"/>
        </w:r>
        <w:r w:rsidR="00F565B4">
          <w:rPr>
            <w:webHidden/>
          </w:rPr>
          <w:t>10</w:t>
        </w:r>
        <w:r w:rsidR="00F565B4">
          <w:rPr>
            <w:webHidden/>
          </w:rPr>
          <w:fldChar w:fldCharType="end"/>
        </w:r>
      </w:hyperlink>
    </w:p>
    <w:p w14:paraId="4DB4731B" w14:textId="6DA48902" w:rsidR="00F565B4" w:rsidRDefault="00D23E36">
      <w:pPr>
        <w:pStyle w:val="TOC2"/>
        <w:rPr>
          <w:rFonts w:asciiTheme="minorHAnsi" w:eastAsiaTheme="minorEastAsia" w:hAnsiTheme="minorHAnsi" w:cstheme="minorBidi"/>
          <w:b w:val="0"/>
          <w:color w:val="auto"/>
          <w:sz w:val="22"/>
          <w:szCs w:val="22"/>
          <w:lang w:eastAsia="en-AU"/>
        </w:rPr>
      </w:pPr>
      <w:hyperlink w:anchor="_Toc127964748" w:history="1">
        <w:r w:rsidR="00F565B4" w:rsidRPr="00C50A6F">
          <w:rPr>
            <w:rStyle w:val="Hyperlink"/>
          </w:rPr>
          <w:t>Potential risk to trade</w:t>
        </w:r>
        <w:r w:rsidR="00F565B4">
          <w:rPr>
            <w:webHidden/>
          </w:rPr>
          <w:tab/>
        </w:r>
        <w:r w:rsidR="00F565B4">
          <w:rPr>
            <w:webHidden/>
          </w:rPr>
          <w:fldChar w:fldCharType="begin"/>
        </w:r>
        <w:r w:rsidR="00F565B4">
          <w:rPr>
            <w:webHidden/>
          </w:rPr>
          <w:instrText xml:space="preserve"> PAGEREF _Toc127964748 \h </w:instrText>
        </w:r>
        <w:r w:rsidR="00F565B4">
          <w:rPr>
            <w:webHidden/>
          </w:rPr>
        </w:r>
        <w:r w:rsidR="00F565B4">
          <w:rPr>
            <w:webHidden/>
          </w:rPr>
          <w:fldChar w:fldCharType="separate"/>
        </w:r>
        <w:r w:rsidR="00F565B4">
          <w:rPr>
            <w:webHidden/>
          </w:rPr>
          <w:t>11</w:t>
        </w:r>
        <w:r w:rsidR="00F565B4">
          <w:rPr>
            <w:webHidden/>
          </w:rPr>
          <w:fldChar w:fldCharType="end"/>
        </w:r>
      </w:hyperlink>
    </w:p>
    <w:p w14:paraId="1EB0C454" w14:textId="2CAFB8FB" w:rsidR="00F565B4" w:rsidRDefault="00D23E36">
      <w:pPr>
        <w:pStyle w:val="TOC1"/>
        <w:rPr>
          <w:rFonts w:asciiTheme="minorHAnsi" w:eastAsiaTheme="minorEastAsia" w:hAnsiTheme="minorHAnsi" w:cstheme="minorBidi"/>
          <w:bCs w:val="0"/>
          <w:color w:val="auto"/>
          <w:kern w:val="0"/>
          <w:sz w:val="22"/>
          <w:szCs w:val="22"/>
          <w:lang w:eastAsia="en-AU"/>
        </w:rPr>
      </w:pPr>
      <w:hyperlink w:anchor="_Toc127964749" w:history="1">
        <w:r w:rsidR="00F565B4" w:rsidRPr="00C50A6F">
          <w:rPr>
            <w:rStyle w:val="Hyperlink"/>
          </w:rPr>
          <w:t>Conclusion</w:t>
        </w:r>
        <w:r w:rsidR="00F565B4">
          <w:rPr>
            <w:webHidden/>
          </w:rPr>
          <w:tab/>
        </w:r>
        <w:r w:rsidR="00F565B4">
          <w:rPr>
            <w:webHidden/>
          </w:rPr>
          <w:fldChar w:fldCharType="begin"/>
        </w:r>
        <w:r w:rsidR="00F565B4">
          <w:rPr>
            <w:webHidden/>
          </w:rPr>
          <w:instrText xml:space="preserve"> PAGEREF _Toc127964749 \h </w:instrText>
        </w:r>
        <w:r w:rsidR="00F565B4">
          <w:rPr>
            <w:webHidden/>
          </w:rPr>
        </w:r>
        <w:r w:rsidR="00F565B4">
          <w:rPr>
            <w:webHidden/>
          </w:rPr>
          <w:fldChar w:fldCharType="separate"/>
        </w:r>
        <w:r w:rsidR="00F565B4">
          <w:rPr>
            <w:webHidden/>
          </w:rPr>
          <w:t>12</w:t>
        </w:r>
        <w:r w:rsidR="00F565B4">
          <w:rPr>
            <w:webHidden/>
          </w:rPr>
          <w:fldChar w:fldCharType="end"/>
        </w:r>
      </w:hyperlink>
    </w:p>
    <w:p w14:paraId="1F06A73A" w14:textId="77777777" w:rsidR="00F565B4" w:rsidRDefault="005064D5" w:rsidP="007B1953">
      <w:pPr>
        <w:pStyle w:val="ToCH1"/>
        <w:spacing w:before="500"/>
        <w:rPr>
          <w:noProof/>
        </w:rPr>
      </w:pPr>
      <w:r>
        <w:rPr>
          <w:rFonts w:ascii="Trebuchet MS" w:hAnsi="Trebuchet MS"/>
          <w:b/>
          <w:caps/>
          <w:noProof/>
          <w:szCs w:val="30"/>
        </w:rPr>
        <w:fldChar w:fldCharType="end"/>
      </w:r>
      <w:r w:rsidR="002E20AC">
        <w:rPr>
          <w:noProof/>
        </w:rPr>
        <w:t>List of tables</w:t>
      </w:r>
      <w:r w:rsidR="005D00D1">
        <w:rPr>
          <w:caps/>
          <w:noProof/>
        </w:rPr>
        <w:fldChar w:fldCharType="begin"/>
      </w:r>
      <w:r w:rsidR="005D00D1">
        <w:rPr>
          <w:noProof/>
        </w:rPr>
        <w:instrText xml:space="preserve"> TOC \h \z \t "Caption,APVMA_Caption" \c </w:instrText>
      </w:r>
      <w:r w:rsidR="005D00D1">
        <w:rPr>
          <w:caps/>
          <w:noProof/>
        </w:rPr>
        <w:fldChar w:fldCharType="separate"/>
      </w:r>
    </w:p>
    <w:p w14:paraId="5D4A153D" w14:textId="58808064" w:rsidR="00F565B4" w:rsidRDefault="00D23E36">
      <w:pPr>
        <w:pStyle w:val="TableofFigures"/>
        <w:rPr>
          <w:rFonts w:asciiTheme="minorHAnsi" w:eastAsiaTheme="minorEastAsia" w:hAnsiTheme="minorHAnsi" w:cstheme="minorBidi"/>
          <w:sz w:val="22"/>
          <w:szCs w:val="22"/>
          <w:lang w:eastAsia="en-AU"/>
        </w:rPr>
      </w:pPr>
      <w:hyperlink w:anchor="_Toc127964750" w:history="1">
        <w:r w:rsidR="00F565B4" w:rsidRPr="0078650A">
          <w:rPr>
            <w:rStyle w:val="Hyperlink"/>
          </w:rPr>
          <w:t>Table 1:</w:t>
        </w:r>
        <w:r w:rsidR="00F565B4">
          <w:rPr>
            <w:rFonts w:asciiTheme="minorHAnsi" w:eastAsiaTheme="minorEastAsia" w:hAnsiTheme="minorHAnsi" w:cstheme="minorBidi"/>
            <w:sz w:val="22"/>
            <w:szCs w:val="22"/>
            <w:lang w:eastAsia="en-AU"/>
          </w:rPr>
          <w:tab/>
        </w:r>
        <w:r w:rsidR="00F565B4" w:rsidRPr="0078650A">
          <w:rPr>
            <w:rStyle w:val="Hyperlink"/>
          </w:rPr>
          <w:t>Proposed use pattern</w:t>
        </w:r>
        <w:r w:rsidR="00F565B4">
          <w:rPr>
            <w:webHidden/>
          </w:rPr>
          <w:tab/>
        </w:r>
        <w:r w:rsidR="00F565B4">
          <w:rPr>
            <w:webHidden/>
          </w:rPr>
          <w:fldChar w:fldCharType="begin"/>
        </w:r>
        <w:r w:rsidR="00F565B4">
          <w:rPr>
            <w:webHidden/>
          </w:rPr>
          <w:instrText xml:space="preserve"> PAGEREF _Toc127964750 \h </w:instrText>
        </w:r>
        <w:r w:rsidR="00F565B4">
          <w:rPr>
            <w:webHidden/>
          </w:rPr>
        </w:r>
        <w:r w:rsidR="00F565B4">
          <w:rPr>
            <w:webHidden/>
          </w:rPr>
          <w:fldChar w:fldCharType="separate"/>
        </w:r>
        <w:r w:rsidR="00F565B4">
          <w:rPr>
            <w:webHidden/>
          </w:rPr>
          <w:t>4</w:t>
        </w:r>
        <w:r w:rsidR="00F565B4">
          <w:rPr>
            <w:webHidden/>
          </w:rPr>
          <w:fldChar w:fldCharType="end"/>
        </w:r>
      </w:hyperlink>
    </w:p>
    <w:p w14:paraId="7E1DB5B3" w14:textId="7ABB3140" w:rsidR="00F565B4" w:rsidRDefault="00D23E36">
      <w:pPr>
        <w:pStyle w:val="TableofFigures"/>
        <w:rPr>
          <w:rFonts w:asciiTheme="minorHAnsi" w:eastAsiaTheme="minorEastAsia" w:hAnsiTheme="minorHAnsi" w:cstheme="minorBidi"/>
          <w:sz w:val="22"/>
          <w:szCs w:val="22"/>
          <w:lang w:eastAsia="en-AU"/>
        </w:rPr>
      </w:pPr>
      <w:hyperlink w:anchor="_Toc127964751" w:history="1">
        <w:r w:rsidR="00F565B4" w:rsidRPr="0078650A">
          <w:rPr>
            <w:rStyle w:val="Hyperlink"/>
          </w:rPr>
          <w:t>Table 2:</w:t>
        </w:r>
        <w:r w:rsidR="00F565B4">
          <w:rPr>
            <w:rFonts w:asciiTheme="minorHAnsi" w:eastAsiaTheme="minorEastAsia" w:hAnsiTheme="minorHAnsi" w:cstheme="minorBidi"/>
            <w:sz w:val="22"/>
            <w:szCs w:val="22"/>
            <w:lang w:eastAsia="en-AU"/>
          </w:rPr>
          <w:tab/>
        </w:r>
        <w:r w:rsidR="00F565B4" w:rsidRPr="0078650A">
          <w:rPr>
            <w:rStyle w:val="Hyperlink"/>
          </w:rPr>
          <w:t>Codex and International MRLs for cyantraniliprole</w:t>
        </w:r>
        <w:r w:rsidR="00F565B4">
          <w:rPr>
            <w:webHidden/>
          </w:rPr>
          <w:tab/>
        </w:r>
        <w:r w:rsidR="00F565B4">
          <w:rPr>
            <w:webHidden/>
          </w:rPr>
          <w:fldChar w:fldCharType="begin"/>
        </w:r>
        <w:r w:rsidR="00F565B4">
          <w:rPr>
            <w:webHidden/>
          </w:rPr>
          <w:instrText xml:space="preserve"> PAGEREF _Toc127964751 \h </w:instrText>
        </w:r>
        <w:r w:rsidR="00F565B4">
          <w:rPr>
            <w:webHidden/>
          </w:rPr>
        </w:r>
        <w:r w:rsidR="00F565B4">
          <w:rPr>
            <w:webHidden/>
          </w:rPr>
          <w:fldChar w:fldCharType="separate"/>
        </w:r>
        <w:r w:rsidR="00F565B4">
          <w:rPr>
            <w:webHidden/>
          </w:rPr>
          <w:t>8</w:t>
        </w:r>
        <w:r w:rsidR="00F565B4">
          <w:rPr>
            <w:webHidden/>
          </w:rPr>
          <w:fldChar w:fldCharType="end"/>
        </w:r>
      </w:hyperlink>
    </w:p>
    <w:p w14:paraId="54D08D7C" w14:textId="014676E6" w:rsidR="00F565B4" w:rsidRDefault="00D23E36">
      <w:pPr>
        <w:pStyle w:val="TableofFigures"/>
        <w:rPr>
          <w:rFonts w:asciiTheme="minorHAnsi" w:eastAsiaTheme="minorEastAsia" w:hAnsiTheme="minorHAnsi" w:cstheme="minorBidi"/>
          <w:sz w:val="22"/>
          <w:szCs w:val="22"/>
          <w:lang w:eastAsia="en-AU"/>
        </w:rPr>
      </w:pPr>
      <w:hyperlink w:anchor="_Toc127964752" w:history="1">
        <w:r w:rsidR="00F565B4" w:rsidRPr="0078650A">
          <w:rPr>
            <w:rStyle w:val="Hyperlink"/>
          </w:rPr>
          <w:t>Table 3:</w:t>
        </w:r>
        <w:r w:rsidR="00F565B4">
          <w:rPr>
            <w:rFonts w:asciiTheme="minorHAnsi" w:eastAsiaTheme="minorEastAsia" w:hAnsiTheme="minorHAnsi" w:cstheme="minorBidi"/>
            <w:sz w:val="22"/>
            <w:szCs w:val="22"/>
            <w:lang w:eastAsia="en-AU"/>
          </w:rPr>
          <w:tab/>
        </w:r>
        <w:r w:rsidR="00F565B4" w:rsidRPr="0078650A">
          <w:rPr>
            <w:rStyle w:val="Hyperlink"/>
          </w:rPr>
          <w:t>Current MRL Standard – Table 1</w:t>
        </w:r>
        <w:r w:rsidR="00F565B4">
          <w:rPr>
            <w:webHidden/>
          </w:rPr>
          <w:tab/>
        </w:r>
        <w:r w:rsidR="00F565B4">
          <w:rPr>
            <w:webHidden/>
          </w:rPr>
          <w:fldChar w:fldCharType="begin"/>
        </w:r>
        <w:r w:rsidR="00F565B4">
          <w:rPr>
            <w:webHidden/>
          </w:rPr>
          <w:instrText xml:space="preserve"> PAGEREF _Toc127964752 \h </w:instrText>
        </w:r>
        <w:r w:rsidR="00F565B4">
          <w:rPr>
            <w:webHidden/>
          </w:rPr>
        </w:r>
        <w:r w:rsidR="00F565B4">
          <w:rPr>
            <w:webHidden/>
          </w:rPr>
          <w:fldChar w:fldCharType="separate"/>
        </w:r>
        <w:r w:rsidR="00F565B4">
          <w:rPr>
            <w:webHidden/>
          </w:rPr>
          <w:t>10</w:t>
        </w:r>
        <w:r w:rsidR="00F565B4">
          <w:rPr>
            <w:webHidden/>
          </w:rPr>
          <w:fldChar w:fldCharType="end"/>
        </w:r>
      </w:hyperlink>
    </w:p>
    <w:p w14:paraId="5FD0B8D1" w14:textId="55120759" w:rsidR="00F565B4" w:rsidRDefault="00D23E36">
      <w:pPr>
        <w:pStyle w:val="TableofFigures"/>
        <w:rPr>
          <w:rFonts w:asciiTheme="minorHAnsi" w:eastAsiaTheme="minorEastAsia" w:hAnsiTheme="minorHAnsi" w:cstheme="minorBidi"/>
          <w:sz w:val="22"/>
          <w:szCs w:val="22"/>
          <w:lang w:eastAsia="en-AU"/>
        </w:rPr>
      </w:pPr>
      <w:hyperlink w:anchor="_Toc127964753" w:history="1">
        <w:r w:rsidR="00F565B4" w:rsidRPr="0078650A">
          <w:rPr>
            <w:rStyle w:val="Hyperlink"/>
          </w:rPr>
          <w:t>Table 4:</w:t>
        </w:r>
        <w:r w:rsidR="00F565B4">
          <w:rPr>
            <w:rFonts w:asciiTheme="minorHAnsi" w:eastAsiaTheme="minorEastAsia" w:hAnsiTheme="minorHAnsi" w:cstheme="minorBidi"/>
            <w:sz w:val="22"/>
            <w:szCs w:val="22"/>
            <w:lang w:eastAsia="en-AU"/>
          </w:rPr>
          <w:tab/>
        </w:r>
        <w:r w:rsidR="00F565B4" w:rsidRPr="0078650A">
          <w:rPr>
            <w:rStyle w:val="Hyperlink"/>
          </w:rPr>
          <w:t>Current MRL Standard – Table 4</w:t>
        </w:r>
        <w:r w:rsidR="00F565B4">
          <w:rPr>
            <w:webHidden/>
          </w:rPr>
          <w:tab/>
        </w:r>
        <w:r w:rsidR="00F565B4">
          <w:rPr>
            <w:webHidden/>
          </w:rPr>
          <w:fldChar w:fldCharType="begin"/>
        </w:r>
        <w:r w:rsidR="00F565B4">
          <w:rPr>
            <w:webHidden/>
          </w:rPr>
          <w:instrText xml:space="preserve"> PAGEREF _Toc127964753 \h </w:instrText>
        </w:r>
        <w:r w:rsidR="00F565B4">
          <w:rPr>
            <w:webHidden/>
          </w:rPr>
        </w:r>
        <w:r w:rsidR="00F565B4">
          <w:rPr>
            <w:webHidden/>
          </w:rPr>
          <w:fldChar w:fldCharType="separate"/>
        </w:r>
        <w:r w:rsidR="00F565B4">
          <w:rPr>
            <w:webHidden/>
          </w:rPr>
          <w:t>10</w:t>
        </w:r>
        <w:r w:rsidR="00F565B4">
          <w:rPr>
            <w:webHidden/>
          </w:rPr>
          <w:fldChar w:fldCharType="end"/>
        </w:r>
      </w:hyperlink>
    </w:p>
    <w:p w14:paraId="654F23E8" w14:textId="596EB57D" w:rsidR="00F565B4" w:rsidRDefault="00D23E36">
      <w:pPr>
        <w:pStyle w:val="TableofFigures"/>
        <w:rPr>
          <w:rFonts w:asciiTheme="minorHAnsi" w:eastAsiaTheme="minorEastAsia" w:hAnsiTheme="minorHAnsi" w:cstheme="minorBidi"/>
          <w:sz w:val="22"/>
          <w:szCs w:val="22"/>
          <w:lang w:eastAsia="en-AU"/>
        </w:rPr>
      </w:pPr>
      <w:hyperlink w:anchor="_Toc127964754" w:history="1">
        <w:r w:rsidR="00F565B4" w:rsidRPr="0078650A">
          <w:rPr>
            <w:rStyle w:val="Hyperlink"/>
          </w:rPr>
          <w:t>Table 5:</w:t>
        </w:r>
        <w:r w:rsidR="00F565B4">
          <w:rPr>
            <w:rFonts w:asciiTheme="minorHAnsi" w:eastAsiaTheme="minorEastAsia" w:hAnsiTheme="minorHAnsi" w:cstheme="minorBidi"/>
            <w:sz w:val="22"/>
            <w:szCs w:val="22"/>
            <w:lang w:eastAsia="en-AU"/>
          </w:rPr>
          <w:tab/>
        </w:r>
        <w:r w:rsidR="00F565B4" w:rsidRPr="0078650A">
          <w:rPr>
            <w:rStyle w:val="Hyperlink"/>
          </w:rPr>
          <w:t>Proposed MRL Standard – Table 1</w:t>
        </w:r>
        <w:r w:rsidR="00F565B4">
          <w:rPr>
            <w:webHidden/>
          </w:rPr>
          <w:tab/>
        </w:r>
        <w:r w:rsidR="00F565B4">
          <w:rPr>
            <w:webHidden/>
          </w:rPr>
          <w:fldChar w:fldCharType="begin"/>
        </w:r>
        <w:r w:rsidR="00F565B4">
          <w:rPr>
            <w:webHidden/>
          </w:rPr>
          <w:instrText xml:space="preserve"> PAGEREF _Toc127964754 \h </w:instrText>
        </w:r>
        <w:r w:rsidR="00F565B4">
          <w:rPr>
            <w:webHidden/>
          </w:rPr>
        </w:r>
        <w:r w:rsidR="00F565B4">
          <w:rPr>
            <w:webHidden/>
          </w:rPr>
          <w:fldChar w:fldCharType="separate"/>
        </w:r>
        <w:r w:rsidR="00F565B4">
          <w:rPr>
            <w:webHidden/>
          </w:rPr>
          <w:t>11</w:t>
        </w:r>
        <w:r w:rsidR="00F565B4">
          <w:rPr>
            <w:webHidden/>
          </w:rPr>
          <w:fldChar w:fldCharType="end"/>
        </w:r>
      </w:hyperlink>
    </w:p>
    <w:p w14:paraId="16215860" w14:textId="1F6E54B6" w:rsidR="00116540" w:rsidRDefault="005D00D1" w:rsidP="00884D0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884D0E" w:rsidRDefault="002E20AC" w:rsidP="00884D0E">
      <w:pPr>
        <w:pStyle w:val="APVMAPreliminariesH1"/>
      </w:pPr>
      <w:bookmarkStart w:id="1" w:name="_Toc234063054"/>
      <w:bookmarkStart w:id="2" w:name="_Toc414373831"/>
      <w:bookmarkStart w:id="3" w:name="_Toc127964729"/>
      <w:r w:rsidRPr="00884D0E">
        <w:lastRenderedPageBreak/>
        <w:t>Preface</w:t>
      </w:r>
      <w:bookmarkEnd w:id="1"/>
      <w:bookmarkEnd w:id="2"/>
      <w:bookmarkEnd w:id="3"/>
    </w:p>
    <w:p w14:paraId="3C65F9F1" w14:textId="77777777" w:rsidR="006D36C8" w:rsidRPr="00884D0E" w:rsidRDefault="006D36C8" w:rsidP="00884D0E">
      <w:pPr>
        <w:pStyle w:val="APVMAText"/>
      </w:pPr>
      <w:r w:rsidRPr="00884D0E">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Pr="00884D0E" w:rsidRDefault="006D36C8" w:rsidP="00884D0E">
      <w:pPr>
        <w:pStyle w:val="APVMAText"/>
      </w:pPr>
      <w:r w:rsidRPr="00884D0E">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Pr="00884D0E" w:rsidRDefault="006D36C8" w:rsidP="00884D0E">
      <w:pPr>
        <w:pStyle w:val="APVMAText"/>
      </w:pPr>
      <w:r w:rsidRPr="00884D0E">
        <w:t>The information and technical data required by the APVMA to assess the safety of new chemical products and the methods of assessment must be undertaken according to accepted scientific principles. Details are outlined in regulatory guidance published on the APVMA website.</w:t>
      </w:r>
    </w:p>
    <w:p w14:paraId="43C9A5E5" w14:textId="77777777" w:rsidR="002E20AC" w:rsidRPr="00884D0E" w:rsidRDefault="006D36C8" w:rsidP="00884D0E">
      <w:pPr>
        <w:pStyle w:val="APVMAPreliminariesH2"/>
      </w:pPr>
      <w:bookmarkStart w:id="4" w:name="_Toc414373832"/>
      <w:bookmarkStart w:id="5" w:name="_Toc127964730"/>
      <w:r w:rsidRPr="00884D0E">
        <w:t>About this document</w:t>
      </w:r>
      <w:bookmarkEnd w:id="4"/>
      <w:bookmarkEnd w:id="5"/>
    </w:p>
    <w:p w14:paraId="29EE149D" w14:textId="66773C3A" w:rsidR="00E63AC3" w:rsidRPr="00884D0E" w:rsidRDefault="006D36C8" w:rsidP="00884D0E">
      <w:pPr>
        <w:pStyle w:val="APVMAText"/>
      </w:pPr>
      <w:r w:rsidRPr="00884D0E">
        <w:t xml:space="preserve">This </w:t>
      </w:r>
      <w:r w:rsidR="00F74FA6" w:rsidRPr="00884D0E">
        <w:t>T</w:t>
      </w:r>
      <w:r w:rsidRPr="00884D0E">
        <w:t xml:space="preserve">rade </w:t>
      </w:r>
      <w:r w:rsidR="00F74FA6" w:rsidRPr="00884D0E">
        <w:t>Advice N</w:t>
      </w:r>
      <w:r w:rsidRPr="00884D0E">
        <w:t>otice indicates that the APVMA is considering an application to vary the use of an existing registered agric</w:t>
      </w:r>
      <w:r w:rsidR="00E63AC3" w:rsidRPr="00884D0E">
        <w:t>ultural chemical.</w:t>
      </w:r>
    </w:p>
    <w:p w14:paraId="2D999D62" w14:textId="12ECDF27" w:rsidR="006D36C8" w:rsidRPr="00884D0E" w:rsidRDefault="006D36C8" w:rsidP="00884D0E">
      <w:pPr>
        <w:pStyle w:val="APVMAText"/>
      </w:pPr>
      <w:r w:rsidRPr="00884D0E">
        <w:t xml:space="preserve">It provides a summary of the APVMA’s </w:t>
      </w:r>
      <w:r w:rsidR="002B661B" w:rsidRPr="00884D0E">
        <w:t>Residue</w:t>
      </w:r>
      <w:r w:rsidR="002B661B">
        <w:t>s</w:t>
      </w:r>
      <w:r w:rsidR="002B661B" w:rsidRPr="00884D0E">
        <w:t xml:space="preserve"> </w:t>
      </w:r>
      <w:r w:rsidR="002B661B">
        <w:t>a</w:t>
      </w:r>
      <w:r w:rsidR="002B661B" w:rsidRPr="00884D0E">
        <w:t>nd Trade</w:t>
      </w:r>
      <w:r w:rsidRPr="00884D0E">
        <w:t xml:space="preserve"> assessment.</w:t>
      </w:r>
    </w:p>
    <w:p w14:paraId="793783FA" w14:textId="77777777" w:rsidR="006D36C8" w:rsidRPr="00884D0E" w:rsidRDefault="006D36C8" w:rsidP="00884D0E">
      <w:pPr>
        <w:pStyle w:val="APVMAText"/>
      </w:pPr>
      <w:r w:rsidRPr="00884D0E">
        <w:t>Comment is sought from industry groups and stakeholders on the information contained within this document.</w:t>
      </w:r>
    </w:p>
    <w:p w14:paraId="61CF03AE" w14:textId="77777777" w:rsidR="006D36C8" w:rsidRPr="00884D0E" w:rsidRDefault="006D36C8" w:rsidP="00884D0E">
      <w:pPr>
        <w:pStyle w:val="APVMAPreliminariesH2"/>
      </w:pPr>
      <w:bookmarkStart w:id="6" w:name="_Toc127964731"/>
      <w:r w:rsidRPr="00884D0E">
        <w:t>Making a submission</w:t>
      </w:r>
      <w:bookmarkEnd w:id="6"/>
    </w:p>
    <w:p w14:paraId="5DCD1FC6" w14:textId="448AC3F4" w:rsidR="006D36C8" w:rsidRPr="00884D0E" w:rsidRDefault="006D36C8" w:rsidP="00884D0E">
      <w:pPr>
        <w:pStyle w:val="APVMAText"/>
      </w:pPr>
      <w:r w:rsidRPr="00884D0E">
        <w:t xml:space="preserve">The APVMA invites any person to submit a relevant written submission as to whether the application to vary the registration of </w:t>
      </w:r>
      <w:r w:rsidR="00997280" w:rsidRPr="00884D0E">
        <w:t>Exirel Insecticide</w:t>
      </w:r>
      <w:r w:rsidR="007B1953" w:rsidRPr="00884D0E">
        <w:t xml:space="preserve"> </w:t>
      </w:r>
      <w:r w:rsidRPr="00884D0E">
        <w:t>should be granted.</w:t>
      </w:r>
      <w:r w:rsidR="00BA67F0" w:rsidRPr="00884D0E">
        <w:t xml:space="preserve"> </w:t>
      </w:r>
      <w:r w:rsidRPr="00884D0E">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7F67A51B" w:rsidR="006D36C8" w:rsidRPr="00884D0E" w:rsidRDefault="006D36C8" w:rsidP="00884D0E">
      <w:pPr>
        <w:pStyle w:val="APVMAText"/>
      </w:pPr>
      <w:r w:rsidRPr="00884D0E">
        <w:t xml:space="preserve">Submissions must be received by the APVMA by close of business on </w:t>
      </w:r>
      <w:r w:rsidR="00500F39" w:rsidRPr="00884D0E">
        <w:t>Wednesday 22 March 2023</w:t>
      </w:r>
      <w:r w:rsidRPr="00884D0E">
        <w:t xml:space="preserve"> and be directed to the contact listed below. All submissions to the APVMA will be acknowledged in writing via email or by post.</w:t>
      </w:r>
    </w:p>
    <w:p w14:paraId="00425FA1" w14:textId="77777777" w:rsidR="006D36C8" w:rsidRPr="00884D0E" w:rsidRDefault="006D36C8" w:rsidP="00884D0E">
      <w:pPr>
        <w:pStyle w:val="APVMAText"/>
      </w:pPr>
      <w:r w:rsidRPr="00884D0E">
        <w:t>Relevant comments will be taken into account by the APVMA in deciding whether to grant the application and in determining appropriate conditions of registration and product labelling.</w:t>
      </w:r>
    </w:p>
    <w:p w14:paraId="0D5B62E2" w14:textId="77777777" w:rsidR="006D36C8" w:rsidRPr="00884D0E" w:rsidRDefault="006D36C8" w:rsidP="00884D0E">
      <w:pPr>
        <w:pStyle w:val="APVMAText"/>
        <w:keepNext/>
        <w:keepLines/>
      </w:pPr>
      <w:r w:rsidRPr="00884D0E">
        <w:lastRenderedPageBreak/>
        <w:t>When making a submission please include:</w:t>
      </w:r>
    </w:p>
    <w:p w14:paraId="05ED1ED8" w14:textId="77777777" w:rsidR="006D36C8" w:rsidRPr="00884D0E" w:rsidRDefault="00BA67F0" w:rsidP="00884D0E">
      <w:pPr>
        <w:pStyle w:val="Bullet1"/>
        <w:keepNext/>
        <w:keepLines/>
      </w:pPr>
      <w:r w:rsidRPr="00884D0E">
        <w:t>c</w:t>
      </w:r>
      <w:r w:rsidR="006D36C8" w:rsidRPr="00884D0E">
        <w:t xml:space="preserve">ontact </w:t>
      </w:r>
      <w:proofErr w:type="gramStart"/>
      <w:r w:rsidR="006D36C8" w:rsidRPr="00884D0E">
        <w:t>name</w:t>
      </w:r>
      <w:proofErr w:type="gramEnd"/>
    </w:p>
    <w:p w14:paraId="74C502CA" w14:textId="006BD998" w:rsidR="006D36C8" w:rsidRPr="00884D0E" w:rsidRDefault="00BA67F0" w:rsidP="00884D0E">
      <w:pPr>
        <w:pStyle w:val="Bullet1"/>
        <w:keepNext/>
        <w:keepLines/>
      </w:pPr>
      <w:r w:rsidRPr="00884D0E">
        <w:t>c</w:t>
      </w:r>
      <w:r w:rsidR="006D36C8" w:rsidRPr="00884D0E">
        <w:t xml:space="preserve">ompany or </w:t>
      </w:r>
      <w:r w:rsidR="00641B1B" w:rsidRPr="00884D0E">
        <w:t xml:space="preserve">organisation </w:t>
      </w:r>
      <w:r w:rsidR="006D36C8" w:rsidRPr="00884D0E">
        <w:t>name (if relevant)</w:t>
      </w:r>
    </w:p>
    <w:p w14:paraId="4508E5DE" w14:textId="77777777" w:rsidR="006D36C8" w:rsidRPr="00884D0E" w:rsidRDefault="008836D1" w:rsidP="00884D0E">
      <w:pPr>
        <w:pStyle w:val="Bullet1"/>
        <w:keepNext/>
        <w:keepLines/>
      </w:pPr>
      <w:r w:rsidRPr="00884D0E">
        <w:t xml:space="preserve">email or </w:t>
      </w:r>
      <w:r w:rsidR="00BA67F0" w:rsidRPr="00884D0E">
        <w:t>p</w:t>
      </w:r>
      <w:r w:rsidR="006D36C8" w:rsidRPr="00884D0E">
        <w:t xml:space="preserve">ostal </w:t>
      </w:r>
      <w:r w:rsidR="00BA67F0" w:rsidRPr="00884D0E">
        <w:t>a</w:t>
      </w:r>
      <w:r w:rsidR="006D36C8" w:rsidRPr="00884D0E">
        <w:t>ddress</w:t>
      </w:r>
      <w:r w:rsidRPr="00884D0E">
        <w:t xml:space="preserve"> (if available)</w:t>
      </w:r>
    </w:p>
    <w:p w14:paraId="719B1483" w14:textId="34100990" w:rsidR="006D36C8" w:rsidRPr="00884D0E" w:rsidRDefault="008836D1" w:rsidP="00884D0E">
      <w:pPr>
        <w:pStyle w:val="Bullet1"/>
        <w:keepNext/>
        <w:keepLines/>
      </w:pPr>
      <w:r w:rsidRPr="00884D0E">
        <w:t xml:space="preserve">the date you made the </w:t>
      </w:r>
      <w:r w:rsidR="0024289A" w:rsidRPr="00884D0E">
        <w:t>submission</w:t>
      </w:r>
      <w:r w:rsidR="006D36C8" w:rsidRPr="00884D0E">
        <w:t>.</w:t>
      </w:r>
    </w:p>
    <w:p w14:paraId="5B2156FE" w14:textId="787DD3F0" w:rsidR="00F34959" w:rsidRPr="00884D0E" w:rsidRDefault="00F34959" w:rsidP="00884D0E">
      <w:pPr>
        <w:pStyle w:val="APVMAText"/>
      </w:pPr>
      <w:r w:rsidRPr="00884D0E">
        <w:t xml:space="preserve">Please note: submissions will be published on the APVMA’s website, unless you have asked for the submission to remain confidential, or if the APVMA chooses at its discretion not to publish any submissions received (refer to the </w:t>
      </w:r>
      <w:hyperlink r:id="rId19" w:history="1">
        <w:r w:rsidRPr="00884D0E">
          <w:rPr>
            <w:rStyle w:val="Hyperlink"/>
          </w:rPr>
          <w:t>public consultation coversheet</w:t>
        </w:r>
      </w:hyperlink>
      <w:r w:rsidRPr="00884D0E">
        <w:t>)</w:t>
      </w:r>
      <w:r w:rsidR="007B1953" w:rsidRPr="00884D0E">
        <w:t>.</w:t>
      </w:r>
    </w:p>
    <w:p w14:paraId="272FA43D" w14:textId="6E1EA5B2" w:rsidR="008D01CF" w:rsidRPr="00884D0E" w:rsidRDefault="008D01CF" w:rsidP="00884D0E">
      <w:pPr>
        <w:pStyle w:val="APVMAText"/>
      </w:pPr>
      <w:r w:rsidRPr="00884D0E">
        <w:t xml:space="preserve">Please lodge your submission using the </w:t>
      </w:r>
      <w:hyperlink r:id="rId20" w:history="1">
        <w:r w:rsidRPr="00884D0E">
          <w:rPr>
            <w:rStyle w:val="Hyperlink"/>
          </w:rPr>
          <w:t>public consultation coversheet</w:t>
        </w:r>
      </w:hyperlink>
      <w:r w:rsidRPr="00884D0E">
        <w:t>, which provides options for how your submission will be published.</w:t>
      </w:r>
    </w:p>
    <w:p w14:paraId="30632674" w14:textId="54A84E6D" w:rsidR="0066107B" w:rsidRPr="00884D0E" w:rsidRDefault="0066107B" w:rsidP="00884D0E">
      <w:pPr>
        <w:pStyle w:val="APVMAText"/>
      </w:pPr>
      <w:r w:rsidRPr="00884D0E">
        <w:t xml:space="preserve">Note that all APVMA documents are subject to the access provisions of the </w:t>
      </w:r>
      <w:r w:rsidRPr="00884D0E">
        <w:rPr>
          <w:i/>
          <w:iCs/>
        </w:rPr>
        <w:t>Freedom of Information Act 1982</w:t>
      </w:r>
      <w:r w:rsidRPr="00884D0E">
        <w:t xml:space="preserve"> and may be required to be released under that Act should a request for access be made.</w:t>
      </w:r>
    </w:p>
    <w:p w14:paraId="69BC7EE4" w14:textId="5B019BD8" w:rsidR="008D01CF" w:rsidRPr="00884D0E" w:rsidRDefault="008D01CF" w:rsidP="00884D0E">
      <w:pPr>
        <w:pStyle w:val="APVMAText"/>
      </w:pPr>
      <w:r w:rsidRPr="00884D0E">
        <w:t>Unless you request for your submission to remain confident</w:t>
      </w:r>
      <w:r w:rsidR="00382B7C" w:rsidRPr="00884D0E">
        <w:t>ial</w:t>
      </w:r>
      <w:r w:rsidRPr="00884D0E">
        <w:t>, the APVMA may release your submission to the applicant for comment.</w:t>
      </w:r>
    </w:p>
    <w:p w14:paraId="7F5CDCA5" w14:textId="77777777" w:rsidR="008D01CF" w:rsidRPr="00884D0E" w:rsidRDefault="008D01CF" w:rsidP="00884D0E">
      <w:pPr>
        <w:pStyle w:val="APVMAText"/>
      </w:pPr>
      <w:r w:rsidRPr="00884D0E">
        <w:t>Written submissions should be addressed to:</w:t>
      </w:r>
    </w:p>
    <w:p w14:paraId="4C26F201" w14:textId="185F7D19" w:rsidR="006D36C8" w:rsidRPr="00884D0E" w:rsidRDefault="008836D1" w:rsidP="00884D0E">
      <w:pPr>
        <w:pStyle w:val="APVMAAddress"/>
        <w:ind w:left="0"/>
      </w:pPr>
      <w:r w:rsidRPr="00884D0E">
        <w:t>Executive Director</w:t>
      </w:r>
      <w:r w:rsidR="00997280" w:rsidRPr="00884D0E">
        <w:t>, Risk Assessment Capability</w:t>
      </w:r>
    </w:p>
    <w:p w14:paraId="0D1EE87B" w14:textId="77777777" w:rsidR="006D36C8" w:rsidRPr="00884D0E" w:rsidRDefault="006D36C8" w:rsidP="00884D0E">
      <w:pPr>
        <w:pStyle w:val="APVMAAddress"/>
        <w:ind w:left="0"/>
      </w:pPr>
      <w:r w:rsidRPr="00884D0E">
        <w:t>Australian Pesticides and Veterinary Medicines Authority</w:t>
      </w:r>
    </w:p>
    <w:p w14:paraId="75C98189" w14:textId="77777777" w:rsidR="006D36C8" w:rsidRPr="00884D0E" w:rsidRDefault="00BD0287" w:rsidP="00884D0E">
      <w:pPr>
        <w:pStyle w:val="APVMAAddress"/>
        <w:ind w:left="0"/>
      </w:pPr>
      <w:r w:rsidRPr="00884D0E">
        <w:t>GPO Box 3262</w:t>
      </w:r>
    </w:p>
    <w:p w14:paraId="4E7B5037" w14:textId="77777777" w:rsidR="006D36C8" w:rsidRPr="00884D0E" w:rsidRDefault="00BD0287" w:rsidP="00884D0E">
      <w:pPr>
        <w:pStyle w:val="APVMAAddress"/>
        <w:ind w:left="0"/>
      </w:pPr>
      <w:r w:rsidRPr="00884D0E">
        <w:t>Sydney NSW 2001</w:t>
      </w:r>
    </w:p>
    <w:p w14:paraId="6BC13A1A" w14:textId="5579BF2C" w:rsidR="006D36C8" w:rsidRPr="00884D0E" w:rsidRDefault="006D36C8" w:rsidP="00884D0E">
      <w:pPr>
        <w:pStyle w:val="APVMAAddress"/>
        <w:spacing w:before="240"/>
        <w:ind w:left="0"/>
      </w:pPr>
      <w:r w:rsidRPr="00884D0E">
        <w:rPr>
          <w:b/>
          <w:bCs w:val="0"/>
        </w:rPr>
        <w:t>Phone:</w:t>
      </w:r>
      <w:r w:rsidR="00884D0E">
        <w:t xml:space="preserve"> </w:t>
      </w:r>
      <w:r w:rsidRPr="00884D0E">
        <w:t xml:space="preserve">+61 2 </w:t>
      </w:r>
      <w:r w:rsidR="00BD0287" w:rsidRPr="00884D0E">
        <w:t>6770 2300</w:t>
      </w:r>
    </w:p>
    <w:p w14:paraId="6EDED567" w14:textId="2B5EB332" w:rsidR="006D36C8" w:rsidRPr="00884D0E" w:rsidRDefault="006D36C8" w:rsidP="00884D0E">
      <w:pPr>
        <w:pStyle w:val="APVMAAddress"/>
        <w:ind w:left="0"/>
      </w:pPr>
      <w:r w:rsidRPr="00884D0E">
        <w:rPr>
          <w:b/>
          <w:bCs w:val="0"/>
        </w:rPr>
        <w:t>Email:</w:t>
      </w:r>
      <w:r w:rsidR="00884D0E">
        <w:t xml:space="preserve"> </w:t>
      </w:r>
      <w:hyperlink r:id="rId21" w:history="1">
        <w:r w:rsidR="00997280" w:rsidRPr="00884D0E">
          <w:rPr>
            <w:rStyle w:val="Hyperlink"/>
          </w:rPr>
          <w:t>enquiries@apvma.gov.au</w:t>
        </w:r>
      </w:hyperlink>
    </w:p>
    <w:p w14:paraId="75ADC83A" w14:textId="77777777" w:rsidR="006D36C8" w:rsidRPr="00884D0E" w:rsidRDefault="006D36C8" w:rsidP="00884D0E">
      <w:pPr>
        <w:pStyle w:val="APVMAPreliminariesH2"/>
      </w:pPr>
      <w:bookmarkStart w:id="7" w:name="_Toc2243844"/>
      <w:bookmarkStart w:id="8" w:name="_Toc127964732"/>
      <w:r w:rsidRPr="00884D0E">
        <w:t>Further information</w:t>
      </w:r>
      <w:bookmarkEnd w:id="7"/>
      <w:bookmarkEnd w:id="8"/>
    </w:p>
    <w:p w14:paraId="26E743FF" w14:textId="77777777" w:rsidR="006D36C8" w:rsidRPr="00884D0E" w:rsidRDefault="006D36C8" w:rsidP="00884D0E">
      <w:pPr>
        <w:pStyle w:val="APVMAText"/>
      </w:pPr>
      <w:r w:rsidRPr="00884D0E">
        <w:t>Further information can be obtained via the contact details provided above.</w:t>
      </w:r>
    </w:p>
    <w:p w14:paraId="112848E8" w14:textId="485336A5" w:rsidR="00D22CCB" w:rsidRDefault="006D36C8" w:rsidP="00884D0E">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rsidRPr="00884D0E">
        <w:t xml:space="preserve">Further information on </w:t>
      </w:r>
      <w:r w:rsidR="007B1953" w:rsidRPr="00884D0E">
        <w:t>Trade Advice Notices</w:t>
      </w:r>
      <w:r w:rsidRPr="00884D0E">
        <w:t xml:space="preserve"> can be found on the </w:t>
      </w:r>
      <w:hyperlink r:id="rId24" w:history="1">
        <w:r w:rsidRPr="002B661B">
          <w:rPr>
            <w:rStyle w:val="Hyperlink"/>
          </w:rPr>
          <w:t>APVMA website</w:t>
        </w:r>
      </w:hyperlink>
      <w:r w:rsidR="002B661B">
        <w:t>.</w:t>
      </w:r>
    </w:p>
    <w:p w14:paraId="5181B9C2" w14:textId="70DA256D" w:rsidR="002E20AC" w:rsidRPr="00884D0E" w:rsidRDefault="007B1953" w:rsidP="00884D0E">
      <w:pPr>
        <w:pStyle w:val="Heading1"/>
      </w:pPr>
      <w:bookmarkStart w:id="9" w:name="_Toc127964733"/>
      <w:r w:rsidRPr="00884D0E">
        <w:lastRenderedPageBreak/>
        <w:t>I</w:t>
      </w:r>
      <w:r w:rsidR="006D36C8" w:rsidRPr="00884D0E">
        <w:t>ntroduction</w:t>
      </w:r>
      <w:bookmarkEnd w:id="9"/>
    </w:p>
    <w:p w14:paraId="6E730B75" w14:textId="4907C30A" w:rsidR="00372B36" w:rsidRPr="00884D0E" w:rsidRDefault="006D36C8" w:rsidP="00884D0E">
      <w:pPr>
        <w:pStyle w:val="APVMAText"/>
      </w:pPr>
      <w:bookmarkStart w:id="10" w:name="_Toc414373835"/>
      <w:r w:rsidRPr="00884D0E">
        <w:t xml:space="preserve">The APVMA has before it an application from </w:t>
      </w:r>
      <w:r w:rsidR="00431189" w:rsidRPr="00884D0E">
        <w:t>FMC Australasia Pty Ltd</w:t>
      </w:r>
      <w:r w:rsidRPr="00884D0E">
        <w:t xml:space="preserve"> to vary the registration of </w:t>
      </w:r>
      <w:r w:rsidR="00431189" w:rsidRPr="00884D0E">
        <w:t>Exirel Insecticide</w:t>
      </w:r>
      <w:r w:rsidRPr="00884D0E">
        <w:t xml:space="preserve"> to </w:t>
      </w:r>
      <w:r w:rsidR="00431189" w:rsidRPr="00884D0E">
        <w:t>add uses on canola</w:t>
      </w:r>
      <w:r w:rsidR="000124F2" w:rsidRPr="00884D0E">
        <w:t>.</w:t>
      </w:r>
      <w:bookmarkEnd w:id="10"/>
      <w:r w:rsidR="00431189" w:rsidRPr="00884D0E">
        <w:t xml:space="preserve"> Exirel Insecticide contains cyantraniliprole as its only active constituent. Although there is currently a temporary </w:t>
      </w:r>
      <w:r w:rsidR="005A7AF5" w:rsidRPr="00884D0E">
        <w:t>Maximum Residue Limit (</w:t>
      </w:r>
      <w:r w:rsidR="00431189" w:rsidRPr="00884D0E">
        <w:t>MRL</w:t>
      </w:r>
      <w:r w:rsidR="005A7AF5" w:rsidRPr="00884D0E">
        <w:t>)</w:t>
      </w:r>
      <w:r w:rsidR="00431189" w:rsidRPr="00884D0E">
        <w:t xml:space="preserve"> of T0.03</w:t>
      </w:r>
      <w:r w:rsidR="00A478D0">
        <w:t> </w:t>
      </w:r>
      <w:r w:rsidR="00431189" w:rsidRPr="00884D0E">
        <w:t xml:space="preserve">mg/kg for cyantraniliprole </w:t>
      </w:r>
      <w:r w:rsidR="0019690F" w:rsidRPr="00884D0E">
        <w:t xml:space="preserve">on SO 0495 Rape seed [canola] </w:t>
      </w:r>
      <w:r w:rsidR="00431189" w:rsidRPr="00884D0E">
        <w:t>in Table 1 of the APVMA MRL Standard</w:t>
      </w:r>
      <w:r w:rsidR="000F7E0A" w:rsidRPr="00884D0E">
        <w:t xml:space="preserve"> associated with a research permit</w:t>
      </w:r>
      <w:r w:rsidR="00431189" w:rsidRPr="00884D0E">
        <w:t>, this will be the first registration of uses of cyantraniliprole on canola in Australia.</w:t>
      </w:r>
    </w:p>
    <w:p w14:paraId="2FF1D50D" w14:textId="4273CE7E" w:rsidR="00431189" w:rsidRPr="00884D0E" w:rsidRDefault="0019690F" w:rsidP="00884D0E">
      <w:pPr>
        <w:pStyle w:val="APVMAText"/>
        <w:sectPr w:rsidR="00431189" w:rsidRPr="00884D0E">
          <w:pgSz w:w="11906" w:h="16838" w:code="9"/>
          <w:pgMar w:top="2835" w:right="1134" w:bottom="1134" w:left="1134" w:header="1701" w:footer="680" w:gutter="0"/>
          <w:cols w:space="708"/>
          <w:docGrid w:linePitch="360"/>
        </w:sectPr>
      </w:pPr>
      <w:r w:rsidRPr="00884D0E">
        <w:t xml:space="preserve">Exirel </w:t>
      </w:r>
      <w:r w:rsidR="000F7E0A" w:rsidRPr="00884D0E">
        <w:t xml:space="preserve">Insecticide </w:t>
      </w:r>
      <w:r w:rsidRPr="00884D0E">
        <w:t>is currently registered for use on forage brassicas, including rape forage crops</w:t>
      </w:r>
      <w:r w:rsidR="000F7E0A" w:rsidRPr="00884D0E">
        <w:t xml:space="preserve">, at the same rate and grazing withholding period as proposed for canola but with </w:t>
      </w:r>
      <w:r w:rsidR="002E0769">
        <w:t>2</w:t>
      </w:r>
      <w:r w:rsidR="000F7E0A" w:rsidRPr="00884D0E">
        <w:t xml:space="preserve"> applications allowed per season compared to one application per season proposed for canola</w:t>
      </w:r>
      <w:r w:rsidRPr="00884D0E">
        <w:t>.</w:t>
      </w:r>
    </w:p>
    <w:p w14:paraId="6FDBA0BF" w14:textId="1F2CDA12" w:rsidR="006D36C8" w:rsidRPr="00884D0E" w:rsidRDefault="006D36C8" w:rsidP="00884D0E">
      <w:pPr>
        <w:pStyle w:val="Heading1"/>
      </w:pPr>
      <w:bookmarkStart w:id="11" w:name="_Toc2243846"/>
      <w:bookmarkStart w:id="12" w:name="_Toc127964734"/>
      <w:bookmarkStart w:id="13" w:name="_Hlk127798109"/>
      <w:r w:rsidRPr="00884D0E">
        <w:lastRenderedPageBreak/>
        <w:t>Trade</w:t>
      </w:r>
      <w:r w:rsidR="007B1953" w:rsidRPr="00884D0E">
        <w:t xml:space="preserve"> c</w:t>
      </w:r>
      <w:r w:rsidRPr="00884D0E">
        <w:t>onsiderations</w:t>
      </w:r>
      <w:bookmarkEnd w:id="11"/>
      <w:bookmarkEnd w:id="12"/>
    </w:p>
    <w:p w14:paraId="57B2B732" w14:textId="77777777" w:rsidR="006D36C8" w:rsidRPr="00884D0E" w:rsidRDefault="006D36C8" w:rsidP="00884D0E">
      <w:pPr>
        <w:pStyle w:val="Heading2"/>
      </w:pPr>
      <w:bookmarkStart w:id="14" w:name="_Toc2243847"/>
      <w:bookmarkStart w:id="15" w:name="_Toc127964735"/>
      <w:bookmarkEnd w:id="13"/>
      <w:r w:rsidRPr="00884D0E">
        <w:t xml:space="preserve">Commodities </w:t>
      </w:r>
      <w:proofErr w:type="gramStart"/>
      <w:r w:rsidRPr="00884D0E">
        <w:t>exported</w:t>
      </w:r>
      <w:bookmarkEnd w:id="14"/>
      <w:bookmarkEnd w:id="15"/>
      <w:proofErr w:type="gramEnd"/>
    </w:p>
    <w:p w14:paraId="6276A67B" w14:textId="185B2E58" w:rsidR="00C33B4C" w:rsidRPr="00884D0E" w:rsidRDefault="00C33B4C" w:rsidP="00884D0E">
      <w:pPr>
        <w:pStyle w:val="APVMAText"/>
      </w:pPr>
      <w:r w:rsidRPr="00884D0E">
        <w:t>Oilseeds, including canola seed, derived oils and meals are considered major export commodities</w:t>
      </w:r>
      <w:r w:rsidRPr="002B661B">
        <w:rPr>
          <w:vertAlign w:val="superscript"/>
        </w:rPr>
        <w:footnoteReference w:id="2"/>
      </w:r>
      <w:r w:rsidRPr="00884D0E">
        <w:t>, as are commodities of animal origin, such as meat, offal and dairy products, which may be derived from livestock fed feeds produced from treated canola. Residues in these commodities resulting from the use of Exirel Insecticide on canola may have the potential to unduly prejudice trade.</w:t>
      </w:r>
    </w:p>
    <w:p w14:paraId="7E2AE415" w14:textId="4B4A0E21" w:rsidR="006D36C8" w:rsidRPr="00884D0E" w:rsidRDefault="003521D4" w:rsidP="00884D0E">
      <w:pPr>
        <w:pStyle w:val="APVMAText"/>
      </w:pPr>
      <w:r w:rsidRPr="00884D0E">
        <w:t>The maximum livestock dietary burden is unchanged and t</w:t>
      </w:r>
      <w:r w:rsidR="00C33B4C" w:rsidRPr="00884D0E">
        <w:t xml:space="preserve">he proposed Export Slaughter Interval ESI </w:t>
      </w:r>
      <w:r w:rsidR="00A30CBD" w:rsidRPr="00884D0E">
        <w:t xml:space="preserve">is consistent with that for the current label use on forage brassicas and </w:t>
      </w:r>
      <w:r w:rsidR="00C33B4C" w:rsidRPr="00884D0E">
        <w:t>will ensure there will be no quantifiable residues in animal tissues for export. The risk to trade in animal commodities for export is unchanged and does not require further consideration at this time</w:t>
      </w:r>
      <w:r w:rsidR="007B1953" w:rsidRPr="00884D0E">
        <w:t>.</w:t>
      </w:r>
    </w:p>
    <w:p w14:paraId="4E7D018C" w14:textId="293D46E7" w:rsidR="006D36C8" w:rsidRPr="00884D0E" w:rsidRDefault="006D36C8" w:rsidP="00884D0E">
      <w:pPr>
        <w:pStyle w:val="Heading2"/>
      </w:pPr>
      <w:bookmarkStart w:id="16" w:name="_Toc231889745"/>
      <w:bookmarkStart w:id="17" w:name="_Toc2243848"/>
      <w:bookmarkStart w:id="18" w:name="_Toc127964736"/>
      <w:r w:rsidRPr="00884D0E">
        <w:t>Destination and value of exports</w:t>
      </w:r>
      <w:bookmarkEnd w:id="16"/>
      <w:bookmarkEnd w:id="17"/>
      <w:bookmarkEnd w:id="18"/>
    </w:p>
    <w:p w14:paraId="2ED5C5EA" w14:textId="49D2448D" w:rsidR="00C33B4C" w:rsidRPr="00884D0E" w:rsidRDefault="00C33B4C" w:rsidP="00884D0E">
      <w:pPr>
        <w:pStyle w:val="APVMAText"/>
      </w:pPr>
      <w:r w:rsidRPr="00884D0E">
        <w:t xml:space="preserve">Australia exported </w:t>
      </w:r>
      <w:r w:rsidR="003228D4" w:rsidRPr="00884D0E">
        <w:t>5</w:t>
      </w:r>
      <w:r w:rsidR="00F565B4">
        <w:t>,</w:t>
      </w:r>
      <w:r w:rsidR="003228D4" w:rsidRPr="00884D0E">
        <w:t>172</w:t>
      </w:r>
      <w:r w:rsidR="00A478D0">
        <w:t> </w:t>
      </w:r>
      <w:r w:rsidRPr="00884D0E">
        <w:t>kt tonnes of canola</w:t>
      </w:r>
      <w:r w:rsidR="004305F9" w:rsidRPr="00884D0E">
        <w:t>,</w:t>
      </w:r>
      <w:r w:rsidRPr="00884D0E">
        <w:t xml:space="preserve"> 1</w:t>
      </w:r>
      <w:r w:rsidR="003228D4" w:rsidRPr="00884D0E">
        <w:t>87</w:t>
      </w:r>
      <w:r w:rsidR="00A478D0">
        <w:t> </w:t>
      </w:r>
      <w:r w:rsidRPr="00884D0E">
        <w:t xml:space="preserve">kt canola oil </w:t>
      </w:r>
      <w:r w:rsidR="004305F9" w:rsidRPr="00884D0E">
        <w:t>and 7.0</w:t>
      </w:r>
      <w:r w:rsidR="00A478D0">
        <w:t> </w:t>
      </w:r>
      <w:r w:rsidR="004305F9" w:rsidRPr="00884D0E">
        <w:t xml:space="preserve">kt oilseed meal </w:t>
      </w:r>
      <w:r w:rsidRPr="00884D0E">
        <w:t>in the fiscal year 202</w:t>
      </w:r>
      <w:r w:rsidR="003228D4" w:rsidRPr="00884D0E">
        <w:t xml:space="preserve">1 </w:t>
      </w:r>
      <w:r w:rsidRPr="00884D0E">
        <w:t>(</w:t>
      </w:r>
      <w:r w:rsidR="005A7AF5" w:rsidRPr="00884D0E">
        <w:t>Australian Bureau of Agricultural and Resource Economics and Sciences</w:t>
      </w:r>
      <w:r w:rsidR="00EF33D8" w:rsidRPr="00884D0E">
        <w:t xml:space="preserve"> ABARES</w:t>
      </w:r>
      <w:r w:rsidR="005A7AF5" w:rsidRPr="00884D0E">
        <w:t xml:space="preserve">, </w:t>
      </w:r>
      <w:r w:rsidRPr="00884D0E">
        <w:t>Agricultural Commodity Statistics</w:t>
      </w:r>
      <w:r w:rsidR="003521D4" w:rsidRPr="00884D0E">
        <w:t>)</w:t>
      </w:r>
      <w:r w:rsidRPr="00884D0E">
        <w:t>.</w:t>
      </w:r>
      <w:r w:rsidRPr="002B661B">
        <w:rPr>
          <w:vertAlign w:val="superscript"/>
        </w:rPr>
        <w:footnoteReference w:id="3"/>
      </w:r>
      <w:r w:rsidRPr="00884D0E">
        <w:t xml:space="preserve"> Major export destinations were China, Germany, France, The Netherlands, Belgium, Japan, Bangladesh and Pakistan.</w:t>
      </w:r>
    </w:p>
    <w:p w14:paraId="3EC6D648" w14:textId="4F3CD01D" w:rsidR="006D36C8" w:rsidRPr="00A50446" w:rsidRDefault="007B1953" w:rsidP="00A50446">
      <w:pPr>
        <w:pStyle w:val="Heading2"/>
      </w:pPr>
      <w:bookmarkStart w:id="19" w:name="_Toc231889746"/>
      <w:bookmarkStart w:id="20" w:name="_Toc2243849"/>
      <w:bookmarkStart w:id="21" w:name="_Toc127964737"/>
      <w:r w:rsidRPr="00A50446">
        <w:t xml:space="preserve">Proposed Australian use </w:t>
      </w:r>
      <w:proofErr w:type="gramStart"/>
      <w:r w:rsidR="006D36C8" w:rsidRPr="00A50446">
        <w:t>pattern</w:t>
      </w:r>
      <w:bookmarkEnd w:id="19"/>
      <w:bookmarkEnd w:id="20"/>
      <w:bookmarkEnd w:id="21"/>
      <w:proofErr w:type="gramEnd"/>
    </w:p>
    <w:p w14:paraId="6D176F1B" w14:textId="5FC968D9" w:rsidR="006D36C8" w:rsidRPr="00884D0E" w:rsidRDefault="00C103B2" w:rsidP="00884D0E">
      <w:pPr>
        <w:pStyle w:val="APVMAText"/>
      </w:pPr>
      <w:r w:rsidRPr="00884D0E">
        <w:t>Exirel Insecticide (100</w:t>
      </w:r>
      <w:r w:rsidR="002B661B">
        <w:t> </w:t>
      </w:r>
      <w:r w:rsidRPr="00884D0E">
        <w:t xml:space="preserve">g/L </w:t>
      </w:r>
      <w:r w:rsidR="00884D0E" w:rsidRPr="00884D0E">
        <w:t>c</w:t>
      </w:r>
      <w:r w:rsidRPr="00884D0E">
        <w:t>yantraniliprole)</w:t>
      </w:r>
    </w:p>
    <w:p w14:paraId="3AED2408" w14:textId="645C764C" w:rsidR="006D36C8" w:rsidRPr="00884D0E" w:rsidRDefault="006D36C8" w:rsidP="00884D0E">
      <w:pPr>
        <w:pStyle w:val="Caption"/>
      </w:pPr>
      <w:bookmarkStart w:id="22" w:name="_Toc252955168"/>
      <w:bookmarkStart w:id="23" w:name="_Toc127964750"/>
      <w:r w:rsidRPr="00884D0E">
        <w:t xml:space="preserve">Table </w:t>
      </w:r>
      <w:bookmarkStart w:id="24" w:name="_Hlk126313831"/>
      <w:r w:rsidR="00884D0E" w:rsidRPr="00C6360C">
        <w:fldChar w:fldCharType="begin"/>
      </w:r>
      <w:r w:rsidR="00884D0E" w:rsidRPr="00C6360C">
        <w:instrText xml:space="preserve"> SEQ Table \* ARABIC </w:instrText>
      </w:r>
      <w:r w:rsidR="00884D0E" w:rsidRPr="00C6360C">
        <w:fldChar w:fldCharType="separate"/>
      </w:r>
      <w:r w:rsidR="00884D0E">
        <w:rPr>
          <w:noProof/>
        </w:rPr>
        <w:t>1</w:t>
      </w:r>
      <w:r w:rsidR="00884D0E" w:rsidRPr="00C6360C">
        <w:fldChar w:fldCharType="end"/>
      </w:r>
      <w:bookmarkEnd w:id="24"/>
      <w:r w:rsidRPr="00884D0E">
        <w:t>:</w:t>
      </w:r>
      <w:r w:rsidRPr="00884D0E">
        <w:tab/>
        <w:t>Proposed use pattern</w:t>
      </w:r>
      <w:bookmarkEnd w:id="22"/>
      <w:bookmarkEnd w:id="23"/>
    </w:p>
    <w:tbl>
      <w:tblPr>
        <w:tblW w:w="5000" w:type="pct"/>
        <w:tblBorders>
          <w:bottom w:val="single" w:sz="4" w:space="0" w:color="auto"/>
          <w:insideH w:val="single" w:sz="4" w:space="0" w:color="auto"/>
        </w:tblBorders>
        <w:tblLook w:val="0020" w:firstRow="1" w:lastRow="0" w:firstColumn="0" w:lastColumn="0" w:noHBand="0" w:noVBand="0"/>
      </w:tblPr>
      <w:tblGrid>
        <w:gridCol w:w="791"/>
        <w:gridCol w:w="2283"/>
        <w:gridCol w:w="2560"/>
        <w:gridCol w:w="4004"/>
      </w:tblGrid>
      <w:tr w:rsidR="006D36C8" w14:paraId="72B660C5" w14:textId="77777777" w:rsidTr="00A478D0">
        <w:trPr>
          <w:tblHeader/>
        </w:trPr>
        <w:tc>
          <w:tcPr>
            <w:tcW w:w="410" w:type="pct"/>
            <w:tcBorders>
              <w:top w:val="single" w:sz="4" w:space="0" w:color="auto"/>
            </w:tcBorders>
            <w:shd w:val="clear" w:color="auto" w:fill="00747A" w:themeFill="background2"/>
            <w:vAlign w:val="bottom"/>
          </w:tcPr>
          <w:p w14:paraId="368C10F0" w14:textId="77777777" w:rsidR="006D36C8" w:rsidRPr="00884D0E" w:rsidRDefault="006D36C8" w:rsidP="00884D0E">
            <w:pPr>
              <w:pStyle w:val="APVMATableHead"/>
            </w:pPr>
            <w:r w:rsidRPr="00884D0E">
              <w:t>Crop</w:t>
            </w:r>
          </w:p>
        </w:tc>
        <w:tc>
          <w:tcPr>
            <w:tcW w:w="1185" w:type="pct"/>
            <w:tcBorders>
              <w:top w:val="single" w:sz="4" w:space="0" w:color="auto"/>
            </w:tcBorders>
            <w:shd w:val="clear" w:color="auto" w:fill="00747A" w:themeFill="background2"/>
            <w:vAlign w:val="bottom"/>
          </w:tcPr>
          <w:p w14:paraId="36728C59" w14:textId="77777777" w:rsidR="006D36C8" w:rsidRPr="00884D0E" w:rsidRDefault="006D36C8" w:rsidP="00884D0E">
            <w:pPr>
              <w:pStyle w:val="APVMATableHead"/>
            </w:pPr>
            <w:r w:rsidRPr="00884D0E">
              <w:t>Pest</w:t>
            </w:r>
          </w:p>
        </w:tc>
        <w:tc>
          <w:tcPr>
            <w:tcW w:w="1328" w:type="pct"/>
            <w:tcBorders>
              <w:top w:val="single" w:sz="4" w:space="0" w:color="auto"/>
            </w:tcBorders>
            <w:shd w:val="clear" w:color="auto" w:fill="00747A" w:themeFill="background2"/>
            <w:vAlign w:val="bottom"/>
          </w:tcPr>
          <w:p w14:paraId="637EFEE8" w14:textId="2E89F565" w:rsidR="006D36C8" w:rsidRPr="00884D0E" w:rsidRDefault="006D36C8" w:rsidP="00884D0E">
            <w:pPr>
              <w:pStyle w:val="APVMATableHead"/>
            </w:pPr>
            <w:r w:rsidRPr="00884D0E">
              <w:t>Rate/</w:t>
            </w:r>
            <w:r w:rsidR="007368E2" w:rsidRPr="00884D0E">
              <w:t>concentration</w:t>
            </w:r>
          </w:p>
        </w:tc>
        <w:tc>
          <w:tcPr>
            <w:tcW w:w="2077" w:type="pct"/>
            <w:tcBorders>
              <w:top w:val="single" w:sz="4" w:space="0" w:color="auto"/>
            </w:tcBorders>
            <w:shd w:val="clear" w:color="auto" w:fill="00747A" w:themeFill="background2"/>
          </w:tcPr>
          <w:p w14:paraId="1A05FC8D" w14:textId="77777777" w:rsidR="006D36C8" w:rsidRPr="00884D0E" w:rsidRDefault="006D36C8" w:rsidP="00884D0E">
            <w:pPr>
              <w:pStyle w:val="APVMATableHead"/>
            </w:pPr>
            <w:r w:rsidRPr="00884D0E">
              <w:t>Critical comments</w:t>
            </w:r>
          </w:p>
        </w:tc>
      </w:tr>
      <w:tr w:rsidR="00C103B2" w14:paraId="779381D3" w14:textId="77777777" w:rsidTr="00F565B4">
        <w:trPr>
          <w:cantSplit/>
        </w:trPr>
        <w:tc>
          <w:tcPr>
            <w:tcW w:w="410" w:type="pct"/>
            <w:vMerge w:val="restart"/>
          </w:tcPr>
          <w:p w14:paraId="59AB6492" w14:textId="20495EA4" w:rsidR="00C103B2" w:rsidRPr="00884D0E" w:rsidRDefault="00C103B2" w:rsidP="00884D0E">
            <w:pPr>
              <w:pStyle w:val="APVMATableText"/>
            </w:pPr>
            <w:r w:rsidRPr="00884D0E">
              <w:t>Canola</w:t>
            </w:r>
          </w:p>
        </w:tc>
        <w:tc>
          <w:tcPr>
            <w:tcW w:w="1185" w:type="pct"/>
          </w:tcPr>
          <w:p w14:paraId="39823513" w14:textId="0B34FCF9" w:rsidR="00C103B2" w:rsidRPr="00884D0E" w:rsidRDefault="00C103B2" w:rsidP="00884D0E">
            <w:pPr>
              <w:pStyle w:val="APVMATableText"/>
            </w:pPr>
            <w:r w:rsidRPr="00884D0E">
              <w:t xml:space="preserve">Diamondback moth </w:t>
            </w:r>
            <w:r w:rsidRPr="002B661B">
              <w:rPr>
                <w:i/>
                <w:iCs/>
              </w:rPr>
              <w:t>(</w:t>
            </w:r>
            <w:proofErr w:type="spellStart"/>
            <w:r w:rsidRPr="002B661B">
              <w:rPr>
                <w:i/>
                <w:iCs/>
              </w:rPr>
              <w:t>Plutella</w:t>
            </w:r>
            <w:proofErr w:type="spellEnd"/>
            <w:r w:rsidRPr="002B661B">
              <w:rPr>
                <w:i/>
                <w:iCs/>
              </w:rPr>
              <w:t xml:space="preserve"> </w:t>
            </w:r>
            <w:proofErr w:type="spellStart"/>
            <w:r w:rsidRPr="002B661B">
              <w:rPr>
                <w:i/>
                <w:iCs/>
              </w:rPr>
              <w:t>xylostella</w:t>
            </w:r>
            <w:proofErr w:type="spellEnd"/>
            <w:r w:rsidRPr="002B661B">
              <w:rPr>
                <w:i/>
                <w:iCs/>
              </w:rPr>
              <w:t>)</w:t>
            </w:r>
          </w:p>
          <w:p w14:paraId="1F3E0A62" w14:textId="58148E41" w:rsidR="00C103B2" w:rsidRPr="00884D0E" w:rsidRDefault="00C103B2" w:rsidP="00884D0E">
            <w:pPr>
              <w:pStyle w:val="APVMATableText"/>
            </w:pPr>
            <w:r w:rsidRPr="00884D0E">
              <w:t xml:space="preserve">Native budworm </w:t>
            </w:r>
            <w:r w:rsidRPr="002B661B">
              <w:rPr>
                <w:i/>
                <w:iCs/>
              </w:rPr>
              <w:t>(Helicoverpa punctigera)</w:t>
            </w:r>
          </w:p>
        </w:tc>
        <w:tc>
          <w:tcPr>
            <w:tcW w:w="1328" w:type="pct"/>
            <w:vMerge w:val="restart"/>
          </w:tcPr>
          <w:p w14:paraId="2A21272C" w14:textId="2A7F5F36" w:rsidR="00C103B2" w:rsidRPr="00884D0E" w:rsidRDefault="00C103B2" w:rsidP="00A50446">
            <w:pPr>
              <w:pStyle w:val="APVMATableText"/>
            </w:pPr>
            <w:r w:rsidRPr="00884D0E">
              <w:t>150</w:t>
            </w:r>
            <w:r w:rsidR="002B661B">
              <w:t> </w:t>
            </w:r>
            <w:r w:rsidRPr="00884D0E">
              <w:t>mL</w:t>
            </w:r>
            <w:r w:rsidR="00A50446">
              <w:t xml:space="preserve"> plus </w:t>
            </w:r>
            <w:r w:rsidRPr="00884D0E">
              <w:t xml:space="preserve">ethylated seed oil (refer </w:t>
            </w:r>
            <w:r w:rsidR="00A50446">
              <w:t xml:space="preserve">to </w:t>
            </w:r>
            <w:r w:rsidR="002B661B">
              <w:t>s</w:t>
            </w:r>
            <w:r w:rsidRPr="00884D0E">
              <w:t>urfactant/</w:t>
            </w:r>
            <w:r w:rsidR="002B661B">
              <w:t>w</w:t>
            </w:r>
            <w:r w:rsidRPr="00884D0E">
              <w:t>etting agent section)</w:t>
            </w:r>
            <w:r w:rsidR="00A50446">
              <w:t xml:space="preserve"> </w:t>
            </w:r>
            <w:r w:rsidRPr="00884D0E">
              <w:t>(15</w:t>
            </w:r>
            <w:r w:rsidR="002B661B">
              <w:t> </w:t>
            </w:r>
            <w:r w:rsidRPr="00884D0E">
              <w:t>g</w:t>
            </w:r>
            <w:r w:rsidR="002B661B">
              <w:t> </w:t>
            </w:r>
            <w:r w:rsidRPr="00884D0E">
              <w:t>ai/ha)</w:t>
            </w:r>
          </w:p>
        </w:tc>
        <w:tc>
          <w:tcPr>
            <w:tcW w:w="2077" w:type="pct"/>
            <w:tcBorders>
              <w:bottom w:val="single" w:sz="4" w:space="0" w:color="auto"/>
            </w:tcBorders>
          </w:tcPr>
          <w:p w14:paraId="54E88718" w14:textId="6FEB919F" w:rsidR="00C103B2" w:rsidRPr="00884D0E" w:rsidRDefault="00C103B2" w:rsidP="00884D0E">
            <w:pPr>
              <w:pStyle w:val="APVMATableText"/>
            </w:pPr>
            <w:r w:rsidRPr="00884D0E">
              <w:t>Target 1</w:t>
            </w:r>
            <w:r w:rsidRPr="00BA400B">
              <w:t>st</w:t>
            </w:r>
            <w:r w:rsidR="002B661B">
              <w:t xml:space="preserve"> – </w:t>
            </w:r>
            <w:r w:rsidRPr="00884D0E">
              <w:t>3rd instar larvae when they reach the economic spray threshold and before they become entrenched in pods.</w:t>
            </w:r>
          </w:p>
        </w:tc>
      </w:tr>
      <w:tr w:rsidR="00C103B2" w14:paraId="17A5D628" w14:textId="77777777" w:rsidTr="00F565B4">
        <w:trPr>
          <w:cantSplit/>
        </w:trPr>
        <w:tc>
          <w:tcPr>
            <w:tcW w:w="410" w:type="pct"/>
            <w:vMerge/>
          </w:tcPr>
          <w:p w14:paraId="70E8813F" w14:textId="77777777" w:rsidR="00C103B2" w:rsidRPr="00884D0E" w:rsidRDefault="00C103B2" w:rsidP="00884D0E">
            <w:pPr>
              <w:pStyle w:val="APVMATableText"/>
            </w:pPr>
          </w:p>
        </w:tc>
        <w:tc>
          <w:tcPr>
            <w:tcW w:w="1185" w:type="pct"/>
          </w:tcPr>
          <w:p w14:paraId="02FEB6B3" w14:textId="587E44A8" w:rsidR="001E3678" w:rsidRPr="00884D0E" w:rsidRDefault="00C103B2" w:rsidP="00884D0E">
            <w:pPr>
              <w:pStyle w:val="APVMATableText"/>
            </w:pPr>
            <w:r w:rsidRPr="00884D0E">
              <w:t xml:space="preserve">Grey cabbage aphid </w:t>
            </w:r>
            <w:r w:rsidRPr="002B661B">
              <w:rPr>
                <w:i/>
                <w:iCs/>
              </w:rPr>
              <w:t>(</w:t>
            </w:r>
            <w:proofErr w:type="spellStart"/>
            <w:r w:rsidRPr="002B661B">
              <w:rPr>
                <w:i/>
                <w:iCs/>
              </w:rPr>
              <w:t>Brevicoryne</w:t>
            </w:r>
            <w:proofErr w:type="spellEnd"/>
            <w:r w:rsidRPr="002B661B">
              <w:rPr>
                <w:i/>
                <w:iCs/>
              </w:rPr>
              <w:t xml:space="preserve"> </w:t>
            </w:r>
            <w:proofErr w:type="spellStart"/>
            <w:r w:rsidRPr="002B661B">
              <w:rPr>
                <w:i/>
                <w:iCs/>
              </w:rPr>
              <w:t>brassicae</w:t>
            </w:r>
            <w:proofErr w:type="spellEnd"/>
            <w:r w:rsidRPr="002B661B">
              <w:rPr>
                <w:i/>
                <w:iCs/>
              </w:rPr>
              <w:t>)</w:t>
            </w:r>
            <w:r w:rsidRPr="00884D0E">
              <w:t xml:space="preserve"> – suppression only</w:t>
            </w:r>
          </w:p>
          <w:p w14:paraId="22B348FF" w14:textId="00B3A8A1" w:rsidR="00C103B2" w:rsidRPr="00884D0E" w:rsidRDefault="00C103B2" w:rsidP="00884D0E">
            <w:pPr>
              <w:pStyle w:val="APVMATableText"/>
            </w:pPr>
            <w:r w:rsidRPr="00884D0E">
              <w:t xml:space="preserve">Turnip aphid </w:t>
            </w:r>
            <w:r w:rsidRPr="002B661B">
              <w:rPr>
                <w:i/>
                <w:iCs/>
              </w:rPr>
              <w:t>(</w:t>
            </w:r>
            <w:proofErr w:type="spellStart"/>
            <w:r w:rsidRPr="002B661B">
              <w:rPr>
                <w:i/>
                <w:iCs/>
              </w:rPr>
              <w:t>Lipaphis</w:t>
            </w:r>
            <w:proofErr w:type="spellEnd"/>
            <w:r w:rsidRPr="002B661B">
              <w:rPr>
                <w:i/>
                <w:iCs/>
              </w:rPr>
              <w:t xml:space="preserve"> </w:t>
            </w:r>
            <w:proofErr w:type="spellStart"/>
            <w:r w:rsidRPr="002B661B">
              <w:rPr>
                <w:i/>
                <w:iCs/>
              </w:rPr>
              <w:t>erysimi</w:t>
            </w:r>
            <w:proofErr w:type="spellEnd"/>
            <w:r w:rsidRPr="002B661B">
              <w:rPr>
                <w:i/>
                <w:iCs/>
              </w:rPr>
              <w:t>)</w:t>
            </w:r>
            <w:r w:rsidRPr="00884D0E">
              <w:t xml:space="preserve"> – suppression only</w:t>
            </w:r>
          </w:p>
        </w:tc>
        <w:tc>
          <w:tcPr>
            <w:tcW w:w="1328" w:type="pct"/>
            <w:vMerge/>
          </w:tcPr>
          <w:p w14:paraId="530422E5" w14:textId="77777777" w:rsidR="00C103B2" w:rsidRPr="00884D0E" w:rsidRDefault="00C103B2" w:rsidP="00884D0E">
            <w:pPr>
              <w:pStyle w:val="APVMATableText"/>
            </w:pPr>
          </w:p>
        </w:tc>
        <w:tc>
          <w:tcPr>
            <w:tcW w:w="2077" w:type="pct"/>
            <w:tcBorders>
              <w:top w:val="single" w:sz="4" w:space="0" w:color="auto"/>
              <w:bottom w:val="single" w:sz="4" w:space="0" w:color="auto"/>
            </w:tcBorders>
          </w:tcPr>
          <w:p w14:paraId="4FF24FB0" w14:textId="51D3F5EC" w:rsidR="00C103B2" w:rsidRPr="00884D0E" w:rsidRDefault="00C103B2" w:rsidP="00884D0E">
            <w:pPr>
              <w:pStyle w:val="APVMATableText"/>
            </w:pPr>
            <w:r w:rsidRPr="00884D0E">
              <w:t xml:space="preserve">Apply when aphids first appear before a </w:t>
            </w:r>
            <w:r w:rsidR="00A50446" w:rsidRPr="00884D0E">
              <w:t>build-up</w:t>
            </w:r>
            <w:r w:rsidRPr="00884D0E">
              <w:t xml:space="preserve"> of pest numbers – not a salvage option.</w:t>
            </w:r>
          </w:p>
          <w:p w14:paraId="60BB973D" w14:textId="03340671" w:rsidR="00C103B2" w:rsidRPr="00884D0E" w:rsidRDefault="00C103B2" w:rsidP="00884D0E">
            <w:pPr>
              <w:pStyle w:val="APVMATableText"/>
            </w:pPr>
            <w:r w:rsidRPr="00884D0E">
              <w:t>A maximum of one application is to be applied to any one crop per season. Further treatments should be made with alternative mode of action insecticides.</w:t>
            </w:r>
          </w:p>
        </w:tc>
      </w:tr>
    </w:tbl>
    <w:p w14:paraId="751A9E5E" w14:textId="2ACE32EC" w:rsidR="006D36C8" w:rsidRDefault="006D36C8" w:rsidP="00A50446">
      <w:pPr>
        <w:pStyle w:val="Heading3"/>
      </w:pPr>
      <w:bookmarkStart w:id="25" w:name="_Toc127964738"/>
      <w:r>
        <w:lastRenderedPageBreak/>
        <w:t>Withholding periods</w:t>
      </w:r>
      <w:bookmarkEnd w:id="25"/>
    </w:p>
    <w:p w14:paraId="00DCE47E" w14:textId="77777777" w:rsidR="00A50446" w:rsidRDefault="006D36C8" w:rsidP="00A50446">
      <w:pPr>
        <w:pStyle w:val="Heading4"/>
      </w:pPr>
      <w:r>
        <w:t>Harvest</w:t>
      </w:r>
    </w:p>
    <w:p w14:paraId="193A6BCC" w14:textId="58E91524" w:rsidR="006D36C8" w:rsidRDefault="00C103B2" w:rsidP="00A50446">
      <w:pPr>
        <w:pStyle w:val="APVMAText"/>
      </w:pPr>
      <w:r w:rsidRPr="00C103B2">
        <w:t xml:space="preserve">Do not harvest for </w:t>
      </w:r>
      <w:r>
        <w:t>21</w:t>
      </w:r>
      <w:r w:rsidRPr="00C103B2">
        <w:t xml:space="preserve"> days after application.</w:t>
      </w:r>
    </w:p>
    <w:p w14:paraId="6C92F6B6" w14:textId="77777777" w:rsidR="00A50446" w:rsidRDefault="006D36C8" w:rsidP="00A50446">
      <w:pPr>
        <w:pStyle w:val="Heading4"/>
      </w:pPr>
      <w:r>
        <w:t>Grazing</w:t>
      </w:r>
    </w:p>
    <w:p w14:paraId="71462E06" w14:textId="44D64E9F" w:rsidR="006D36C8" w:rsidRDefault="00C103B2" w:rsidP="00383003">
      <w:pPr>
        <w:pStyle w:val="APVMAText"/>
      </w:pPr>
      <w:r w:rsidRPr="00C103B2">
        <w:t>Do not graze or cut for stock food for 14 days after application.</w:t>
      </w:r>
    </w:p>
    <w:p w14:paraId="0F7C22E0" w14:textId="074161FC" w:rsidR="006D36C8" w:rsidRDefault="006D36C8" w:rsidP="00A50446">
      <w:pPr>
        <w:pStyle w:val="Heading3"/>
      </w:pPr>
      <w:bookmarkStart w:id="26" w:name="_Toc127964739"/>
      <w:r>
        <w:t>Trade advice</w:t>
      </w:r>
      <w:bookmarkEnd w:id="26"/>
    </w:p>
    <w:p w14:paraId="254CFE92" w14:textId="6804CBF0" w:rsidR="00A50446" w:rsidRDefault="00A50446" w:rsidP="00A50446">
      <w:pPr>
        <w:pStyle w:val="Heading4"/>
      </w:pPr>
      <w:r>
        <w:t>Export of treated produce</w:t>
      </w:r>
    </w:p>
    <w:p w14:paraId="717FEDCC" w14:textId="082294B6" w:rsidR="00C103B2" w:rsidRDefault="00C103B2" w:rsidP="00C103B2">
      <w:pPr>
        <w:pStyle w:val="APVMAText"/>
      </w:pPr>
      <w:r>
        <w:t>Suitable MRLs or import tolerances for produce treated with Exirel insecticide may not be established in some countries. Consult with your exporter or FMC before applying Exirel insecticide to crops from which produce is to be exported.</w:t>
      </w:r>
    </w:p>
    <w:p w14:paraId="532597D7" w14:textId="2EDE9D5C" w:rsidR="00C103B2" w:rsidRDefault="00A50446" w:rsidP="00A50446">
      <w:pPr>
        <w:pStyle w:val="Heading4"/>
      </w:pPr>
      <w:r>
        <w:t xml:space="preserve">Livestock destined for export </w:t>
      </w:r>
      <w:proofErr w:type="gramStart"/>
      <w:r>
        <w:t>markets</w:t>
      </w:r>
      <w:proofErr w:type="gramEnd"/>
    </w:p>
    <w:p w14:paraId="643F04D8" w14:textId="77777777" w:rsidR="00C103B2" w:rsidRDefault="00C103B2" w:rsidP="00C103B2">
      <w:pPr>
        <w:pStyle w:val="APVMAText"/>
      </w:pPr>
      <w:r>
        <w:t>The grazing withholding period only applies to stock slaughtered for the domestic market. Some export markets apply different standards. To meet these standards, ensure that in addition to complying with the grazing withholding period, the export slaughter interval is observed before stock are sold or slaughtered.</w:t>
      </w:r>
    </w:p>
    <w:p w14:paraId="6C773400" w14:textId="7CC4FB12" w:rsidR="00C103B2" w:rsidRDefault="00A50446" w:rsidP="00A50446">
      <w:pPr>
        <w:pStyle w:val="Heading4"/>
      </w:pPr>
      <w:r>
        <w:t>Export slaughter interval (ESI) 2 days</w:t>
      </w:r>
    </w:p>
    <w:p w14:paraId="5689C3A9" w14:textId="77777777" w:rsidR="00A50446" w:rsidRDefault="00C103B2" w:rsidP="00A50446">
      <w:pPr>
        <w:pStyle w:val="APVMAText"/>
      </w:pPr>
      <w:r>
        <w:t>Livestock that has grazed on or been fed treated crops should be placed on clean feed for 2 days prior to slaughter.</w:t>
      </w:r>
      <w:bookmarkStart w:id="27" w:name="_Toc231889747"/>
      <w:bookmarkStart w:id="28" w:name="_Toc2243850"/>
      <w:r w:rsidR="00A50446">
        <w:br w:type="page"/>
      </w:r>
    </w:p>
    <w:p w14:paraId="28529C15" w14:textId="77CEE08F" w:rsidR="006D36C8" w:rsidRPr="00A50446" w:rsidRDefault="006D36C8" w:rsidP="00A50446">
      <w:pPr>
        <w:pStyle w:val="Heading2"/>
      </w:pPr>
      <w:bookmarkStart w:id="29" w:name="_Toc127964740"/>
      <w:r w:rsidRPr="00A50446">
        <w:lastRenderedPageBreak/>
        <w:t xml:space="preserve">Results from residues trials presented to the </w:t>
      </w:r>
      <w:proofErr w:type="gramStart"/>
      <w:r w:rsidRPr="00A50446">
        <w:t>APVMA</w:t>
      </w:r>
      <w:bookmarkEnd w:id="27"/>
      <w:bookmarkEnd w:id="28"/>
      <w:bookmarkEnd w:id="29"/>
      <w:proofErr w:type="gramEnd"/>
    </w:p>
    <w:p w14:paraId="043A87A8" w14:textId="3C7B2996" w:rsidR="006D36C8" w:rsidRPr="00A50446" w:rsidRDefault="00C103B2" w:rsidP="00A50446">
      <w:pPr>
        <w:pStyle w:val="APVMAText"/>
      </w:pPr>
      <w:r w:rsidRPr="00A50446">
        <w:t>The proposed use of cyantraniliprole on canola is for a single foliar application at 15</w:t>
      </w:r>
      <w:r w:rsidR="00A50446">
        <w:t> </w:t>
      </w:r>
      <w:r w:rsidRPr="00A50446">
        <w:t>g</w:t>
      </w:r>
      <w:r w:rsidR="00A50446">
        <w:t> </w:t>
      </w:r>
      <w:r w:rsidRPr="00A50446">
        <w:t xml:space="preserve">ai/ha in conjunction with a harvest </w:t>
      </w:r>
      <w:r w:rsidR="000A3CFA" w:rsidRPr="00A50446">
        <w:t>withholding period of 21</w:t>
      </w:r>
      <w:r w:rsidR="00A50446">
        <w:t> </w:t>
      </w:r>
      <w:r w:rsidR="000A3CFA" w:rsidRPr="00A50446">
        <w:t xml:space="preserve">days </w:t>
      </w:r>
      <w:r w:rsidRPr="00A50446">
        <w:t>and grazing withholding period of 14</w:t>
      </w:r>
      <w:r w:rsidR="00A50446">
        <w:t> </w:t>
      </w:r>
      <w:r w:rsidRPr="00A50446">
        <w:t xml:space="preserve">days. Seven relevant Australian </w:t>
      </w:r>
      <w:r w:rsidR="00596616" w:rsidRPr="00A50446">
        <w:t xml:space="preserve">residue </w:t>
      </w:r>
      <w:r w:rsidRPr="00A50446">
        <w:t xml:space="preserve">trials </w:t>
      </w:r>
      <w:r w:rsidR="005A7AF5" w:rsidRPr="00A50446">
        <w:t xml:space="preserve">conducted under Good Laboratory Practice (GLP) </w:t>
      </w:r>
      <w:r w:rsidRPr="00A50446">
        <w:t xml:space="preserve">on canola </w:t>
      </w:r>
      <w:r w:rsidR="00596616" w:rsidRPr="00A50446">
        <w:t>(</w:t>
      </w:r>
      <w:r w:rsidRPr="00A50446">
        <w:t>for seed, oil, and stubble</w:t>
      </w:r>
      <w:r w:rsidR="00596616" w:rsidRPr="00A50446">
        <w:t>)</w:t>
      </w:r>
      <w:r w:rsidRPr="00A50446">
        <w:t xml:space="preserve"> have been provided along with 3 relevant Australian </w:t>
      </w:r>
      <w:r w:rsidR="00596616" w:rsidRPr="00A50446">
        <w:t xml:space="preserve">GLP residue </w:t>
      </w:r>
      <w:r w:rsidRPr="00A50446">
        <w:t xml:space="preserve">trials for </w:t>
      </w:r>
      <w:r w:rsidR="009A70E8" w:rsidRPr="00A50446">
        <w:t xml:space="preserve">canola </w:t>
      </w:r>
      <w:r w:rsidRPr="00A50446">
        <w:t xml:space="preserve">forage and 2 non-GLP New Zealand </w:t>
      </w:r>
      <w:r w:rsidR="00596616" w:rsidRPr="00A50446">
        <w:t xml:space="preserve">residue </w:t>
      </w:r>
      <w:r w:rsidRPr="00A50446">
        <w:t>trials on forage rape.</w:t>
      </w:r>
    </w:p>
    <w:p w14:paraId="5B25A551" w14:textId="77777777" w:rsidR="00C103B2" w:rsidRPr="00C103B2" w:rsidRDefault="00C103B2" w:rsidP="00A50446">
      <w:pPr>
        <w:pStyle w:val="Heading3"/>
      </w:pPr>
      <w:bookmarkStart w:id="30" w:name="_Toc127964741"/>
      <w:r w:rsidRPr="00C103B2">
        <w:t>Canola forage</w:t>
      </w:r>
      <w:bookmarkEnd w:id="30"/>
    </w:p>
    <w:p w14:paraId="4BD2E0A0" w14:textId="656FE731" w:rsidR="00C103B2" w:rsidRDefault="00C103B2" w:rsidP="00C103B2">
      <w:pPr>
        <w:pStyle w:val="APVMAText"/>
      </w:pPr>
      <w:r>
        <w:t>Residues of cyantraniliprole in canola forage at 14</w:t>
      </w:r>
      <w:r w:rsidR="00A50446">
        <w:t> </w:t>
      </w:r>
      <w:r>
        <w:t>days after a single application at approximately 15</w:t>
      </w:r>
      <w:r w:rsidR="00A50446">
        <w:t> </w:t>
      </w:r>
      <w:r>
        <w:t>g</w:t>
      </w:r>
      <w:r w:rsidR="00A50446">
        <w:t> </w:t>
      </w:r>
      <w:r>
        <w:t>ai/ha (1× proposed) were 0.2</w:t>
      </w:r>
      <w:r w:rsidR="009A70E8">
        <w:t>1</w:t>
      </w:r>
      <w:r>
        <w:t>, 0.37 and 0.40</w:t>
      </w:r>
      <w:r w:rsidR="00A50446">
        <w:t> </w:t>
      </w:r>
      <w:r>
        <w:t>mg/kg on a dry weight basis. Residues in forage rape from New</w:t>
      </w:r>
      <w:r w:rsidR="00A50446">
        <w:t> </w:t>
      </w:r>
      <w:r>
        <w:t>Zealand trials at 14</w:t>
      </w:r>
      <w:r w:rsidR="00A50446">
        <w:t> </w:t>
      </w:r>
      <w:r>
        <w:t>days after the last of 3 applications at 15</w:t>
      </w:r>
      <w:r w:rsidR="00A50446">
        <w:t> </w:t>
      </w:r>
      <w:r>
        <w:t>g</w:t>
      </w:r>
      <w:r w:rsidR="00A50446">
        <w:t> </w:t>
      </w:r>
      <w:r>
        <w:t>ai/ha (1× proposed</w:t>
      </w:r>
      <w:r w:rsidR="00EF33D8">
        <w:t xml:space="preserve"> per application</w:t>
      </w:r>
      <w:r>
        <w:t>) were 0.29 and 1.2</w:t>
      </w:r>
      <w:r w:rsidR="00A50446">
        <w:t> </w:t>
      </w:r>
      <w:r>
        <w:t xml:space="preserve">mg/kg. Based on the Australian dataset the </w:t>
      </w:r>
      <w:r w:rsidR="005A7AF5" w:rsidRPr="005A7AF5">
        <w:t>Organisation for Economic Cooperation and Development</w:t>
      </w:r>
      <w:r w:rsidR="005A7AF5">
        <w:t xml:space="preserve"> (</w:t>
      </w:r>
      <w:r>
        <w:t>OECD</w:t>
      </w:r>
      <w:r w:rsidR="005A7AF5">
        <w:t>)</w:t>
      </w:r>
      <w:r>
        <w:t xml:space="preserve"> MRL Calculator recommends an MRL of 1</w:t>
      </w:r>
      <w:r w:rsidR="00A50446">
        <w:t> </w:t>
      </w:r>
      <w:r>
        <w:t>mg/kg (STMR= 0.37</w:t>
      </w:r>
      <w:r w:rsidR="00A50446">
        <w:t> </w:t>
      </w:r>
      <w:r>
        <w:t>mg/kg, n=</w:t>
      </w:r>
      <w:r w:rsidR="00A50446">
        <w:t> </w:t>
      </w:r>
      <w:r>
        <w:t>3), noting a high uncertainty due to the small dataset. Based on the full dataset, including the New Zealand forage rape trials involving multiple applications the OECD MRL calculator recommends an MRL of 3</w:t>
      </w:r>
      <w:r w:rsidR="00A50446">
        <w:t> </w:t>
      </w:r>
      <w:r>
        <w:t>mg/kg (</w:t>
      </w:r>
      <w:r w:rsidR="005A7AF5">
        <w:t xml:space="preserve">Supervised Trial Median Residue </w:t>
      </w:r>
      <w:r w:rsidR="00A50446">
        <w:t>(</w:t>
      </w:r>
      <w:r>
        <w:t>STMR</w:t>
      </w:r>
      <w:r w:rsidR="00A50446">
        <w:t>)</w:t>
      </w:r>
      <w:r>
        <w:t xml:space="preserve"> 0.37</w:t>
      </w:r>
      <w:r w:rsidR="00A50446">
        <w:t> </w:t>
      </w:r>
      <w:r>
        <w:t>mg/kg, n=</w:t>
      </w:r>
      <w:r w:rsidR="00A50446">
        <w:t> </w:t>
      </w:r>
      <w:r>
        <w:t>5), noting a high uncertainty due to the small dataset. The cyantraniliprole Primary feed commodities {except Brassica forage crops (kale</w:t>
      </w:r>
      <w:r w:rsidR="00A50446">
        <w:t>,</w:t>
      </w:r>
      <w:r>
        <w:t xml:space="preserve"> rape</w:t>
      </w:r>
      <w:r w:rsidR="00A50446">
        <w:t>,</w:t>
      </w:r>
      <w:r>
        <w:t xml:space="preserve"> swede</w:t>
      </w:r>
      <w:r w:rsidR="00A50446">
        <w:t>,</w:t>
      </w:r>
      <w:r>
        <w:t xml:space="preserve"> turnips); Legume animal feeds} at 1</w:t>
      </w:r>
      <w:r w:rsidR="00A50446">
        <w:t> </w:t>
      </w:r>
      <w:r>
        <w:t>mg/kg should cover residues from the proposed use noting also that an MRL of 3</w:t>
      </w:r>
      <w:r w:rsidR="00A50446">
        <w:t> </w:t>
      </w:r>
      <w:r>
        <w:t>mg/kg is established for cyantraniliprole on Brassica forage crops (kale</w:t>
      </w:r>
      <w:r w:rsidR="00A50446">
        <w:t>,</w:t>
      </w:r>
      <w:r>
        <w:t xml:space="preserve"> rape</w:t>
      </w:r>
      <w:r w:rsidR="00A50446">
        <w:t>,</w:t>
      </w:r>
      <w:r>
        <w:t xml:space="preserve"> swede</w:t>
      </w:r>
      <w:r w:rsidR="00A50446">
        <w:t>,</w:t>
      </w:r>
      <w:r>
        <w:t xml:space="preserve"> turnips) which includes rape grown specifically as a forage crop</w:t>
      </w:r>
      <w:r w:rsidR="009A70E8">
        <w:t xml:space="preserve"> (as currently registered for Exirel)</w:t>
      </w:r>
      <w:r>
        <w:t>.</w:t>
      </w:r>
    </w:p>
    <w:p w14:paraId="1E4EFF41" w14:textId="31C9E048" w:rsidR="000A3CFA" w:rsidRPr="000A3CFA" w:rsidRDefault="000A3CFA" w:rsidP="00A50446">
      <w:pPr>
        <w:pStyle w:val="Heading3"/>
      </w:pPr>
      <w:bookmarkStart w:id="31" w:name="_Toc127964742"/>
      <w:r w:rsidRPr="000A3CFA">
        <w:t>Canola seed</w:t>
      </w:r>
      <w:bookmarkEnd w:id="31"/>
    </w:p>
    <w:p w14:paraId="57A3295E" w14:textId="2ABF70E2" w:rsidR="000A3CFA" w:rsidRPr="00A50446" w:rsidRDefault="000A3CFA" w:rsidP="00A50446">
      <w:pPr>
        <w:pStyle w:val="APVMAText"/>
      </w:pPr>
      <w:r w:rsidRPr="00A50446">
        <w:t xml:space="preserve">Residues of cyantraniliprole in canola seed at 14 </w:t>
      </w:r>
      <w:r w:rsidR="00A50446" w:rsidRPr="00A50446">
        <w:t>to</w:t>
      </w:r>
      <w:r w:rsidRPr="00A50446">
        <w:t xml:space="preserve"> 15 days (or later if residues increased) after application at approximately 15</w:t>
      </w:r>
      <w:r w:rsidR="00A50446" w:rsidRPr="00A50446">
        <w:t> </w:t>
      </w:r>
      <w:r w:rsidRPr="00A50446">
        <w:t>g</w:t>
      </w:r>
      <w:r w:rsidR="00A50446" w:rsidRPr="00A50446">
        <w:t> </w:t>
      </w:r>
      <w:r w:rsidRPr="00A50446">
        <w:t>ai/ha (1× proposed) from trials conducted in 2021 and 2009 were &lt;0.003, &lt;0.003 and 0.01</w:t>
      </w:r>
      <w:r w:rsidR="00A50446" w:rsidRPr="00A50446">
        <w:t> </w:t>
      </w:r>
      <w:r w:rsidRPr="00A50446">
        <w:t>mg/kg. Two of these 3 trials involved application of a desiccant at 6 days prior to harvest. In further trials (from 2021, 2017 and 2009) sampling at 19</w:t>
      </w:r>
      <w:r w:rsidR="00A50446" w:rsidRPr="00A50446">
        <w:t xml:space="preserve"> to </w:t>
      </w:r>
      <w:r w:rsidRPr="00A50446">
        <w:t xml:space="preserve">23 days after application (or 5 </w:t>
      </w:r>
      <w:r w:rsidR="00A50446" w:rsidRPr="00A50446">
        <w:t>to</w:t>
      </w:r>
      <w:r w:rsidRPr="00A50446">
        <w:t xml:space="preserve"> 9 days after desiccation) at approximately 15</w:t>
      </w:r>
      <w:r w:rsidR="00A50446" w:rsidRPr="00A50446">
        <w:t> </w:t>
      </w:r>
      <w:r w:rsidRPr="00A50446">
        <w:t>g</w:t>
      </w:r>
      <w:r w:rsidR="00A50446" w:rsidRPr="00A50446">
        <w:t> </w:t>
      </w:r>
      <w:r w:rsidRPr="00A50446">
        <w:t xml:space="preserve">ai/ha (1× proposed) </w:t>
      </w:r>
      <w:r w:rsidR="00435A00" w:rsidRPr="00A50446">
        <w:t xml:space="preserve">residues </w:t>
      </w:r>
      <w:r w:rsidRPr="00A50446">
        <w:t>were &lt;0.003, &lt;0.003, &lt;0.01 and 0.01</w:t>
      </w:r>
      <w:r w:rsidR="00A50446" w:rsidRPr="00A50446">
        <w:t> </w:t>
      </w:r>
      <w:r w:rsidRPr="00A50446">
        <w:t>mg/kg. All of these trials involved application of a desiccant prior to harvest.</w:t>
      </w:r>
    </w:p>
    <w:p w14:paraId="2976E34D" w14:textId="62776D4F" w:rsidR="000A3CFA" w:rsidRPr="00A50446" w:rsidRDefault="000A3CFA" w:rsidP="00A50446">
      <w:pPr>
        <w:pStyle w:val="APVMAText"/>
      </w:pPr>
      <w:r w:rsidRPr="00A50446">
        <w:t>Chemical desiccation is an alternative to windrowing and very effective where crops have lodged or where weeds have emerged in maturing crops. The most commonly used desiccant is diquat (</w:t>
      </w:r>
      <w:proofErr w:type="spellStart"/>
      <w:r w:rsidRPr="00A50446">
        <w:t>Reglone</w:t>
      </w:r>
      <w:proofErr w:type="spellEnd"/>
      <w:r w:rsidRPr="00A50446">
        <w:t xml:space="preserve">®), which is registered for aerial application </w:t>
      </w:r>
      <w:r w:rsidR="0086444B" w:rsidRPr="00A50446">
        <w:t>to</w:t>
      </w:r>
      <w:r w:rsidRPr="00A50446">
        <w:t xml:space="preserve"> canola crops.</w:t>
      </w:r>
      <w:r w:rsidRPr="00A50446">
        <w:rPr>
          <w:rStyle w:val="FootnoteReference"/>
        </w:rPr>
        <w:footnoteReference w:id="4"/>
      </w:r>
    </w:p>
    <w:p w14:paraId="50FAC6E1" w14:textId="6D693BDF" w:rsidR="000A3CFA" w:rsidRPr="00A50446" w:rsidRDefault="000A3CFA" w:rsidP="00A50446">
      <w:pPr>
        <w:pStyle w:val="APVMAText"/>
      </w:pPr>
      <w:r w:rsidRPr="00A50446">
        <w:t>Application of a desiccant would be expected to kill the plant and stop metabolism of the active ingredient. The trials involving application of a desiccant should therefore be expected to be the worst case for residues. This may also reflect normal agricultural practices where canola is typically desiccated prior to harvest. It is noted that a withholding period is defined as the minimum period between the last use of the product and the harvesting or cutting of the crop.</w:t>
      </w:r>
      <w:r w:rsidRPr="00A50446">
        <w:rPr>
          <w:rStyle w:val="FootnoteReference"/>
        </w:rPr>
        <w:footnoteReference w:id="5"/>
      </w:r>
      <w:r w:rsidRPr="00A50446">
        <w:t xml:space="preserve"> The use of an additional chemical to desiccate the crop is not clearly</w:t>
      </w:r>
      <w:r>
        <w:t xml:space="preserve"> </w:t>
      </w:r>
      <w:r w:rsidRPr="00A50446">
        <w:lastRenderedPageBreak/>
        <w:t xml:space="preserve">defined in relation to the withholding period required for the initial pesticide product but it </w:t>
      </w:r>
      <w:r w:rsidR="00A06E8E" w:rsidRPr="00A50446">
        <w:t>would be</w:t>
      </w:r>
      <w:r w:rsidRPr="00A50446">
        <w:t xml:space="preserve"> considered prudent to consider the withholding period as the interval between the last treatment of the pesticide and desiccation as a worst case given that the desiccant is expected kill the plant and stop metabolism of the active ingredient. </w:t>
      </w:r>
    </w:p>
    <w:p w14:paraId="1CEECAE0" w14:textId="6D27B736" w:rsidR="00C103B2" w:rsidRPr="00A50446" w:rsidRDefault="000A3CFA" w:rsidP="00A50446">
      <w:pPr>
        <w:pStyle w:val="APVMAText"/>
      </w:pPr>
      <w:r w:rsidRPr="00A50446">
        <w:t>Based on all the data points for canola seed (&lt;0.01 (5), 0.01 and 0.01</w:t>
      </w:r>
      <w:r w:rsidR="00A50446" w:rsidRPr="00A50446">
        <w:t> </w:t>
      </w:r>
      <w:r w:rsidRPr="00A50446">
        <w:t>mg/kg) the OECD MRL calculator recommends an MRL of 0.02</w:t>
      </w:r>
      <w:r w:rsidR="00A50446" w:rsidRPr="00A50446">
        <w:t> </w:t>
      </w:r>
      <w:r w:rsidRPr="00A50446">
        <w:t>mg/kg (STMR=</w:t>
      </w:r>
      <w:r w:rsidR="00A50446" w:rsidRPr="00A50446">
        <w:t> </w:t>
      </w:r>
      <w:r w:rsidRPr="00A50446">
        <w:t>0.01</w:t>
      </w:r>
      <w:r w:rsidR="00A50446" w:rsidRPr="00A50446">
        <w:t> </w:t>
      </w:r>
      <w:r w:rsidRPr="00A50446">
        <w:t>mg/kg, n=</w:t>
      </w:r>
      <w:r w:rsidR="00A50446" w:rsidRPr="00A50446">
        <w:t> </w:t>
      </w:r>
      <w:r w:rsidRPr="00A50446">
        <w:t>7) noting a high uncertainty due to the small dataset and high level of censoring</w:t>
      </w:r>
      <w:r w:rsidR="009E228D" w:rsidRPr="00A50446">
        <w:t xml:space="preserve"> (i.e. results &lt;LOQ, Limit of Quantitation)</w:t>
      </w:r>
      <w:r w:rsidRPr="00A50446">
        <w:t>. An MRL of 0.03</w:t>
      </w:r>
      <w:r w:rsidR="00A50446" w:rsidRPr="00A50446">
        <w:t> </w:t>
      </w:r>
      <w:r w:rsidRPr="00A50446">
        <w:t>mg/kg will be recommended for cyantraniliprole on SO 0495 Rape seed [canola] to cover the proposed use, replacing the current temporary MRL at the same level. As there were only 3 data point</w:t>
      </w:r>
      <w:r w:rsidR="003521D4" w:rsidRPr="00A50446">
        <w:t>s</w:t>
      </w:r>
      <w:r w:rsidRPr="00A50446">
        <w:t xml:space="preserve"> around 14 days after application, the supported harvest withholding period is 21 days.</w:t>
      </w:r>
    </w:p>
    <w:p w14:paraId="1FB80C9D" w14:textId="77777777" w:rsidR="000A3CFA" w:rsidRPr="000A3CFA" w:rsidRDefault="000A3CFA" w:rsidP="00A50446">
      <w:pPr>
        <w:pStyle w:val="Heading3"/>
      </w:pPr>
      <w:bookmarkStart w:id="32" w:name="_Toc127964743"/>
      <w:r w:rsidRPr="000A3CFA">
        <w:t>Canola oil</w:t>
      </w:r>
      <w:bookmarkEnd w:id="32"/>
    </w:p>
    <w:p w14:paraId="6B7161AF" w14:textId="5E578BF2" w:rsidR="000A3CFA" w:rsidRDefault="000A3CFA" w:rsidP="000A3CFA">
      <w:pPr>
        <w:pStyle w:val="APVMAText"/>
      </w:pPr>
      <w:r>
        <w:t xml:space="preserve">Residues of cyantraniliprole in canola oil at 14 </w:t>
      </w:r>
      <w:r w:rsidR="00A50446">
        <w:t>to</w:t>
      </w:r>
      <w:r>
        <w:t xml:space="preserve"> 15 days (or later if residues increased) after application at approximately 15</w:t>
      </w:r>
      <w:r w:rsidR="00A50446" w:rsidRPr="00A50446">
        <w:t> </w:t>
      </w:r>
      <w:r>
        <w:t>g</w:t>
      </w:r>
      <w:r w:rsidR="00A50446" w:rsidRPr="00A50446">
        <w:t> </w:t>
      </w:r>
      <w:r>
        <w:t>ai/ha (1× proposed) were &lt;0.003, &lt;0.003 and 0.01</w:t>
      </w:r>
      <w:r w:rsidR="00A50446" w:rsidRPr="00A50446">
        <w:t> </w:t>
      </w:r>
      <w:r>
        <w:t>mg/kg. Two of these 3 trials involved application of a desiccant prior to harvest. In further trials sampling at 19</w:t>
      </w:r>
      <w:r w:rsidR="00A478D0">
        <w:t xml:space="preserve"> to </w:t>
      </w:r>
      <w:r>
        <w:t>23 days after application at approximately 15</w:t>
      </w:r>
      <w:r w:rsidR="00A50446" w:rsidRPr="00A50446">
        <w:t> </w:t>
      </w:r>
      <w:r>
        <w:t>g</w:t>
      </w:r>
      <w:r w:rsidR="00A50446" w:rsidRPr="00A50446">
        <w:t> </w:t>
      </w:r>
      <w:r>
        <w:t xml:space="preserve">ai/ha (1× proposed) </w:t>
      </w:r>
      <w:r w:rsidR="00435A00">
        <w:t xml:space="preserve">residues </w:t>
      </w:r>
      <w:r>
        <w:t>were &lt;0.003, &lt;0.01, 0.0</w:t>
      </w:r>
      <w:r w:rsidR="009A70E8">
        <w:t>2</w:t>
      </w:r>
      <w:r>
        <w:t xml:space="preserve"> and 0.02</w:t>
      </w:r>
      <w:r w:rsidR="00A50446" w:rsidRPr="00A50446">
        <w:t> </w:t>
      </w:r>
      <w:r>
        <w:t>mg/kg. All of these trials involved application of a desiccant prior to harvest. Based on all the data points (&lt;0.01 (4), 0.01, 0.0</w:t>
      </w:r>
      <w:r w:rsidR="009A70E8">
        <w:t>2</w:t>
      </w:r>
      <w:r>
        <w:t xml:space="preserve"> and 0.02</w:t>
      </w:r>
      <w:r w:rsidR="00A50446" w:rsidRPr="00A50446">
        <w:t> </w:t>
      </w:r>
      <w:r>
        <w:t>mg/kg) the OECD MRL calculator recommends an MRL of 0.04</w:t>
      </w:r>
      <w:r w:rsidR="00A50446" w:rsidRPr="00A50446">
        <w:t> </w:t>
      </w:r>
      <w:r>
        <w:t>mg/kg (unrounded 0.03</w:t>
      </w:r>
      <w:r w:rsidR="009A70E8">
        <w:t>2</w:t>
      </w:r>
      <w:r w:rsidR="00A50446" w:rsidRPr="00A50446">
        <w:t> </w:t>
      </w:r>
      <w:r>
        <w:t>mg/kg, STMR=</w:t>
      </w:r>
      <w:r w:rsidR="00A50446" w:rsidRPr="00A50446">
        <w:t> </w:t>
      </w:r>
      <w:r>
        <w:t>0.01</w:t>
      </w:r>
      <w:r w:rsidR="00A50446" w:rsidRPr="00A50446">
        <w:t> </w:t>
      </w:r>
      <w:r>
        <w:t>mg/kg, n=</w:t>
      </w:r>
      <w:r w:rsidR="00A50446" w:rsidRPr="00A50446">
        <w:t> </w:t>
      </w:r>
      <w:r>
        <w:t>7), noting a high uncertainty due to the small dataset and high level of censoring</w:t>
      </w:r>
      <w:r w:rsidR="009E228D">
        <w:t xml:space="preserve"> (i.e. results &lt;LOQ)</w:t>
      </w:r>
      <w:r>
        <w:t xml:space="preserve">. Residues in canola oil will be covered </w:t>
      </w:r>
      <w:bookmarkStart w:id="33" w:name="_Hlk124411739"/>
      <w:r>
        <w:t>by the MRL of 0.03</w:t>
      </w:r>
      <w:r w:rsidR="00A50446" w:rsidRPr="00A50446">
        <w:t> </w:t>
      </w:r>
      <w:r>
        <w:t>mg/kg recommended above for SO</w:t>
      </w:r>
      <w:r w:rsidR="00A50446" w:rsidRPr="00A50446">
        <w:t> </w:t>
      </w:r>
      <w:r>
        <w:t>0495 Rape seed [canola]</w:t>
      </w:r>
      <w:bookmarkEnd w:id="33"/>
      <w:r>
        <w:t>, noting also that oil will be bulked and blended.</w:t>
      </w:r>
    </w:p>
    <w:p w14:paraId="1341C7D8" w14:textId="77777777" w:rsidR="000A3CFA" w:rsidRPr="000A3CFA" w:rsidRDefault="000A3CFA" w:rsidP="00A50446">
      <w:pPr>
        <w:pStyle w:val="Heading3"/>
      </w:pPr>
      <w:bookmarkStart w:id="34" w:name="_Toc127964744"/>
      <w:r w:rsidRPr="000A3CFA">
        <w:t>Canola stubble</w:t>
      </w:r>
      <w:bookmarkEnd w:id="34"/>
    </w:p>
    <w:p w14:paraId="2533AAF2" w14:textId="5A7E508D" w:rsidR="000A3CFA" w:rsidRDefault="000A3CFA" w:rsidP="000A3CFA">
      <w:pPr>
        <w:pStyle w:val="APVMAText"/>
      </w:pPr>
      <w:r>
        <w:t xml:space="preserve">Residues of cyantraniliprole in canola stubble at 14 </w:t>
      </w:r>
      <w:r w:rsidR="00A50446">
        <w:t>to</w:t>
      </w:r>
      <w:r>
        <w:t xml:space="preserve"> 15 days after application at approximately 15</w:t>
      </w:r>
      <w:r w:rsidR="00A50446" w:rsidRPr="00A50446">
        <w:t> </w:t>
      </w:r>
      <w:r>
        <w:t>g</w:t>
      </w:r>
      <w:r w:rsidR="00A50446" w:rsidRPr="00A50446">
        <w:t> </w:t>
      </w:r>
      <w:r>
        <w:t>ai/ha (1× proposed) were &lt;0.003, &lt;0.01 and 0.15</w:t>
      </w:r>
      <w:r w:rsidR="00A50446" w:rsidRPr="00A50446">
        <w:t> </w:t>
      </w:r>
      <w:r>
        <w:t>mg/kg on a dry weight basis. Two of these 3 trials involved application of a desiccant prior to harvest. In further trials sampling at 19</w:t>
      </w:r>
      <w:r w:rsidR="00A50446">
        <w:t xml:space="preserve"> to </w:t>
      </w:r>
      <w:r>
        <w:t xml:space="preserve">23 days after application at approximately 15 g ai/ha (1× proposed) </w:t>
      </w:r>
      <w:r w:rsidR="00435A00">
        <w:t xml:space="preserve">residues </w:t>
      </w:r>
      <w:r>
        <w:t>were 0.06, 0.08, 0.08 and 0.4</w:t>
      </w:r>
      <w:r w:rsidR="00084EE1">
        <w:t>4</w:t>
      </w:r>
      <w:r w:rsidR="00A50446" w:rsidRPr="00A50446">
        <w:t> </w:t>
      </w:r>
      <w:r>
        <w:t>mg/kg on a dry weight basis. All of these trials involved application of a desiccant prior to harvest. Based on all the data points (&lt;0.01 (2), 0.06, 0.08, 0.08, 0.15 and 0.4</w:t>
      </w:r>
      <w:r w:rsidR="00084EE1">
        <w:t>4</w:t>
      </w:r>
      <w:r w:rsidR="00A50446" w:rsidRPr="00A50446">
        <w:t> </w:t>
      </w:r>
      <w:r>
        <w:t>mg/kg) the OECD MRL calculator recommends an MRL of 0.8</w:t>
      </w:r>
      <w:r w:rsidR="00A50446" w:rsidRPr="00A50446">
        <w:t> </w:t>
      </w:r>
      <w:r>
        <w:t>mg/kg (STMR= 0.08</w:t>
      </w:r>
      <w:r w:rsidR="00A50446" w:rsidRPr="00A50446">
        <w:t> </w:t>
      </w:r>
      <w:r>
        <w:t>mg/kg, n=</w:t>
      </w:r>
      <w:r w:rsidR="00A50446" w:rsidRPr="00A50446">
        <w:t> </w:t>
      </w:r>
      <w:r>
        <w:t xml:space="preserve">7) noting a high uncertainty due to the small dataset. Residues of cyantraniliprole in canola stubble after a </w:t>
      </w:r>
      <w:r w:rsidR="00A50446">
        <w:t>21-day</w:t>
      </w:r>
      <w:r>
        <w:t xml:space="preserve"> harvest withholding period will be covered by the current MRL of 1</w:t>
      </w:r>
      <w:r w:rsidR="00A50446" w:rsidRPr="00A50446">
        <w:t> </w:t>
      </w:r>
      <w:r>
        <w:t>mg/kg for Primary feed commodities {except Brassica forage crops (kale</w:t>
      </w:r>
      <w:r w:rsidR="00A50446">
        <w:t>,</w:t>
      </w:r>
      <w:r>
        <w:t xml:space="preserve"> rape</w:t>
      </w:r>
      <w:r w:rsidR="00A50446">
        <w:t>,</w:t>
      </w:r>
      <w:r>
        <w:t xml:space="preserve"> swede</w:t>
      </w:r>
      <w:r w:rsidR="00A50446">
        <w:t>,</w:t>
      </w:r>
      <w:r>
        <w:t xml:space="preserve"> turnips); Legume animal feeds}.</w:t>
      </w:r>
    </w:p>
    <w:p w14:paraId="4078385B" w14:textId="3303DA6F" w:rsidR="004A145E" w:rsidRDefault="004A145E" w:rsidP="00A50446">
      <w:pPr>
        <w:pStyle w:val="Heading3"/>
      </w:pPr>
      <w:bookmarkStart w:id="35" w:name="_Toc127964745"/>
      <w:r>
        <w:t>Canola meal</w:t>
      </w:r>
      <w:bookmarkEnd w:id="35"/>
    </w:p>
    <w:p w14:paraId="7791862E" w14:textId="77777777" w:rsidR="00A50446" w:rsidRDefault="004A145E" w:rsidP="000A3CFA">
      <w:pPr>
        <w:pStyle w:val="APVMAText"/>
        <w:sectPr w:rsidR="00A50446">
          <w:headerReference w:type="even" r:id="rId25"/>
          <w:pgSz w:w="11906" w:h="16838" w:code="9"/>
          <w:pgMar w:top="2835" w:right="1134" w:bottom="1134" w:left="1134" w:header="1701" w:footer="680" w:gutter="0"/>
          <w:cols w:space="708"/>
          <w:docGrid w:linePitch="360"/>
        </w:sectPr>
      </w:pPr>
      <w:r>
        <w:t xml:space="preserve">A processing study for canola meal is not available. However, processing factors for cyantraniliprole were &lt;1 for cottonseed meal in cotton processing studies </w:t>
      </w:r>
      <w:r w:rsidR="00D41CA6">
        <w:t xml:space="preserve">provided by the applicant and </w:t>
      </w:r>
      <w:r>
        <w:t xml:space="preserve">reported by the 2013 and 2015 </w:t>
      </w:r>
      <w:r w:rsidRPr="004A145E">
        <w:t>U</w:t>
      </w:r>
      <w:r w:rsidR="00A50446">
        <w:t xml:space="preserve">nited Nations </w:t>
      </w:r>
      <w:r w:rsidRPr="004A145E">
        <w:t xml:space="preserve">Food and Agriculture Organization (FAO) and the World Health Organization (WHO) </w:t>
      </w:r>
      <w:r>
        <w:t>Joint Meeting on Pesticide Residues (JMPR). Residues in canola meal should be covered by the MRL of 0.03</w:t>
      </w:r>
      <w:r w:rsidR="00A50446" w:rsidRPr="00A50446">
        <w:t> </w:t>
      </w:r>
      <w:r>
        <w:t>mg/kg recommended above for SO 0495 Rape seed [canola].</w:t>
      </w:r>
    </w:p>
    <w:p w14:paraId="0CB29406" w14:textId="12455002" w:rsidR="006D36C8" w:rsidRPr="00A50446" w:rsidRDefault="00957A91" w:rsidP="00A50446">
      <w:pPr>
        <w:pStyle w:val="Heading2"/>
      </w:pPr>
      <w:bookmarkStart w:id="36" w:name="_Toc231889749"/>
      <w:bookmarkStart w:id="37" w:name="_Toc2243852"/>
      <w:bookmarkStart w:id="38" w:name="_Toc127964746"/>
      <w:r w:rsidRPr="00A50446">
        <w:lastRenderedPageBreak/>
        <w:t>Codex Alimentarius C</w:t>
      </w:r>
      <w:r w:rsidR="006D36C8" w:rsidRPr="00A50446">
        <w:t>ommission and overseas MRLs</w:t>
      </w:r>
      <w:bookmarkEnd w:id="36"/>
      <w:bookmarkEnd w:id="37"/>
      <w:bookmarkEnd w:id="38"/>
    </w:p>
    <w:p w14:paraId="39E5714A" w14:textId="0FBA8FB9" w:rsidR="006D36C8" w:rsidRPr="00A50446" w:rsidRDefault="006D36C8" w:rsidP="00A50446">
      <w:pPr>
        <w:pStyle w:val="APVMAText"/>
      </w:pPr>
      <w:r w:rsidRPr="00A50446">
        <w:t>The Codex Alimentarius Commission (Codex) is responsible for establishing Codex Maximum Residue Limits (CXLs) for pesticides</w:t>
      </w:r>
      <w:r w:rsidR="00B061D3" w:rsidRPr="00A50446">
        <w:t xml:space="preserve"> and veterinary medicines</w:t>
      </w:r>
      <w:r w:rsidRPr="00A50446">
        <w:t xml:space="preserve">. Codex CXLs are primarily intended to facilitate international </w:t>
      </w:r>
      <w:r w:rsidR="00B43A5B" w:rsidRPr="00A50446">
        <w:t>trade and</w:t>
      </w:r>
      <w:r w:rsidRPr="00A50446">
        <w:t xml:space="preserve"> accommodate differences in Good Agricultural Practice (GAP) employed by various countries. Some countries may accept Codex CXLs when importing foods. </w:t>
      </w:r>
      <w:r w:rsidR="0083282C" w:rsidRPr="00A50446">
        <w:t>Cyantraniliprole</w:t>
      </w:r>
      <w:r w:rsidRPr="00A50446">
        <w:t xml:space="preserve"> has</w:t>
      </w:r>
      <w:r w:rsidR="00021A6A" w:rsidRPr="00A50446">
        <w:t xml:space="preserve"> been</w:t>
      </w:r>
      <w:r w:rsidRPr="00A50446">
        <w:t xml:space="preserve"> considered by Codex.</w:t>
      </w:r>
      <w:r w:rsidR="00BA67F0" w:rsidRPr="00A50446">
        <w:t xml:space="preserve"> </w:t>
      </w:r>
      <w:r w:rsidRPr="00A50446">
        <w:t>The following relevant Codex CXLs</w:t>
      </w:r>
      <w:r w:rsidR="0083282C" w:rsidRPr="00A50446">
        <w:t xml:space="preserve"> and international MRLs </w:t>
      </w:r>
      <w:r w:rsidRPr="00A50446">
        <w:t xml:space="preserve">have been established for </w:t>
      </w:r>
      <w:r w:rsidR="0083282C" w:rsidRPr="00A50446">
        <w:t>cyantraniliprole</w:t>
      </w:r>
      <w:r w:rsidRPr="00A50446">
        <w:t>.</w:t>
      </w:r>
    </w:p>
    <w:p w14:paraId="3237E5D2" w14:textId="2CDD7B6E" w:rsidR="006D36C8" w:rsidRPr="00A50446" w:rsidRDefault="006D36C8" w:rsidP="00A50446">
      <w:pPr>
        <w:pStyle w:val="Caption"/>
      </w:pPr>
      <w:bookmarkStart w:id="39" w:name="_Toc252955169"/>
      <w:bookmarkStart w:id="40" w:name="_Toc127964751"/>
      <w:r w:rsidRPr="00A50446">
        <w:t xml:space="preserve">Table </w:t>
      </w:r>
      <w:r w:rsidR="00D23E36">
        <w:fldChar w:fldCharType="begin"/>
      </w:r>
      <w:r w:rsidR="00D23E36">
        <w:instrText xml:space="preserve"> SEQ Table \* ARABIC </w:instrText>
      </w:r>
      <w:r w:rsidR="00D23E36">
        <w:fldChar w:fldCharType="separate"/>
      </w:r>
      <w:r w:rsidR="00A50446" w:rsidRPr="00A50446">
        <w:t>2</w:t>
      </w:r>
      <w:r w:rsidR="00D23E36">
        <w:fldChar w:fldCharType="end"/>
      </w:r>
      <w:r w:rsidRPr="00A50446">
        <w:t>:</w:t>
      </w:r>
      <w:r w:rsidRPr="00A50446">
        <w:tab/>
      </w:r>
      <w:bookmarkEnd w:id="39"/>
      <w:r w:rsidR="00A60AF1" w:rsidRPr="00A50446">
        <w:t xml:space="preserve">Codex and </w:t>
      </w:r>
      <w:r w:rsidR="0083282C" w:rsidRPr="00A50446">
        <w:t>International MRLs for cyantraniliprole</w:t>
      </w:r>
      <w:bookmarkEnd w:id="40"/>
    </w:p>
    <w:tbl>
      <w:tblPr>
        <w:tblpPr w:leftFromText="180" w:rightFromText="180" w:vertAnchor="text" w:tblpY="1"/>
        <w:tblOverlap w:val="never"/>
        <w:tblW w:w="5122" w:type="pct"/>
        <w:tblLook w:val="04A0" w:firstRow="1" w:lastRow="0" w:firstColumn="1" w:lastColumn="0" w:noHBand="0" w:noVBand="1"/>
      </w:tblPr>
      <w:tblGrid>
        <w:gridCol w:w="1911"/>
        <w:gridCol w:w="1994"/>
        <w:gridCol w:w="1994"/>
        <w:gridCol w:w="1994"/>
        <w:gridCol w:w="1994"/>
        <w:gridCol w:w="1994"/>
        <w:gridCol w:w="1054"/>
        <w:gridCol w:w="1991"/>
      </w:tblGrid>
      <w:tr w:rsidR="0083282C" w:rsidRPr="004D3DFC" w14:paraId="1C16CC42" w14:textId="77777777" w:rsidTr="00A50446">
        <w:trPr>
          <w:tblHeader/>
        </w:trPr>
        <w:tc>
          <w:tcPr>
            <w:tcW w:w="640" w:type="pct"/>
            <w:vMerge w:val="restart"/>
            <w:tcBorders>
              <w:top w:val="single" w:sz="4" w:space="0" w:color="auto"/>
            </w:tcBorders>
            <w:shd w:val="clear" w:color="auto" w:fill="00686E" w:themeFill="background2" w:themeFillShade="E6"/>
            <w:vAlign w:val="center"/>
          </w:tcPr>
          <w:p w14:paraId="40B27661" w14:textId="77777777" w:rsidR="0083282C" w:rsidRPr="00A50446" w:rsidRDefault="0083282C" w:rsidP="00A50446">
            <w:pPr>
              <w:pStyle w:val="APVMATableHead"/>
            </w:pPr>
            <w:r w:rsidRPr="00A50446">
              <w:t>Commodity</w:t>
            </w:r>
          </w:p>
        </w:tc>
        <w:tc>
          <w:tcPr>
            <w:tcW w:w="4360" w:type="pct"/>
            <w:gridSpan w:val="7"/>
            <w:tcBorders>
              <w:top w:val="single" w:sz="4" w:space="0" w:color="auto"/>
              <w:bottom w:val="single" w:sz="4" w:space="0" w:color="auto"/>
            </w:tcBorders>
            <w:shd w:val="clear" w:color="auto" w:fill="00686E" w:themeFill="background2" w:themeFillShade="E6"/>
          </w:tcPr>
          <w:p w14:paraId="1974420E" w14:textId="5F506302" w:rsidR="0083282C" w:rsidRPr="00A50446" w:rsidRDefault="0083282C" w:rsidP="00A50446">
            <w:pPr>
              <w:pStyle w:val="APVMATableHead"/>
            </w:pPr>
            <w:r w:rsidRPr="00A50446">
              <w:t xml:space="preserve">Tolerance for residues arising from the use of </w:t>
            </w:r>
            <w:r w:rsidR="00AA13BC" w:rsidRPr="00A50446">
              <w:t>cyantraniliprole</w:t>
            </w:r>
            <w:r w:rsidRPr="00A50446">
              <w:t xml:space="preserve"> (mg/kg)</w:t>
            </w:r>
          </w:p>
        </w:tc>
      </w:tr>
      <w:tr w:rsidR="00A50446" w:rsidRPr="004D3DFC" w14:paraId="14937D1F" w14:textId="77777777" w:rsidTr="00A50446">
        <w:trPr>
          <w:tblHeader/>
        </w:trPr>
        <w:tc>
          <w:tcPr>
            <w:tcW w:w="640" w:type="pct"/>
            <w:vMerge/>
            <w:tcBorders>
              <w:bottom w:val="single" w:sz="4" w:space="0" w:color="auto"/>
            </w:tcBorders>
            <w:shd w:val="clear" w:color="auto" w:fill="00686E" w:themeFill="background2" w:themeFillShade="E6"/>
          </w:tcPr>
          <w:p w14:paraId="31A6CA28" w14:textId="77777777" w:rsidR="0083282C" w:rsidRPr="00A50446" w:rsidRDefault="0083282C" w:rsidP="00A50446">
            <w:pPr>
              <w:pStyle w:val="APVMATableHead"/>
            </w:pPr>
          </w:p>
        </w:tc>
        <w:tc>
          <w:tcPr>
            <w:tcW w:w="668" w:type="pct"/>
            <w:tcBorders>
              <w:top w:val="single" w:sz="4" w:space="0" w:color="auto"/>
              <w:bottom w:val="single" w:sz="4" w:space="0" w:color="auto"/>
            </w:tcBorders>
            <w:shd w:val="clear" w:color="auto" w:fill="00686E" w:themeFill="background2" w:themeFillShade="E6"/>
          </w:tcPr>
          <w:p w14:paraId="66A633A0" w14:textId="77777777" w:rsidR="0083282C" w:rsidRPr="00A50446" w:rsidRDefault="0083282C" w:rsidP="00A50446">
            <w:pPr>
              <w:pStyle w:val="APVMATableHead"/>
            </w:pPr>
            <w:r w:rsidRPr="00A50446">
              <w:t>Australia</w:t>
            </w:r>
          </w:p>
        </w:tc>
        <w:tc>
          <w:tcPr>
            <w:tcW w:w="668" w:type="pct"/>
            <w:tcBorders>
              <w:top w:val="single" w:sz="4" w:space="0" w:color="auto"/>
              <w:bottom w:val="single" w:sz="4" w:space="0" w:color="auto"/>
            </w:tcBorders>
            <w:shd w:val="clear" w:color="auto" w:fill="00686E" w:themeFill="background2" w:themeFillShade="E6"/>
          </w:tcPr>
          <w:p w14:paraId="11176BD3" w14:textId="6D9C1C00" w:rsidR="0083282C" w:rsidRPr="00A50446" w:rsidRDefault="0083282C" w:rsidP="00A50446">
            <w:pPr>
              <w:pStyle w:val="APVMATableHead"/>
            </w:pPr>
            <w:r w:rsidRPr="00A50446">
              <w:t>China</w:t>
            </w:r>
            <w:r w:rsidRPr="00A50446">
              <w:rPr>
                <w:rStyle w:val="FootnoteReference"/>
              </w:rPr>
              <w:footnoteReference w:id="6"/>
            </w:r>
          </w:p>
        </w:tc>
        <w:tc>
          <w:tcPr>
            <w:tcW w:w="668" w:type="pct"/>
            <w:tcBorders>
              <w:top w:val="single" w:sz="4" w:space="0" w:color="auto"/>
              <w:bottom w:val="single" w:sz="4" w:space="0" w:color="auto"/>
            </w:tcBorders>
            <w:shd w:val="clear" w:color="auto" w:fill="00686E" w:themeFill="background2" w:themeFillShade="E6"/>
          </w:tcPr>
          <w:p w14:paraId="4A904A4E" w14:textId="25FD1834" w:rsidR="0083282C" w:rsidRPr="00A50446" w:rsidRDefault="0083282C" w:rsidP="00A50446">
            <w:pPr>
              <w:pStyle w:val="APVMATableHead"/>
            </w:pPr>
            <w:r w:rsidRPr="00A50446">
              <w:t>Codex</w:t>
            </w:r>
            <w:r w:rsidRPr="00A50446">
              <w:rPr>
                <w:rStyle w:val="FootnoteReference"/>
              </w:rPr>
              <w:footnoteReference w:id="7"/>
            </w:r>
          </w:p>
        </w:tc>
        <w:tc>
          <w:tcPr>
            <w:tcW w:w="668" w:type="pct"/>
            <w:tcBorders>
              <w:top w:val="single" w:sz="4" w:space="0" w:color="auto"/>
              <w:bottom w:val="single" w:sz="4" w:space="0" w:color="auto"/>
            </w:tcBorders>
            <w:shd w:val="clear" w:color="auto" w:fill="00686E" w:themeFill="background2" w:themeFillShade="E6"/>
          </w:tcPr>
          <w:p w14:paraId="1C7F6536" w14:textId="387CF1C8" w:rsidR="0083282C" w:rsidRPr="00A50446" w:rsidRDefault="0083282C" w:rsidP="00A50446">
            <w:pPr>
              <w:pStyle w:val="APVMATableHead"/>
            </w:pPr>
            <w:r w:rsidRPr="00A50446">
              <w:t>EU</w:t>
            </w:r>
            <w:r w:rsidRPr="00A50446">
              <w:rPr>
                <w:rStyle w:val="FootnoteReference"/>
              </w:rPr>
              <w:footnoteReference w:id="8"/>
            </w:r>
          </w:p>
        </w:tc>
        <w:tc>
          <w:tcPr>
            <w:tcW w:w="668" w:type="pct"/>
            <w:tcBorders>
              <w:top w:val="single" w:sz="4" w:space="0" w:color="auto"/>
              <w:bottom w:val="single" w:sz="4" w:space="0" w:color="auto"/>
            </w:tcBorders>
            <w:shd w:val="clear" w:color="auto" w:fill="00686E" w:themeFill="background2" w:themeFillShade="E6"/>
          </w:tcPr>
          <w:p w14:paraId="5E5A780C" w14:textId="76747072" w:rsidR="0083282C" w:rsidRPr="00A50446" w:rsidRDefault="0083282C" w:rsidP="00A50446">
            <w:pPr>
              <w:pStyle w:val="APVMATableHead"/>
            </w:pPr>
            <w:r w:rsidRPr="00A50446">
              <w:t>Japan</w:t>
            </w:r>
            <w:r w:rsidR="00413875" w:rsidRPr="00A50446">
              <w:rPr>
                <w:rStyle w:val="FootnoteReference"/>
              </w:rPr>
              <w:footnoteReference w:id="9"/>
            </w:r>
          </w:p>
        </w:tc>
        <w:tc>
          <w:tcPr>
            <w:tcW w:w="353" w:type="pct"/>
            <w:tcBorders>
              <w:top w:val="single" w:sz="4" w:space="0" w:color="auto"/>
              <w:bottom w:val="single" w:sz="4" w:space="0" w:color="auto"/>
            </w:tcBorders>
            <w:shd w:val="clear" w:color="auto" w:fill="00686E" w:themeFill="background2" w:themeFillShade="E6"/>
          </w:tcPr>
          <w:p w14:paraId="4FBC3D60" w14:textId="10D9D99A" w:rsidR="0083282C" w:rsidRPr="00A50446" w:rsidRDefault="0083282C" w:rsidP="00A50446">
            <w:pPr>
              <w:pStyle w:val="APVMATableHead"/>
            </w:pPr>
            <w:r w:rsidRPr="00A50446">
              <w:t>Korea</w:t>
            </w:r>
            <w:r w:rsidR="00413875" w:rsidRPr="00A50446">
              <w:rPr>
                <w:rStyle w:val="FootnoteReference"/>
              </w:rPr>
              <w:footnoteReference w:id="10"/>
            </w:r>
          </w:p>
        </w:tc>
        <w:tc>
          <w:tcPr>
            <w:tcW w:w="668" w:type="pct"/>
            <w:tcBorders>
              <w:top w:val="single" w:sz="4" w:space="0" w:color="auto"/>
              <w:bottom w:val="single" w:sz="4" w:space="0" w:color="auto"/>
            </w:tcBorders>
            <w:shd w:val="clear" w:color="auto" w:fill="00686E" w:themeFill="background2" w:themeFillShade="E6"/>
          </w:tcPr>
          <w:p w14:paraId="038B5DA0" w14:textId="0173BA79" w:rsidR="0083282C" w:rsidRPr="00A50446" w:rsidRDefault="0083282C" w:rsidP="00A50446">
            <w:pPr>
              <w:pStyle w:val="APVMATableHead"/>
            </w:pPr>
            <w:r w:rsidRPr="00A50446">
              <w:t>USA</w:t>
            </w:r>
            <w:r w:rsidR="00413875" w:rsidRPr="00A50446">
              <w:rPr>
                <w:rStyle w:val="FootnoteReference"/>
              </w:rPr>
              <w:footnoteReference w:id="11"/>
            </w:r>
          </w:p>
        </w:tc>
      </w:tr>
      <w:tr w:rsidR="00A50446" w:rsidRPr="004D3DFC" w14:paraId="4E5B2B3B" w14:textId="77777777" w:rsidTr="00A50446">
        <w:tc>
          <w:tcPr>
            <w:tcW w:w="640" w:type="pct"/>
            <w:tcBorders>
              <w:top w:val="single" w:sz="4" w:space="0" w:color="auto"/>
              <w:bottom w:val="single" w:sz="4" w:space="0" w:color="auto"/>
            </w:tcBorders>
          </w:tcPr>
          <w:p w14:paraId="7933D85D" w14:textId="0F6BC274" w:rsidR="0083282C" w:rsidRPr="00A50446" w:rsidRDefault="0083282C" w:rsidP="00A50446">
            <w:pPr>
              <w:pStyle w:val="APVMATableText"/>
            </w:pPr>
            <w:r w:rsidRPr="00A50446">
              <w:t xml:space="preserve">Residue </w:t>
            </w:r>
            <w:r w:rsidR="00A50446">
              <w:t>d</w:t>
            </w:r>
            <w:r w:rsidRPr="00A50446">
              <w:t>efinition</w:t>
            </w:r>
          </w:p>
        </w:tc>
        <w:tc>
          <w:tcPr>
            <w:tcW w:w="668" w:type="pct"/>
            <w:tcBorders>
              <w:top w:val="single" w:sz="4" w:space="0" w:color="auto"/>
              <w:bottom w:val="single" w:sz="4" w:space="0" w:color="auto"/>
            </w:tcBorders>
          </w:tcPr>
          <w:p w14:paraId="55005A46" w14:textId="77777777" w:rsidR="0083282C" w:rsidRPr="00A50446" w:rsidRDefault="0083282C" w:rsidP="00A50446">
            <w:pPr>
              <w:pStyle w:val="APVMATableText"/>
            </w:pPr>
            <w:r w:rsidRPr="00A50446">
              <w:t>Cyantraniliprole</w:t>
            </w:r>
          </w:p>
        </w:tc>
        <w:tc>
          <w:tcPr>
            <w:tcW w:w="668" w:type="pct"/>
            <w:tcBorders>
              <w:top w:val="single" w:sz="4" w:space="0" w:color="auto"/>
              <w:bottom w:val="single" w:sz="4" w:space="0" w:color="auto"/>
            </w:tcBorders>
          </w:tcPr>
          <w:p w14:paraId="09941E41" w14:textId="77777777" w:rsidR="0083282C" w:rsidRPr="00A50446" w:rsidRDefault="0083282C" w:rsidP="00A50446">
            <w:pPr>
              <w:pStyle w:val="APVMATableText"/>
            </w:pPr>
            <w:r w:rsidRPr="00A50446">
              <w:t>Cyantraniliprole</w:t>
            </w:r>
          </w:p>
        </w:tc>
        <w:tc>
          <w:tcPr>
            <w:tcW w:w="668" w:type="pct"/>
            <w:tcBorders>
              <w:top w:val="single" w:sz="4" w:space="0" w:color="auto"/>
              <w:bottom w:val="single" w:sz="4" w:space="0" w:color="auto"/>
            </w:tcBorders>
          </w:tcPr>
          <w:p w14:paraId="12594988" w14:textId="77777777" w:rsidR="0083282C" w:rsidRPr="00A50446" w:rsidRDefault="0083282C" w:rsidP="00A50446">
            <w:pPr>
              <w:pStyle w:val="APVMATableText"/>
            </w:pPr>
            <w:r w:rsidRPr="00A50446">
              <w:t>Cyantraniliprole</w:t>
            </w:r>
          </w:p>
        </w:tc>
        <w:tc>
          <w:tcPr>
            <w:tcW w:w="668" w:type="pct"/>
            <w:tcBorders>
              <w:top w:val="single" w:sz="4" w:space="0" w:color="auto"/>
              <w:bottom w:val="single" w:sz="4" w:space="0" w:color="auto"/>
            </w:tcBorders>
          </w:tcPr>
          <w:p w14:paraId="06669670" w14:textId="77777777" w:rsidR="0083282C" w:rsidRPr="00A50446" w:rsidRDefault="0083282C" w:rsidP="00A50446">
            <w:pPr>
              <w:pStyle w:val="APVMATableText"/>
            </w:pPr>
            <w:r w:rsidRPr="00A50446">
              <w:t>Cyantraniliprole</w:t>
            </w:r>
          </w:p>
        </w:tc>
        <w:tc>
          <w:tcPr>
            <w:tcW w:w="668" w:type="pct"/>
            <w:tcBorders>
              <w:top w:val="single" w:sz="4" w:space="0" w:color="auto"/>
              <w:bottom w:val="single" w:sz="4" w:space="0" w:color="auto"/>
            </w:tcBorders>
          </w:tcPr>
          <w:p w14:paraId="28A60AB9" w14:textId="77777777" w:rsidR="0083282C" w:rsidRPr="00A50446" w:rsidRDefault="0083282C" w:rsidP="00A50446">
            <w:pPr>
              <w:pStyle w:val="APVMATableText"/>
            </w:pPr>
            <w:r w:rsidRPr="00A50446">
              <w:t>Cyantraniliprole</w:t>
            </w:r>
          </w:p>
        </w:tc>
        <w:tc>
          <w:tcPr>
            <w:tcW w:w="353" w:type="pct"/>
            <w:tcBorders>
              <w:top w:val="single" w:sz="4" w:space="0" w:color="auto"/>
              <w:bottom w:val="single" w:sz="4" w:space="0" w:color="auto"/>
            </w:tcBorders>
          </w:tcPr>
          <w:p w14:paraId="04F6325A" w14:textId="4BCF1EDA" w:rsidR="0083282C" w:rsidRPr="00A50446" w:rsidRDefault="00A50446" w:rsidP="00A50446">
            <w:pPr>
              <w:pStyle w:val="APVMATableText"/>
            </w:pPr>
            <w:r>
              <w:t>–</w:t>
            </w:r>
          </w:p>
        </w:tc>
        <w:tc>
          <w:tcPr>
            <w:tcW w:w="668" w:type="pct"/>
            <w:tcBorders>
              <w:top w:val="single" w:sz="4" w:space="0" w:color="auto"/>
              <w:bottom w:val="single" w:sz="4" w:space="0" w:color="auto"/>
            </w:tcBorders>
          </w:tcPr>
          <w:p w14:paraId="73F663AF" w14:textId="77777777" w:rsidR="0083282C" w:rsidRPr="00A50446" w:rsidRDefault="0083282C" w:rsidP="00A50446">
            <w:pPr>
              <w:pStyle w:val="APVMATableText"/>
            </w:pPr>
            <w:r w:rsidRPr="00A50446">
              <w:t>Cyantraniliprole</w:t>
            </w:r>
          </w:p>
        </w:tc>
      </w:tr>
      <w:tr w:rsidR="00A50446" w:rsidRPr="004D3DFC" w14:paraId="7551734D" w14:textId="77777777" w:rsidTr="00A50446">
        <w:tc>
          <w:tcPr>
            <w:tcW w:w="640" w:type="pct"/>
            <w:tcBorders>
              <w:top w:val="single" w:sz="4" w:space="0" w:color="auto"/>
              <w:bottom w:val="single" w:sz="4" w:space="0" w:color="auto"/>
            </w:tcBorders>
          </w:tcPr>
          <w:p w14:paraId="1A965D9D" w14:textId="77777777" w:rsidR="0083282C" w:rsidRPr="00A50446" w:rsidRDefault="0083282C" w:rsidP="00A50446">
            <w:pPr>
              <w:pStyle w:val="APVMATableText"/>
            </w:pPr>
            <w:r w:rsidRPr="00A50446">
              <w:lastRenderedPageBreak/>
              <w:t>Rape seed [canola]</w:t>
            </w:r>
          </w:p>
        </w:tc>
        <w:tc>
          <w:tcPr>
            <w:tcW w:w="668" w:type="pct"/>
            <w:tcBorders>
              <w:top w:val="single" w:sz="4" w:space="0" w:color="auto"/>
              <w:bottom w:val="single" w:sz="4" w:space="0" w:color="auto"/>
            </w:tcBorders>
          </w:tcPr>
          <w:p w14:paraId="15920816" w14:textId="77777777" w:rsidR="0083282C" w:rsidRPr="00A50446" w:rsidRDefault="0083282C" w:rsidP="00A50446">
            <w:pPr>
              <w:pStyle w:val="APVMATableText"/>
            </w:pPr>
            <w:r w:rsidRPr="00A50446">
              <w:t>0.03</w:t>
            </w:r>
          </w:p>
          <w:p w14:paraId="1E4CE260" w14:textId="77777777" w:rsidR="0083282C" w:rsidRPr="00A50446" w:rsidRDefault="0083282C" w:rsidP="00A50446">
            <w:pPr>
              <w:pStyle w:val="APVMATableText"/>
            </w:pPr>
            <w:r w:rsidRPr="00A50446">
              <w:t>(proposed)</w:t>
            </w:r>
          </w:p>
          <w:p w14:paraId="06954110" w14:textId="77777777" w:rsidR="0083282C" w:rsidRPr="00A50446" w:rsidRDefault="0083282C" w:rsidP="00A50446">
            <w:pPr>
              <w:pStyle w:val="APVMATableText"/>
            </w:pPr>
            <w:r w:rsidRPr="00A50446">
              <w:t>T0.03</w:t>
            </w:r>
          </w:p>
          <w:p w14:paraId="26EDC188" w14:textId="77777777" w:rsidR="0083282C" w:rsidRPr="00A50446" w:rsidRDefault="0083282C" w:rsidP="00A50446">
            <w:pPr>
              <w:pStyle w:val="APVMATableText"/>
            </w:pPr>
            <w:r w:rsidRPr="00A50446">
              <w:t>(current)</w:t>
            </w:r>
          </w:p>
          <w:p w14:paraId="0A263329" w14:textId="77777777" w:rsidR="0083282C" w:rsidRPr="00A50446" w:rsidRDefault="0083282C" w:rsidP="00A50446">
            <w:pPr>
              <w:pStyle w:val="APVMATableText"/>
            </w:pPr>
            <w:r w:rsidRPr="00A50446">
              <w:t>[1.5 for oilseed in schedule 20]</w:t>
            </w:r>
          </w:p>
        </w:tc>
        <w:tc>
          <w:tcPr>
            <w:tcW w:w="668" w:type="pct"/>
            <w:tcBorders>
              <w:top w:val="single" w:sz="4" w:space="0" w:color="auto"/>
              <w:bottom w:val="single" w:sz="4" w:space="0" w:color="auto"/>
            </w:tcBorders>
          </w:tcPr>
          <w:p w14:paraId="76855A92" w14:textId="71D3AFD5" w:rsidR="0083282C" w:rsidRPr="00A50446" w:rsidRDefault="0083282C" w:rsidP="00A50446">
            <w:pPr>
              <w:pStyle w:val="APVMATableText"/>
            </w:pPr>
            <w:r w:rsidRPr="00A50446">
              <w:t>0.8</w:t>
            </w:r>
            <w:r w:rsidR="00A50446">
              <w:rPr>
                <w:rStyle w:val="FootnoteReference"/>
              </w:rPr>
              <w:footnoteReference w:id="12"/>
            </w:r>
            <w:bookmarkStart w:id="41" w:name="_Ref127789483"/>
            <w:r w:rsidR="00A50446">
              <w:rPr>
                <w:rStyle w:val="FootnoteReference"/>
              </w:rPr>
              <w:footnoteReference w:id="13"/>
            </w:r>
            <w:bookmarkEnd w:id="41"/>
          </w:p>
        </w:tc>
        <w:tc>
          <w:tcPr>
            <w:tcW w:w="668" w:type="pct"/>
            <w:tcBorders>
              <w:top w:val="single" w:sz="4" w:space="0" w:color="auto"/>
              <w:bottom w:val="single" w:sz="4" w:space="0" w:color="auto"/>
            </w:tcBorders>
          </w:tcPr>
          <w:p w14:paraId="74F09975" w14:textId="77777777" w:rsidR="0083282C" w:rsidRPr="00A50446" w:rsidRDefault="0083282C" w:rsidP="00A50446">
            <w:pPr>
              <w:pStyle w:val="APVMATableText"/>
            </w:pPr>
            <w:r w:rsidRPr="00A50446">
              <w:t>0.8</w:t>
            </w:r>
          </w:p>
        </w:tc>
        <w:tc>
          <w:tcPr>
            <w:tcW w:w="668" w:type="pct"/>
            <w:tcBorders>
              <w:top w:val="single" w:sz="4" w:space="0" w:color="auto"/>
              <w:bottom w:val="single" w:sz="4" w:space="0" w:color="auto"/>
            </w:tcBorders>
          </w:tcPr>
          <w:p w14:paraId="4D3C189C" w14:textId="77777777" w:rsidR="0083282C" w:rsidRPr="00A50446" w:rsidRDefault="0083282C" w:rsidP="00A50446">
            <w:pPr>
              <w:pStyle w:val="APVMATableText"/>
            </w:pPr>
            <w:r w:rsidRPr="00A50446">
              <w:t>0.8</w:t>
            </w:r>
          </w:p>
        </w:tc>
        <w:tc>
          <w:tcPr>
            <w:tcW w:w="668" w:type="pct"/>
            <w:tcBorders>
              <w:top w:val="single" w:sz="4" w:space="0" w:color="auto"/>
              <w:bottom w:val="single" w:sz="4" w:space="0" w:color="auto"/>
            </w:tcBorders>
          </w:tcPr>
          <w:p w14:paraId="1589034C" w14:textId="77777777" w:rsidR="0083282C" w:rsidRPr="00A50446" w:rsidRDefault="0083282C" w:rsidP="00A50446">
            <w:pPr>
              <w:pStyle w:val="APVMATableText"/>
            </w:pPr>
            <w:r w:rsidRPr="00A50446">
              <w:t>2</w:t>
            </w:r>
          </w:p>
        </w:tc>
        <w:tc>
          <w:tcPr>
            <w:tcW w:w="353" w:type="pct"/>
            <w:tcBorders>
              <w:top w:val="single" w:sz="4" w:space="0" w:color="auto"/>
              <w:bottom w:val="single" w:sz="4" w:space="0" w:color="auto"/>
            </w:tcBorders>
          </w:tcPr>
          <w:p w14:paraId="4450404B" w14:textId="77777777" w:rsidR="0083282C" w:rsidRPr="00A50446" w:rsidRDefault="0083282C" w:rsidP="00A50446">
            <w:pPr>
              <w:pStyle w:val="APVMATableText"/>
            </w:pPr>
            <w:r w:rsidRPr="00A50446">
              <w:t>0.8</w:t>
            </w:r>
          </w:p>
        </w:tc>
        <w:tc>
          <w:tcPr>
            <w:tcW w:w="668" w:type="pct"/>
            <w:tcBorders>
              <w:top w:val="single" w:sz="4" w:space="0" w:color="auto"/>
              <w:bottom w:val="single" w:sz="4" w:space="0" w:color="auto"/>
            </w:tcBorders>
          </w:tcPr>
          <w:p w14:paraId="280F7D95" w14:textId="55A35F72" w:rsidR="0083282C" w:rsidRPr="00A50446" w:rsidRDefault="0083282C" w:rsidP="00A50446">
            <w:pPr>
              <w:pStyle w:val="APVMATableText"/>
            </w:pPr>
            <w:r w:rsidRPr="00A50446">
              <w:t>1.5</w:t>
            </w:r>
            <w:r w:rsidR="00A50446">
              <w:t xml:space="preserve"> </w:t>
            </w:r>
            <w:r w:rsidRPr="00A50446">
              <w:t>(Oilseed group 20)</w:t>
            </w:r>
          </w:p>
        </w:tc>
      </w:tr>
    </w:tbl>
    <w:p w14:paraId="72F4C964" w14:textId="77777777" w:rsidR="00A50446" w:rsidRDefault="00A50446" w:rsidP="00A50446">
      <w:pPr>
        <w:pStyle w:val="Heading2"/>
        <w:keepNext w:val="0"/>
        <w:keepLines w:val="0"/>
        <w:widowControl w:val="0"/>
        <w:sectPr w:rsidR="00A50446" w:rsidSect="002E0769">
          <w:headerReference w:type="even" r:id="rId26"/>
          <w:pgSz w:w="16838" w:h="11906" w:orient="landscape" w:code="9"/>
          <w:pgMar w:top="2835" w:right="1134" w:bottom="1134" w:left="1134" w:header="1701" w:footer="680" w:gutter="0"/>
          <w:cols w:space="708"/>
          <w:docGrid w:linePitch="360"/>
        </w:sectPr>
      </w:pPr>
      <w:bookmarkStart w:id="42" w:name="_Toc231889750"/>
      <w:bookmarkStart w:id="43" w:name="_Toc2243853"/>
    </w:p>
    <w:p w14:paraId="506BD913" w14:textId="40A423E3" w:rsidR="006D36C8" w:rsidRDefault="006D36C8" w:rsidP="005A4163">
      <w:pPr>
        <w:pStyle w:val="Heading2"/>
      </w:pPr>
      <w:bookmarkStart w:id="44" w:name="_Toc127964747"/>
      <w:r>
        <w:lastRenderedPageBreak/>
        <w:t xml:space="preserve">Current and proposed Australian MRLs for </w:t>
      </w:r>
      <w:bookmarkEnd w:id="42"/>
      <w:bookmarkEnd w:id="43"/>
      <w:proofErr w:type="gramStart"/>
      <w:r w:rsidR="002E0769">
        <w:t>c</w:t>
      </w:r>
      <w:r w:rsidR="005A4163">
        <w:t>yantraniliprole</w:t>
      </w:r>
      <w:bookmarkEnd w:id="44"/>
      <w:proofErr w:type="gramEnd"/>
    </w:p>
    <w:p w14:paraId="54739A9F" w14:textId="58206791" w:rsidR="006D36C8" w:rsidRPr="00A50446" w:rsidRDefault="00383003" w:rsidP="00A50446">
      <w:pPr>
        <w:pStyle w:val="Caption"/>
      </w:pPr>
      <w:bookmarkStart w:id="45" w:name="_Toc252955170"/>
      <w:bookmarkStart w:id="46" w:name="_Toc127964752"/>
      <w:r w:rsidRPr="00A50446">
        <w:t xml:space="preserve">Table </w:t>
      </w:r>
      <w:r w:rsidR="00D23E36">
        <w:fldChar w:fldCharType="begin"/>
      </w:r>
      <w:r w:rsidR="00D23E36">
        <w:instrText xml:space="preserve"> SEQ Table \* ARABIC </w:instrText>
      </w:r>
      <w:r w:rsidR="00D23E36">
        <w:fldChar w:fldCharType="separate"/>
      </w:r>
      <w:r w:rsidR="00A50446" w:rsidRPr="00A50446">
        <w:t>3</w:t>
      </w:r>
      <w:r w:rsidR="00D23E36">
        <w:fldChar w:fldCharType="end"/>
      </w:r>
      <w:r w:rsidRPr="00A50446">
        <w:t>:</w:t>
      </w:r>
      <w:r w:rsidRPr="00A50446">
        <w:tab/>
        <w:t>Current MRL Standard</w:t>
      </w:r>
      <w:r w:rsidR="00A50446">
        <w:t xml:space="preserve"> – </w:t>
      </w:r>
      <w:r w:rsidR="006D36C8" w:rsidRPr="00A50446">
        <w:t>Table</w:t>
      </w:r>
      <w:r w:rsidR="00A50446">
        <w:t xml:space="preserve"> </w:t>
      </w:r>
      <w:r w:rsidR="006D36C8" w:rsidRPr="00A50446">
        <w:t>1</w:t>
      </w:r>
      <w:bookmarkEnd w:id="45"/>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A478D0">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Pr="00A50446" w:rsidRDefault="007B1953" w:rsidP="00A50446">
            <w:pPr>
              <w:pStyle w:val="APVMATableHead"/>
            </w:pPr>
            <w:r w:rsidRPr="00A50446">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Pr="00A50446" w:rsidRDefault="007B1953" w:rsidP="00A50446">
            <w:pPr>
              <w:pStyle w:val="APVMATableHead"/>
            </w:pPr>
            <w:r w:rsidRPr="00A50446">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Pr="00A50446" w:rsidRDefault="006D36C8" w:rsidP="00A50446">
            <w:pPr>
              <w:pStyle w:val="APVMATableHead"/>
            </w:pPr>
            <w:r w:rsidRPr="00A50446">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3E98C376" w:rsidR="006D36C8" w:rsidRPr="00A50446" w:rsidRDefault="00A50446" w:rsidP="00A50446">
            <w:pPr>
              <w:pStyle w:val="MRLActiveName"/>
            </w:pPr>
            <w:r w:rsidRPr="00A50446">
              <w:rPr>
                <w:caps w:val="0"/>
              </w:rPr>
              <w:t>Cyantraniliprole</w:t>
            </w:r>
          </w:p>
        </w:tc>
      </w:tr>
      <w:tr w:rsidR="005A4163" w14:paraId="715F5C64" w14:textId="77777777" w:rsidTr="00D24BF6">
        <w:tc>
          <w:tcPr>
            <w:tcW w:w="1613" w:type="pct"/>
            <w:tcBorders>
              <w:top w:val="single" w:sz="4" w:space="0" w:color="auto"/>
              <w:left w:val="nil"/>
              <w:bottom w:val="single" w:sz="4" w:space="0" w:color="auto"/>
              <w:right w:val="nil"/>
            </w:tcBorders>
            <w:vAlign w:val="bottom"/>
          </w:tcPr>
          <w:p w14:paraId="28A95230" w14:textId="555F470D" w:rsidR="005A4163" w:rsidRPr="00A50446" w:rsidRDefault="005A4163" w:rsidP="00A50446">
            <w:pPr>
              <w:pStyle w:val="APVMATableText"/>
            </w:pPr>
          </w:p>
        </w:tc>
        <w:tc>
          <w:tcPr>
            <w:tcW w:w="2392" w:type="pct"/>
            <w:tcBorders>
              <w:top w:val="single" w:sz="4" w:space="0" w:color="auto"/>
              <w:left w:val="nil"/>
              <w:bottom w:val="single" w:sz="4" w:space="0" w:color="auto"/>
              <w:right w:val="nil"/>
            </w:tcBorders>
            <w:vAlign w:val="bottom"/>
          </w:tcPr>
          <w:p w14:paraId="02C2C240" w14:textId="796EC7B5" w:rsidR="005A4163" w:rsidRPr="00A50446" w:rsidRDefault="005A4163" w:rsidP="00A50446">
            <w:pPr>
              <w:pStyle w:val="APVMATableText"/>
            </w:pPr>
            <w:r w:rsidRPr="00A50446">
              <w:rPr>
                <w:rFonts w:eastAsia="Calibri"/>
              </w:rPr>
              <w:t>All other foods</w:t>
            </w:r>
          </w:p>
        </w:tc>
        <w:tc>
          <w:tcPr>
            <w:tcW w:w="995" w:type="pct"/>
            <w:tcBorders>
              <w:top w:val="single" w:sz="4" w:space="0" w:color="auto"/>
              <w:left w:val="nil"/>
              <w:bottom w:val="single" w:sz="4" w:space="0" w:color="auto"/>
              <w:right w:val="nil"/>
            </w:tcBorders>
            <w:vAlign w:val="bottom"/>
          </w:tcPr>
          <w:p w14:paraId="04A2B751" w14:textId="04D166F3" w:rsidR="005A4163" w:rsidRPr="00A50446" w:rsidRDefault="005A4163" w:rsidP="00A50446">
            <w:pPr>
              <w:pStyle w:val="APVMATableText"/>
              <w:jc w:val="right"/>
            </w:pPr>
            <w:r w:rsidRPr="00A50446">
              <w:rPr>
                <w:rFonts w:eastAsia="Calibri"/>
              </w:rPr>
              <w:t>0.05</w:t>
            </w:r>
          </w:p>
        </w:tc>
      </w:tr>
      <w:tr w:rsidR="005A4163" w14:paraId="6A796B39" w14:textId="77777777" w:rsidTr="00D24BF6">
        <w:tc>
          <w:tcPr>
            <w:tcW w:w="1613" w:type="pct"/>
            <w:tcBorders>
              <w:top w:val="single" w:sz="4" w:space="0" w:color="auto"/>
              <w:left w:val="nil"/>
              <w:bottom w:val="single" w:sz="4" w:space="0" w:color="auto"/>
              <w:right w:val="nil"/>
            </w:tcBorders>
            <w:vAlign w:val="bottom"/>
          </w:tcPr>
          <w:p w14:paraId="7268617A" w14:textId="3EA7D813" w:rsidR="005A4163" w:rsidRPr="00A50446" w:rsidRDefault="005A4163" w:rsidP="00A50446">
            <w:pPr>
              <w:pStyle w:val="APVMATableText"/>
            </w:pPr>
            <w:r w:rsidRPr="00A50446">
              <w:rPr>
                <w:rFonts w:eastAsia="Calibri"/>
              </w:rPr>
              <w:t>MO 0105</w:t>
            </w:r>
          </w:p>
        </w:tc>
        <w:tc>
          <w:tcPr>
            <w:tcW w:w="2392" w:type="pct"/>
            <w:tcBorders>
              <w:top w:val="single" w:sz="4" w:space="0" w:color="auto"/>
              <w:left w:val="nil"/>
              <w:bottom w:val="single" w:sz="4" w:space="0" w:color="auto"/>
              <w:right w:val="nil"/>
            </w:tcBorders>
            <w:vAlign w:val="bottom"/>
          </w:tcPr>
          <w:p w14:paraId="29706B4D" w14:textId="068FA376" w:rsidR="005A4163" w:rsidRPr="00A50446" w:rsidRDefault="005A4163" w:rsidP="00A50446">
            <w:pPr>
              <w:pStyle w:val="APVMATableText"/>
            </w:pPr>
            <w:r w:rsidRPr="00A50446">
              <w:rPr>
                <w:rFonts w:eastAsia="Calibri"/>
              </w:rPr>
              <w:t>Edible offal (mammalian)</w:t>
            </w:r>
          </w:p>
        </w:tc>
        <w:tc>
          <w:tcPr>
            <w:tcW w:w="995" w:type="pct"/>
            <w:tcBorders>
              <w:top w:val="single" w:sz="4" w:space="0" w:color="auto"/>
              <w:left w:val="nil"/>
              <w:bottom w:val="single" w:sz="4" w:space="0" w:color="auto"/>
              <w:right w:val="nil"/>
            </w:tcBorders>
            <w:vAlign w:val="bottom"/>
          </w:tcPr>
          <w:p w14:paraId="58D124B0" w14:textId="46325DA0" w:rsidR="005A4163" w:rsidRPr="00A50446" w:rsidRDefault="005A4163" w:rsidP="00A50446">
            <w:pPr>
              <w:pStyle w:val="APVMATableText"/>
              <w:jc w:val="right"/>
            </w:pPr>
            <w:r w:rsidRPr="00A50446">
              <w:rPr>
                <w:rFonts w:eastAsia="Calibri"/>
              </w:rPr>
              <w:t>0.05</w:t>
            </w:r>
          </w:p>
        </w:tc>
      </w:tr>
      <w:tr w:rsidR="005A4163" w14:paraId="4CF27F2D" w14:textId="77777777" w:rsidTr="00D24BF6">
        <w:tc>
          <w:tcPr>
            <w:tcW w:w="1613" w:type="pct"/>
            <w:tcBorders>
              <w:top w:val="single" w:sz="4" w:space="0" w:color="auto"/>
              <w:left w:val="nil"/>
              <w:bottom w:val="single" w:sz="4" w:space="0" w:color="auto"/>
              <w:right w:val="nil"/>
            </w:tcBorders>
            <w:vAlign w:val="bottom"/>
          </w:tcPr>
          <w:p w14:paraId="4F134A24" w14:textId="1CE20F5F" w:rsidR="005A4163" w:rsidRPr="00A50446" w:rsidRDefault="005A4163" w:rsidP="00A50446">
            <w:pPr>
              <w:pStyle w:val="APVMATableText"/>
            </w:pPr>
            <w:r w:rsidRPr="00A50446">
              <w:rPr>
                <w:rFonts w:eastAsia="Calibri"/>
              </w:rPr>
              <w:t>PE 0112</w:t>
            </w:r>
          </w:p>
        </w:tc>
        <w:tc>
          <w:tcPr>
            <w:tcW w:w="2392" w:type="pct"/>
            <w:tcBorders>
              <w:top w:val="single" w:sz="4" w:space="0" w:color="auto"/>
              <w:left w:val="nil"/>
              <w:bottom w:val="single" w:sz="4" w:space="0" w:color="auto"/>
              <w:right w:val="nil"/>
            </w:tcBorders>
            <w:vAlign w:val="bottom"/>
          </w:tcPr>
          <w:p w14:paraId="32101827" w14:textId="3A6A6E87" w:rsidR="005A4163" w:rsidRPr="00A50446" w:rsidRDefault="005A4163" w:rsidP="00A50446">
            <w:pPr>
              <w:pStyle w:val="APVMATableText"/>
            </w:pPr>
            <w:r w:rsidRPr="00A50446">
              <w:rPr>
                <w:rFonts w:eastAsia="Calibri"/>
              </w:rPr>
              <w:t>Eggs</w:t>
            </w:r>
          </w:p>
        </w:tc>
        <w:tc>
          <w:tcPr>
            <w:tcW w:w="995" w:type="pct"/>
            <w:tcBorders>
              <w:top w:val="single" w:sz="4" w:space="0" w:color="auto"/>
              <w:left w:val="nil"/>
              <w:bottom w:val="single" w:sz="4" w:space="0" w:color="auto"/>
              <w:right w:val="nil"/>
            </w:tcBorders>
            <w:vAlign w:val="bottom"/>
          </w:tcPr>
          <w:p w14:paraId="2E7B582D" w14:textId="5F566FC7" w:rsidR="005A4163" w:rsidRPr="00A50446" w:rsidRDefault="005A4163" w:rsidP="00A50446">
            <w:pPr>
              <w:pStyle w:val="APVMATableText"/>
              <w:jc w:val="right"/>
            </w:pPr>
            <w:r w:rsidRPr="00A50446">
              <w:rPr>
                <w:rFonts w:eastAsia="Calibri"/>
              </w:rPr>
              <w:t>*0.01</w:t>
            </w:r>
          </w:p>
        </w:tc>
      </w:tr>
      <w:tr w:rsidR="005A4163" w14:paraId="12318E3C" w14:textId="77777777" w:rsidTr="00D24BF6">
        <w:tc>
          <w:tcPr>
            <w:tcW w:w="1613" w:type="pct"/>
            <w:tcBorders>
              <w:top w:val="single" w:sz="4" w:space="0" w:color="auto"/>
              <w:left w:val="nil"/>
              <w:bottom w:val="single" w:sz="4" w:space="0" w:color="auto"/>
              <w:right w:val="nil"/>
            </w:tcBorders>
            <w:vAlign w:val="bottom"/>
          </w:tcPr>
          <w:p w14:paraId="62412811" w14:textId="120AFBB0" w:rsidR="005A4163" w:rsidRPr="00A50446" w:rsidRDefault="005A4163" w:rsidP="00A50446">
            <w:pPr>
              <w:pStyle w:val="APVMATableText"/>
            </w:pPr>
            <w:r w:rsidRPr="00A50446">
              <w:rPr>
                <w:rFonts w:eastAsia="Calibri"/>
              </w:rPr>
              <w:t>MM 0095</w:t>
            </w:r>
          </w:p>
        </w:tc>
        <w:tc>
          <w:tcPr>
            <w:tcW w:w="2392" w:type="pct"/>
            <w:tcBorders>
              <w:top w:val="single" w:sz="4" w:space="0" w:color="auto"/>
              <w:left w:val="nil"/>
              <w:bottom w:val="single" w:sz="4" w:space="0" w:color="auto"/>
              <w:right w:val="nil"/>
            </w:tcBorders>
            <w:vAlign w:val="bottom"/>
          </w:tcPr>
          <w:p w14:paraId="78AAEDDD" w14:textId="4A6652F9" w:rsidR="005A4163" w:rsidRPr="00A50446" w:rsidRDefault="005A4163" w:rsidP="00A50446">
            <w:pPr>
              <w:pStyle w:val="APVMATableText"/>
            </w:pPr>
            <w:r w:rsidRPr="00A50446">
              <w:rPr>
                <w:rFonts w:eastAsia="Calibri"/>
              </w:rPr>
              <w:t>Meat (mammalian) [in the fat]</w:t>
            </w:r>
          </w:p>
        </w:tc>
        <w:tc>
          <w:tcPr>
            <w:tcW w:w="995" w:type="pct"/>
            <w:tcBorders>
              <w:top w:val="single" w:sz="4" w:space="0" w:color="auto"/>
              <w:left w:val="nil"/>
              <w:bottom w:val="single" w:sz="4" w:space="0" w:color="auto"/>
              <w:right w:val="nil"/>
            </w:tcBorders>
            <w:vAlign w:val="bottom"/>
          </w:tcPr>
          <w:p w14:paraId="50742162" w14:textId="5289F199" w:rsidR="005A4163" w:rsidRPr="00A50446" w:rsidRDefault="005A4163" w:rsidP="00A50446">
            <w:pPr>
              <w:pStyle w:val="APVMATableText"/>
              <w:jc w:val="right"/>
            </w:pPr>
            <w:r w:rsidRPr="00A50446">
              <w:rPr>
                <w:rFonts w:eastAsia="Calibri"/>
              </w:rPr>
              <w:t>*0.01</w:t>
            </w:r>
          </w:p>
        </w:tc>
      </w:tr>
      <w:tr w:rsidR="005A4163" w14:paraId="1C9286DB" w14:textId="77777777" w:rsidTr="00D24BF6">
        <w:tc>
          <w:tcPr>
            <w:tcW w:w="1613" w:type="pct"/>
            <w:tcBorders>
              <w:top w:val="single" w:sz="4" w:space="0" w:color="auto"/>
              <w:left w:val="nil"/>
              <w:bottom w:val="single" w:sz="4" w:space="0" w:color="auto"/>
              <w:right w:val="nil"/>
            </w:tcBorders>
            <w:vAlign w:val="bottom"/>
          </w:tcPr>
          <w:p w14:paraId="6DF866F9" w14:textId="11065DF1" w:rsidR="005A4163" w:rsidRPr="00A50446" w:rsidRDefault="005A4163" w:rsidP="00A50446">
            <w:pPr>
              <w:pStyle w:val="APVMATableText"/>
            </w:pPr>
            <w:r w:rsidRPr="00A50446">
              <w:rPr>
                <w:rFonts w:eastAsia="Calibri"/>
              </w:rPr>
              <w:t>FM 0183</w:t>
            </w:r>
          </w:p>
        </w:tc>
        <w:tc>
          <w:tcPr>
            <w:tcW w:w="2392" w:type="pct"/>
            <w:tcBorders>
              <w:top w:val="single" w:sz="4" w:space="0" w:color="auto"/>
              <w:left w:val="nil"/>
              <w:bottom w:val="single" w:sz="4" w:space="0" w:color="auto"/>
              <w:right w:val="nil"/>
            </w:tcBorders>
            <w:vAlign w:val="bottom"/>
          </w:tcPr>
          <w:p w14:paraId="6D935A50" w14:textId="3C4E947B" w:rsidR="005A4163" w:rsidRPr="00A50446" w:rsidRDefault="005A4163" w:rsidP="00A50446">
            <w:pPr>
              <w:pStyle w:val="APVMATableText"/>
            </w:pPr>
            <w:r w:rsidRPr="00A50446">
              <w:rPr>
                <w:rFonts w:eastAsia="Calibri"/>
              </w:rPr>
              <w:t>Milk fats</w:t>
            </w:r>
          </w:p>
        </w:tc>
        <w:tc>
          <w:tcPr>
            <w:tcW w:w="995" w:type="pct"/>
            <w:tcBorders>
              <w:top w:val="single" w:sz="4" w:space="0" w:color="auto"/>
              <w:left w:val="nil"/>
              <w:bottom w:val="single" w:sz="4" w:space="0" w:color="auto"/>
              <w:right w:val="nil"/>
            </w:tcBorders>
            <w:vAlign w:val="bottom"/>
          </w:tcPr>
          <w:p w14:paraId="48FC92A4" w14:textId="2DA319C9" w:rsidR="005A4163" w:rsidRPr="00A50446" w:rsidRDefault="005A4163" w:rsidP="00A50446">
            <w:pPr>
              <w:pStyle w:val="APVMATableText"/>
              <w:jc w:val="right"/>
            </w:pPr>
            <w:r w:rsidRPr="00A50446">
              <w:rPr>
                <w:rFonts w:eastAsia="Calibri"/>
              </w:rPr>
              <w:t>0.07</w:t>
            </w:r>
          </w:p>
        </w:tc>
      </w:tr>
      <w:tr w:rsidR="005A4163" w14:paraId="2BAC6F3B" w14:textId="77777777" w:rsidTr="00D24BF6">
        <w:tc>
          <w:tcPr>
            <w:tcW w:w="1613" w:type="pct"/>
            <w:tcBorders>
              <w:top w:val="single" w:sz="4" w:space="0" w:color="auto"/>
              <w:left w:val="nil"/>
              <w:bottom w:val="single" w:sz="4" w:space="0" w:color="auto"/>
              <w:right w:val="nil"/>
            </w:tcBorders>
            <w:vAlign w:val="bottom"/>
          </w:tcPr>
          <w:p w14:paraId="79F21452" w14:textId="65210B75" w:rsidR="005A4163" w:rsidRPr="00A50446" w:rsidRDefault="005A4163" w:rsidP="00A50446">
            <w:pPr>
              <w:pStyle w:val="APVMATableText"/>
            </w:pPr>
            <w:r w:rsidRPr="00A50446">
              <w:rPr>
                <w:rFonts w:eastAsia="Calibri"/>
              </w:rPr>
              <w:t>ML 0106</w:t>
            </w:r>
          </w:p>
        </w:tc>
        <w:tc>
          <w:tcPr>
            <w:tcW w:w="2392" w:type="pct"/>
            <w:tcBorders>
              <w:top w:val="single" w:sz="4" w:space="0" w:color="auto"/>
              <w:left w:val="nil"/>
              <w:bottom w:val="single" w:sz="4" w:space="0" w:color="auto"/>
              <w:right w:val="nil"/>
            </w:tcBorders>
            <w:vAlign w:val="bottom"/>
          </w:tcPr>
          <w:p w14:paraId="57027D82" w14:textId="3FC186BC" w:rsidR="005A4163" w:rsidRPr="00A50446" w:rsidRDefault="005A4163" w:rsidP="00A50446">
            <w:pPr>
              <w:pStyle w:val="APVMATableText"/>
            </w:pPr>
            <w:r w:rsidRPr="00A50446">
              <w:rPr>
                <w:rFonts w:eastAsia="Calibri"/>
              </w:rPr>
              <w:t>Milks</w:t>
            </w:r>
          </w:p>
        </w:tc>
        <w:tc>
          <w:tcPr>
            <w:tcW w:w="995" w:type="pct"/>
            <w:tcBorders>
              <w:top w:val="single" w:sz="4" w:space="0" w:color="auto"/>
              <w:left w:val="nil"/>
              <w:bottom w:val="single" w:sz="4" w:space="0" w:color="auto"/>
              <w:right w:val="nil"/>
            </w:tcBorders>
            <w:vAlign w:val="bottom"/>
          </w:tcPr>
          <w:p w14:paraId="1595B77A" w14:textId="7E5A9E1A" w:rsidR="005A4163" w:rsidRPr="00A50446" w:rsidRDefault="005A4163" w:rsidP="00A50446">
            <w:pPr>
              <w:pStyle w:val="APVMATableText"/>
              <w:jc w:val="right"/>
            </w:pPr>
            <w:r w:rsidRPr="00A50446">
              <w:rPr>
                <w:rFonts w:eastAsia="Calibri"/>
              </w:rPr>
              <w:t>*0.01</w:t>
            </w:r>
          </w:p>
        </w:tc>
      </w:tr>
      <w:tr w:rsidR="005A4163" w14:paraId="47C05D20" w14:textId="77777777" w:rsidTr="00D24BF6">
        <w:tc>
          <w:tcPr>
            <w:tcW w:w="1613" w:type="pct"/>
            <w:tcBorders>
              <w:top w:val="single" w:sz="4" w:space="0" w:color="auto"/>
              <w:left w:val="nil"/>
              <w:bottom w:val="single" w:sz="4" w:space="0" w:color="auto"/>
              <w:right w:val="nil"/>
            </w:tcBorders>
            <w:vAlign w:val="bottom"/>
          </w:tcPr>
          <w:p w14:paraId="0E05D078" w14:textId="7249377F" w:rsidR="005A4163" w:rsidRPr="00A50446" w:rsidRDefault="005A4163" w:rsidP="00A50446">
            <w:pPr>
              <w:pStyle w:val="APVMATableText"/>
            </w:pPr>
            <w:r w:rsidRPr="00A50446">
              <w:rPr>
                <w:rFonts w:eastAsia="Calibri"/>
              </w:rPr>
              <w:t>PM 0110</w:t>
            </w:r>
          </w:p>
        </w:tc>
        <w:tc>
          <w:tcPr>
            <w:tcW w:w="2392" w:type="pct"/>
            <w:tcBorders>
              <w:top w:val="single" w:sz="4" w:space="0" w:color="auto"/>
              <w:left w:val="nil"/>
              <w:bottom w:val="single" w:sz="4" w:space="0" w:color="auto"/>
              <w:right w:val="nil"/>
            </w:tcBorders>
            <w:vAlign w:val="bottom"/>
          </w:tcPr>
          <w:p w14:paraId="101B4D62" w14:textId="0806FDBD" w:rsidR="005A4163" w:rsidRPr="00A50446" w:rsidRDefault="005A4163" w:rsidP="00A50446">
            <w:pPr>
              <w:pStyle w:val="APVMATableText"/>
            </w:pPr>
            <w:r w:rsidRPr="00A50446">
              <w:rPr>
                <w:rFonts w:eastAsia="Calibri"/>
              </w:rPr>
              <w:t>Poultry meat [in the fat]</w:t>
            </w:r>
          </w:p>
        </w:tc>
        <w:tc>
          <w:tcPr>
            <w:tcW w:w="995" w:type="pct"/>
            <w:tcBorders>
              <w:top w:val="single" w:sz="4" w:space="0" w:color="auto"/>
              <w:left w:val="nil"/>
              <w:bottom w:val="single" w:sz="4" w:space="0" w:color="auto"/>
              <w:right w:val="nil"/>
            </w:tcBorders>
            <w:vAlign w:val="bottom"/>
          </w:tcPr>
          <w:p w14:paraId="02746E84" w14:textId="46FAFC38" w:rsidR="005A4163" w:rsidRPr="00A50446" w:rsidRDefault="005A4163" w:rsidP="00A50446">
            <w:pPr>
              <w:pStyle w:val="APVMATableText"/>
              <w:jc w:val="right"/>
            </w:pPr>
            <w:r w:rsidRPr="00A50446">
              <w:rPr>
                <w:rFonts w:eastAsia="Calibri"/>
              </w:rPr>
              <w:t>*0.01</w:t>
            </w:r>
          </w:p>
        </w:tc>
      </w:tr>
      <w:tr w:rsidR="005A4163" w14:paraId="11012AF1" w14:textId="77777777" w:rsidTr="00D24BF6">
        <w:tc>
          <w:tcPr>
            <w:tcW w:w="1613" w:type="pct"/>
            <w:tcBorders>
              <w:top w:val="single" w:sz="4" w:space="0" w:color="auto"/>
              <w:left w:val="nil"/>
              <w:bottom w:val="single" w:sz="4" w:space="0" w:color="auto"/>
              <w:right w:val="nil"/>
            </w:tcBorders>
            <w:vAlign w:val="bottom"/>
          </w:tcPr>
          <w:p w14:paraId="39C15DAF" w14:textId="21E2185B" w:rsidR="005A4163" w:rsidRPr="00A50446" w:rsidRDefault="005A4163" w:rsidP="00A50446">
            <w:pPr>
              <w:pStyle w:val="APVMATableText"/>
            </w:pPr>
            <w:r w:rsidRPr="00A50446">
              <w:rPr>
                <w:rFonts w:eastAsia="Calibri"/>
              </w:rPr>
              <w:t>PO 0111</w:t>
            </w:r>
          </w:p>
        </w:tc>
        <w:tc>
          <w:tcPr>
            <w:tcW w:w="2392" w:type="pct"/>
            <w:tcBorders>
              <w:top w:val="single" w:sz="4" w:space="0" w:color="auto"/>
              <w:left w:val="nil"/>
              <w:bottom w:val="single" w:sz="4" w:space="0" w:color="auto"/>
              <w:right w:val="nil"/>
            </w:tcBorders>
            <w:vAlign w:val="bottom"/>
          </w:tcPr>
          <w:p w14:paraId="4A33D0E0" w14:textId="4C2EDE5F" w:rsidR="005A4163" w:rsidRPr="00A50446" w:rsidRDefault="005A4163" w:rsidP="00A50446">
            <w:pPr>
              <w:pStyle w:val="APVMATableText"/>
            </w:pPr>
            <w:r w:rsidRPr="00A50446">
              <w:rPr>
                <w:rFonts w:eastAsia="Calibri"/>
              </w:rPr>
              <w:t>Poultry, edible offal of</w:t>
            </w:r>
          </w:p>
        </w:tc>
        <w:tc>
          <w:tcPr>
            <w:tcW w:w="995" w:type="pct"/>
            <w:tcBorders>
              <w:top w:val="single" w:sz="4" w:space="0" w:color="auto"/>
              <w:left w:val="nil"/>
              <w:bottom w:val="single" w:sz="4" w:space="0" w:color="auto"/>
              <w:right w:val="nil"/>
            </w:tcBorders>
            <w:vAlign w:val="bottom"/>
          </w:tcPr>
          <w:p w14:paraId="40E0F419" w14:textId="04D3A6C9" w:rsidR="005A4163" w:rsidRPr="00A50446" w:rsidRDefault="005A4163" w:rsidP="00A50446">
            <w:pPr>
              <w:pStyle w:val="APVMATableText"/>
              <w:jc w:val="right"/>
            </w:pPr>
            <w:r w:rsidRPr="00A50446">
              <w:rPr>
                <w:rFonts w:eastAsia="Calibri"/>
              </w:rPr>
              <w:t>*0.01</w:t>
            </w:r>
          </w:p>
        </w:tc>
      </w:tr>
      <w:tr w:rsidR="005A4163" w14:paraId="7E92F6AE" w14:textId="77777777" w:rsidTr="00D24BF6">
        <w:tc>
          <w:tcPr>
            <w:tcW w:w="1613" w:type="pct"/>
            <w:tcBorders>
              <w:top w:val="single" w:sz="4" w:space="0" w:color="auto"/>
              <w:left w:val="nil"/>
              <w:bottom w:val="single" w:sz="4" w:space="0" w:color="auto"/>
              <w:right w:val="nil"/>
            </w:tcBorders>
            <w:vAlign w:val="bottom"/>
          </w:tcPr>
          <w:p w14:paraId="74D91A71" w14:textId="3C5025E5" w:rsidR="005A4163" w:rsidRPr="00A50446" w:rsidRDefault="005A4163" w:rsidP="00A50446">
            <w:pPr>
              <w:pStyle w:val="APVMATableText"/>
            </w:pPr>
            <w:r w:rsidRPr="00A50446">
              <w:rPr>
                <w:rFonts w:eastAsia="Calibri"/>
              </w:rPr>
              <w:t>SO 0495</w:t>
            </w:r>
          </w:p>
        </w:tc>
        <w:tc>
          <w:tcPr>
            <w:tcW w:w="2392" w:type="pct"/>
            <w:tcBorders>
              <w:top w:val="single" w:sz="4" w:space="0" w:color="auto"/>
              <w:left w:val="nil"/>
              <w:bottom w:val="single" w:sz="4" w:space="0" w:color="auto"/>
              <w:right w:val="nil"/>
            </w:tcBorders>
            <w:vAlign w:val="bottom"/>
          </w:tcPr>
          <w:p w14:paraId="47D85869" w14:textId="19A0554F" w:rsidR="005A4163" w:rsidRPr="00A50446" w:rsidRDefault="005A4163" w:rsidP="00A50446">
            <w:pPr>
              <w:pStyle w:val="APVMATableText"/>
            </w:pPr>
            <w:r w:rsidRPr="00A50446">
              <w:rPr>
                <w:rFonts w:eastAsia="Calibri"/>
              </w:rPr>
              <w:t>Rape seed [canola]</w:t>
            </w:r>
          </w:p>
        </w:tc>
        <w:tc>
          <w:tcPr>
            <w:tcW w:w="995" w:type="pct"/>
            <w:tcBorders>
              <w:top w:val="single" w:sz="4" w:space="0" w:color="auto"/>
              <w:left w:val="nil"/>
              <w:bottom w:val="single" w:sz="4" w:space="0" w:color="auto"/>
              <w:right w:val="nil"/>
            </w:tcBorders>
            <w:vAlign w:val="bottom"/>
          </w:tcPr>
          <w:p w14:paraId="51C49B9F" w14:textId="02F78E2D" w:rsidR="005A4163" w:rsidRPr="00A50446" w:rsidRDefault="005A4163" w:rsidP="00A50446">
            <w:pPr>
              <w:pStyle w:val="APVMATableText"/>
              <w:jc w:val="right"/>
            </w:pPr>
            <w:r w:rsidRPr="00A50446">
              <w:rPr>
                <w:rFonts w:eastAsia="Calibri"/>
              </w:rPr>
              <w:t>T0.03</w:t>
            </w:r>
          </w:p>
        </w:tc>
      </w:tr>
    </w:tbl>
    <w:p w14:paraId="4E63901A" w14:textId="59D08F6A" w:rsidR="005A4163" w:rsidRPr="00A50446" w:rsidRDefault="005A4163" w:rsidP="00A50446">
      <w:pPr>
        <w:pStyle w:val="Caption"/>
      </w:pPr>
      <w:bookmarkStart w:id="47" w:name="_Toc127964753"/>
      <w:bookmarkStart w:id="48" w:name="_Toc252955171"/>
      <w:r w:rsidRPr="00A50446">
        <w:t xml:space="preserve">Table </w:t>
      </w:r>
      <w:r w:rsidR="00D23E36">
        <w:fldChar w:fldCharType="begin"/>
      </w:r>
      <w:r w:rsidR="00D23E36">
        <w:instrText xml:space="preserve"> SEQ Table \* ARABIC </w:instrText>
      </w:r>
      <w:r w:rsidR="00D23E36">
        <w:fldChar w:fldCharType="separate"/>
      </w:r>
      <w:r w:rsidR="00A50446" w:rsidRPr="00A50446">
        <w:t>4</w:t>
      </w:r>
      <w:r w:rsidR="00D23E36">
        <w:fldChar w:fldCharType="end"/>
      </w:r>
      <w:r w:rsidRPr="00A50446">
        <w:t>:</w:t>
      </w:r>
      <w:r w:rsidRPr="00A50446">
        <w:tab/>
        <w:t>Current MRL Standard</w:t>
      </w:r>
      <w:r w:rsidR="00A50446">
        <w:t xml:space="preserve"> – </w:t>
      </w:r>
      <w:r w:rsidRPr="00A50446">
        <w:t>Table</w:t>
      </w:r>
      <w:r w:rsidR="00A50446">
        <w:t xml:space="preserve"> </w:t>
      </w:r>
      <w:r w:rsidRPr="00A50446">
        <w:t>4</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5A4163" w14:paraId="6F36CCFC" w14:textId="77777777" w:rsidTr="00A478D0">
        <w:trPr>
          <w:tblHeader/>
        </w:trPr>
        <w:tc>
          <w:tcPr>
            <w:tcW w:w="1613" w:type="pct"/>
            <w:tcBorders>
              <w:top w:val="single" w:sz="4" w:space="0" w:color="auto"/>
              <w:left w:val="nil"/>
              <w:bottom w:val="single" w:sz="4" w:space="0" w:color="auto"/>
              <w:right w:val="nil"/>
            </w:tcBorders>
            <w:shd w:val="clear" w:color="auto" w:fill="00747A" w:themeFill="background2"/>
          </w:tcPr>
          <w:p w14:paraId="5C9C1FD8" w14:textId="77777777" w:rsidR="005A4163" w:rsidRPr="00A50446" w:rsidRDefault="005A4163" w:rsidP="00A50446">
            <w:pPr>
              <w:pStyle w:val="APVMATableHead"/>
            </w:pPr>
            <w:r w:rsidRPr="00A50446">
              <w:t>Compound</w:t>
            </w:r>
          </w:p>
        </w:tc>
        <w:tc>
          <w:tcPr>
            <w:tcW w:w="2392" w:type="pct"/>
            <w:tcBorders>
              <w:top w:val="single" w:sz="4" w:space="0" w:color="auto"/>
              <w:left w:val="nil"/>
              <w:bottom w:val="single" w:sz="4" w:space="0" w:color="auto"/>
              <w:right w:val="nil"/>
            </w:tcBorders>
            <w:shd w:val="clear" w:color="auto" w:fill="00747A" w:themeFill="background2"/>
          </w:tcPr>
          <w:p w14:paraId="6C7E789C" w14:textId="5015CB5A" w:rsidR="005A4163" w:rsidRPr="00A50446" w:rsidRDefault="005A4163" w:rsidP="00A50446">
            <w:pPr>
              <w:pStyle w:val="APVMATableHead"/>
            </w:pPr>
            <w:r w:rsidRPr="00A50446">
              <w:t>Animal Feed Commodity</w:t>
            </w:r>
          </w:p>
        </w:tc>
        <w:tc>
          <w:tcPr>
            <w:tcW w:w="995" w:type="pct"/>
            <w:tcBorders>
              <w:top w:val="single" w:sz="4" w:space="0" w:color="auto"/>
              <w:left w:val="nil"/>
              <w:bottom w:val="single" w:sz="4" w:space="0" w:color="auto"/>
              <w:right w:val="nil"/>
            </w:tcBorders>
            <w:shd w:val="clear" w:color="auto" w:fill="00747A" w:themeFill="background2"/>
          </w:tcPr>
          <w:p w14:paraId="4AE5DC07" w14:textId="77777777" w:rsidR="005A4163" w:rsidRPr="00A50446" w:rsidRDefault="005A4163" w:rsidP="00A50446">
            <w:pPr>
              <w:pStyle w:val="APVMATableHead"/>
            </w:pPr>
            <w:r w:rsidRPr="00A50446">
              <w:t>MRL (mg/kg)</w:t>
            </w:r>
          </w:p>
        </w:tc>
      </w:tr>
      <w:tr w:rsidR="005A4163" w14:paraId="7E824DD6" w14:textId="77777777" w:rsidTr="00A50446">
        <w:tc>
          <w:tcPr>
            <w:tcW w:w="5000" w:type="pct"/>
            <w:gridSpan w:val="3"/>
            <w:tcBorders>
              <w:top w:val="single" w:sz="4" w:space="0" w:color="auto"/>
              <w:left w:val="nil"/>
              <w:bottom w:val="single" w:sz="4" w:space="0" w:color="auto"/>
              <w:right w:val="nil"/>
            </w:tcBorders>
          </w:tcPr>
          <w:p w14:paraId="2462D496" w14:textId="77777777" w:rsidR="005A4163" w:rsidRDefault="005A4163" w:rsidP="000E3F0D">
            <w:pPr>
              <w:pStyle w:val="MRLActiveName"/>
            </w:pPr>
            <w:r>
              <w:rPr>
                <w:caps w:val="0"/>
              </w:rPr>
              <w:t>Cyantraniliprole</w:t>
            </w:r>
          </w:p>
        </w:tc>
      </w:tr>
      <w:tr w:rsidR="005A4163" w14:paraId="43FFAB37" w14:textId="77777777" w:rsidTr="00A50446">
        <w:tc>
          <w:tcPr>
            <w:tcW w:w="1613" w:type="pct"/>
            <w:tcBorders>
              <w:top w:val="single" w:sz="4" w:space="0" w:color="auto"/>
              <w:left w:val="nil"/>
              <w:bottom w:val="single" w:sz="4" w:space="0" w:color="auto"/>
              <w:right w:val="nil"/>
            </w:tcBorders>
            <w:vAlign w:val="bottom"/>
          </w:tcPr>
          <w:p w14:paraId="67F118A7" w14:textId="77777777" w:rsidR="005A4163" w:rsidRPr="00A50446" w:rsidRDefault="005A4163" w:rsidP="00A50446">
            <w:pPr>
              <w:pStyle w:val="APVMATableText"/>
            </w:pPr>
          </w:p>
        </w:tc>
        <w:tc>
          <w:tcPr>
            <w:tcW w:w="2392" w:type="pct"/>
            <w:tcBorders>
              <w:top w:val="single" w:sz="4" w:space="0" w:color="auto"/>
              <w:left w:val="nil"/>
              <w:bottom w:val="single" w:sz="4" w:space="0" w:color="auto"/>
              <w:right w:val="nil"/>
            </w:tcBorders>
          </w:tcPr>
          <w:p w14:paraId="274BC012" w14:textId="088D34FA" w:rsidR="005A4163" w:rsidRPr="00A50446" w:rsidRDefault="005A4163" w:rsidP="00A50446">
            <w:pPr>
              <w:pStyle w:val="APVMATableText"/>
            </w:pPr>
            <w:r w:rsidRPr="00A50446">
              <w:t>Brassica forage crops (kale</w:t>
            </w:r>
            <w:r w:rsidR="00A50446">
              <w:t>,</w:t>
            </w:r>
            <w:r w:rsidRPr="00A50446">
              <w:t xml:space="preserve"> rape</w:t>
            </w:r>
            <w:r w:rsidR="00A50446">
              <w:t>,</w:t>
            </w:r>
            <w:r w:rsidRPr="00A50446">
              <w:t xml:space="preserve"> swede</w:t>
            </w:r>
            <w:r w:rsidR="00A50446">
              <w:t>,</w:t>
            </w:r>
            <w:r w:rsidRPr="00A50446">
              <w:t xml:space="preserve"> turnips)</w:t>
            </w:r>
          </w:p>
        </w:tc>
        <w:tc>
          <w:tcPr>
            <w:tcW w:w="995" w:type="pct"/>
            <w:tcBorders>
              <w:top w:val="single" w:sz="4" w:space="0" w:color="auto"/>
              <w:left w:val="nil"/>
              <w:bottom w:val="single" w:sz="4" w:space="0" w:color="auto"/>
              <w:right w:val="nil"/>
            </w:tcBorders>
          </w:tcPr>
          <w:p w14:paraId="2014409E" w14:textId="51BD6AA9" w:rsidR="005A4163" w:rsidRPr="00A50446" w:rsidRDefault="005A4163" w:rsidP="00A50446">
            <w:pPr>
              <w:pStyle w:val="APVMATableText"/>
              <w:jc w:val="right"/>
            </w:pPr>
            <w:r w:rsidRPr="00A50446">
              <w:t>3</w:t>
            </w:r>
          </w:p>
        </w:tc>
      </w:tr>
      <w:tr w:rsidR="005A4163" w14:paraId="1C74DE7F" w14:textId="77777777" w:rsidTr="00A50446">
        <w:tc>
          <w:tcPr>
            <w:tcW w:w="1613" w:type="pct"/>
            <w:tcBorders>
              <w:top w:val="single" w:sz="4" w:space="0" w:color="auto"/>
              <w:left w:val="nil"/>
              <w:bottom w:val="single" w:sz="4" w:space="0" w:color="auto"/>
              <w:right w:val="nil"/>
            </w:tcBorders>
            <w:vAlign w:val="bottom"/>
          </w:tcPr>
          <w:p w14:paraId="42583133" w14:textId="4051234D" w:rsidR="005A4163" w:rsidRPr="00A50446" w:rsidRDefault="005A4163" w:rsidP="00A50446">
            <w:pPr>
              <w:pStyle w:val="APVMATableText"/>
            </w:pPr>
            <w:r w:rsidRPr="00A50446">
              <w:t>AL 0157</w:t>
            </w:r>
          </w:p>
        </w:tc>
        <w:tc>
          <w:tcPr>
            <w:tcW w:w="2392" w:type="pct"/>
            <w:tcBorders>
              <w:top w:val="single" w:sz="4" w:space="0" w:color="auto"/>
              <w:left w:val="nil"/>
              <w:bottom w:val="single" w:sz="4" w:space="0" w:color="auto"/>
              <w:right w:val="nil"/>
            </w:tcBorders>
            <w:vAlign w:val="bottom"/>
          </w:tcPr>
          <w:p w14:paraId="4C6451A9" w14:textId="15D808A4" w:rsidR="005A4163" w:rsidRPr="00A50446" w:rsidRDefault="005A4163" w:rsidP="00A50446">
            <w:pPr>
              <w:pStyle w:val="APVMATableText"/>
            </w:pPr>
            <w:r w:rsidRPr="00A50446">
              <w:t>Legume animal feeds</w:t>
            </w:r>
          </w:p>
        </w:tc>
        <w:tc>
          <w:tcPr>
            <w:tcW w:w="995" w:type="pct"/>
            <w:tcBorders>
              <w:top w:val="single" w:sz="4" w:space="0" w:color="auto"/>
              <w:left w:val="nil"/>
              <w:bottom w:val="single" w:sz="4" w:space="0" w:color="auto"/>
              <w:right w:val="nil"/>
            </w:tcBorders>
            <w:vAlign w:val="bottom"/>
          </w:tcPr>
          <w:p w14:paraId="3F9D9BF5" w14:textId="1F983C02" w:rsidR="005A4163" w:rsidRPr="00A50446" w:rsidRDefault="005A4163" w:rsidP="00A50446">
            <w:pPr>
              <w:pStyle w:val="APVMATableText"/>
              <w:jc w:val="right"/>
            </w:pPr>
            <w:r w:rsidRPr="00A50446">
              <w:t>T30</w:t>
            </w:r>
          </w:p>
        </w:tc>
      </w:tr>
      <w:tr w:rsidR="005A4163" w14:paraId="117FD18D" w14:textId="77777777" w:rsidTr="00A50446">
        <w:tc>
          <w:tcPr>
            <w:tcW w:w="1613" w:type="pct"/>
            <w:tcBorders>
              <w:top w:val="single" w:sz="4" w:space="0" w:color="auto"/>
              <w:left w:val="nil"/>
              <w:bottom w:val="single" w:sz="4" w:space="0" w:color="auto"/>
              <w:right w:val="nil"/>
            </w:tcBorders>
            <w:vAlign w:val="bottom"/>
          </w:tcPr>
          <w:p w14:paraId="4A887578" w14:textId="2E42CA55" w:rsidR="005A4163" w:rsidRPr="00A50446" w:rsidRDefault="005A4163" w:rsidP="00A50446">
            <w:pPr>
              <w:pStyle w:val="APVMATableText"/>
            </w:pPr>
          </w:p>
        </w:tc>
        <w:tc>
          <w:tcPr>
            <w:tcW w:w="2392" w:type="pct"/>
            <w:tcBorders>
              <w:top w:val="single" w:sz="4" w:space="0" w:color="auto"/>
              <w:left w:val="nil"/>
              <w:bottom w:val="single" w:sz="4" w:space="0" w:color="auto"/>
              <w:right w:val="nil"/>
            </w:tcBorders>
            <w:vAlign w:val="bottom"/>
          </w:tcPr>
          <w:p w14:paraId="700F536F" w14:textId="1803D32C" w:rsidR="005A4163" w:rsidRPr="00A50446" w:rsidRDefault="005A4163" w:rsidP="00A50446">
            <w:pPr>
              <w:pStyle w:val="APVMATableText"/>
            </w:pPr>
            <w:r w:rsidRPr="00A50446">
              <w:t>Primary feed commodities {except Brassica forage crops (kale</w:t>
            </w:r>
            <w:r w:rsidR="00A50446">
              <w:t>,</w:t>
            </w:r>
            <w:r w:rsidRPr="00A50446">
              <w:t xml:space="preserve"> rape</w:t>
            </w:r>
            <w:r w:rsidR="00A50446">
              <w:t>,</w:t>
            </w:r>
            <w:r w:rsidRPr="00A50446">
              <w:t xml:space="preserve"> swede</w:t>
            </w:r>
            <w:r w:rsidR="00A50446">
              <w:t>,</w:t>
            </w:r>
            <w:r w:rsidRPr="00A50446">
              <w:t xml:space="preserve"> turnips); Legume animal feeds}</w:t>
            </w:r>
          </w:p>
        </w:tc>
        <w:tc>
          <w:tcPr>
            <w:tcW w:w="995" w:type="pct"/>
            <w:tcBorders>
              <w:top w:val="single" w:sz="4" w:space="0" w:color="auto"/>
              <w:left w:val="nil"/>
              <w:bottom w:val="single" w:sz="4" w:space="0" w:color="auto"/>
              <w:right w:val="nil"/>
            </w:tcBorders>
            <w:vAlign w:val="bottom"/>
          </w:tcPr>
          <w:p w14:paraId="1700B72C" w14:textId="1FD0E8EE" w:rsidR="005A4163" w:rsidRPr="00A50446" w:rsidRDefault="005A4163" w:rsidP="00A50446">
            <w:pPr>
              <w:pStyle w:val="APVMATableText"/>
              <w:jc w:val="right"/>
            </w:pPr>
            <w:r w:rsidRPr="00A50446">
              <w:t>1</w:t>
            </w:r>
          </w:p>
        </w:tc>
      </w:tr>
    </w:tbl>
    <w:p w14:paraId="670E5BD5" w14:textId="415B0CF2" w:rsidR="006D36C8" w:rsidRPr="00A50446" w:rsidRDefault="00383003" w:rsidP="00A50446">
      <w:pPr>
        <w:pStyle w:val="Caption"/>
      </w:pPr>
      <w:bookmarkStart w:id="49" w:name="_Toc127964754"/>
      <w:r w:rsidRPr="00A50446">
        <w:lastRenderedPageBreak/>
        <w:t xml:space="preserve">Table </w:t>
      </w:r>
      <w:r w:rsidR="00D23E36">
        <w:fldChar w:fldCharType="begin"/>
      </w:r>
      <w:r w:rsidR="00D23E36">
        <w:instrText xml:space="preserve"> SEQ Table \* ARABIC </w:instrText>
      </w:r>
      <w:r w:rsidR="00D23E36">
        <w:fldChar w:fldCharType="separate"/>
      </w:r>
      <w:r w:rsidR="00A50446" w:rsidRPr="00A50446">
        <w:t>5</w:t>
      </w:r>
      <w:r w:rsidR="00D23E36">
        <w:fldChar w:fldCharType="end"/>
      </w:r>
      <w:r w:rsidRPr="00A50446">
        <w:t>:</w:t>
      </w:r>
      <w:r w:rsidRPr="00A50446">
        <w:tab/>
        <w:t>Proposed MRL Standard</w:t>
      </w:r>
      <w:r w:rsidR="00A50446">
        <w:t xml:space="preserve"> – </w:t>
      </w:r>
      <w:r w:rsidR="006D36C8" w:rsidRPr="00A50446">
        <w:t>Table</w:t>
      </w:r>
      <w:r w:rsidR="00A50446">
        <w:t xml:space="preserve"> </w:t>
      </w:r>
      <w:r w:rsidR="006D36C8" w:rsidRPr="00A50446">
        <w:t>1</w:t>
      </w:r>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A478D0">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Pr="00A50446" w:rsidRDefault="007B1953" w:rsidP="00A50446">
            <w:pPr>
              <w:pStyle w:val="APVMATableHead"/>
            </w:pPr>
            <w:r w:rsidRPr="00A50446">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Pr="00A50446" w:rsidRDefault="007B1953" w:rsidP="00A50446">
            <w:pPr>
              <w:pStyle w:val="APVMATableHead"/>
            </w:pPr>
            <w:r w:rsidRPr="00A50446">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Pr="00A50446" w:rsidRDefault="006D36C8" w:rsidP="00A50446">
            <w:pPr>
              <w:pStyle w:val="APVMATableHead"/>
            </w:pPr>
            <w:r w:rsidRPr="00A50446">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106DED22" w:rsidR="006D36C8" w:rsidRDefault="005A4163" w:rsidP="00A50446">
            <w:pPr>
              <w:pStyle w:val="MRLActiveName"/>
              <w:keepNext/>
              <w:keepLines/>
            </w:pPr>
            <w:r>
              <w:rPr>
                <w:caps w:val="0"/>
              </w:rPr>
              <w:t>Cyantraniliprole</w:t>
            </w:r>
          </w:p>
        </w:tc>
      </w:tr>
      <w:tr w:rsidR="006D36C8" w14:paraId="0831FF57" w14:textId="77777777" w:rsidTr="00E63AC3">
        <w:trPr>
          <w:cantSplit/>
        </w:trPr>
        <w:tc>
          <w:tcPr>
            <w:tcW w:w="1613" w:type="pct"/>
            <w:tcBorders>
              <w:top w:val="single" w:sz="4" w:space="0" w:color="auto"/>
              <w:left w:val="nil"/>
              <w:bottom w:val="single" w:sz="4" w:space="0" w:color="auto"/>
              <w:right w:val="nil"/>
            </w:tcBorders>
          </w:tcPr>
          <w:p w14:paraId="7B944758" w14:textId="050FAC96" w:rsidR="006D36C8" w:rsidRPr="00A50446" w:rsidRDefault="007B1953" w:rsidP="00A50446">
            <w:pPr>
              <w:pStyle w:val="APVMATableText"/>
              <w:keepNext/>
              <w:keepLines/>
            </w:pPr>
            <w:r w:rsidRPr="00A50446">
              <w:t>Delete:</w:t>
            </w:r>
          </w:p>
        </w:tc>
        <w:tc>
          <w:tcPr>
            <w:tcW w:w="2392" w:type="pct"/>
            <w:tcBorders>
              <w:top w:val="single" w:sz="4" w:space="0" w:color="auto"/>
              <w:left w:val="nil"/>
              <w:bottom w:val="single" w:sz="4" w:space="0" w:color="auto"/>
              <w:right w:val="nil"/>
            </w:tcBorders>
          </w:tcPr>
          <w:p w14:paraId="0281F901" w14:textId="77777777" w:rsidR="006D36C8" w:rsidRPr="00A50446" w:rsidRDefault="006D36C8" w:rsidP="00A50446">
            <w:pPr>
              <w:pStyle w:val="APVMATableText"/>
              <w:keepNext/>
              <w:keepLines/>
            </w:pPr>
          </w:p>
        </w:tc>
        <w:tc>
          <w:tcPr>
            <w:tcW w:w="995" w:type="pct"/>
            <w:tcBorders>
              <w:top w:val="single" w:sz="4" w:space="0" w:color="auto"/>
              <w:left w:val="nil"/>
              <w:bottom w:val="single" w:sz="4" w:space="0" w:color="auto"/>
              <w:right w:val="nil"/>
            </w:tcBorders>
          </w:tcPr>
          <w:p w14:paraId="4F3A3C8E" w14:textId="77777777" w:rsidR="006D36C8" w:rsidRPr="00A50446" w:rsidRDefault="006D36C8" w:rsidP="00A50446">
            <w:pPr>
              <w:pStyle w:val="APVMATableText"/>
              <w:keepNext/>
              <w:keepLines/>
              <w:jc w:val="right"/>
            </w:pPr>
          </w:p>
        </w:tc>
      </w:tr>
      <w:tr w:rsidR="005A4163" w14:paraId="286B4A97" w14:textId="77777777" w:rsidTr="00547FA9">
        <w:trPr>
          <w:cantSplit/>
        </w:trPr>
        <w:tc>
          <w:tcPr>
            <w:tcW w:w="1613" w:type="pct"/>
            <w:tcBorders>
              <w:top w:val="single" w:sz="4" w:space="0" w:color="auto"/>
              <w:left w:val="nil"/>
              <w:bottom w:val="single" w:sz="4" w:space="0" w:color="auto"/>
              <w:right w:val="nil"/>
            </w:tcBorders>
            <w:vAlign w:val="bottom"/>
          </w:tcPr>
          <w:p w14:paraId="011D585E" w14:textId="29CB855E" w:rsidR="005A4163" w:rsidRPr="00A50446" w:rsidRDefault="005A4163" w:rsidP="00A50446">
            <w:pPr>
              <w:pStyle w:val="APVMATableText"/>
              <w:keepNext/>
              <w:keepLines/>
            </w:pPr>
            <w:r w:rsidRPr="00A50446">
              <w:rPr>
                <w:rFonts w:eastAsia="Calibri"/>
              </w:rPr>
              <w:t>SO 0495</w:t>
            </w:r>
          </w:p>
        </w:tc>
        <w:tc>
          <w:tcPr>
            <w:tcW w:w="2392" w:type="pct"/>
            <w:tcBorders>
              <w:top w:val="single" w:sz="4" w:space="0" w:color="auto"/>
              <w:left w:val="nil"/>
              <w:bottom w:val="single" w:sz="4" w:space="0" w:color="auto"/>
              <w:right w:val="nil"/>
            </w:tcBorders>
            <w:vAlign w:val="bottom"/>
          </w:tcPr>
          <w:p w14:paraId="5DD3C49F" w14:textId="3D10C282" w:rsidR="005A4163" w:rsidRPr="00A50446" w:rsidRDefault="005A4163" w:rsidP="00A50446">
            <w:pPr>
              <w:pStyle w:val="APVMATableText"/>
              <w:keepNext/>
              <w:keepLines/>
            </w:pPr>
            <w:r w:rsidRPr="00A50446">
              <w:rPr>
                <w:rFonts w:eastAsia="Calibri"/>
              </w:rPr>
              <w:t>Rape seed [canola]</w:t>
            </w:r>
          </w:p>
        </w:tc>
        <w:tc>
          <w:tcPr>
            <w:tcW w:w="995" w:type="pct"/>
            <w:tcBorders>
              <w:top w:val="single" w:sz="4" w:space="0" w:color="auto"/>
              <w:left w:val="nil"/>
              <w:bottom w:val="single" w:sz="4" w:space="0" w:color="auto"/>
              <w:right w:val="nil"/>
            </w:tcBorders>
            <w:vAlign w:val="bottom"/>
          </w:tcPr>
          <w:p w14:paraId="202AE3A1" w14:textId="53ABBB61" w:rsidR="005A4163" w:rsidRPr="00A50446" w:rsidRDefault="005A4163" w:rsidP="00A50446">
            <w:pPr>
              <w:pStyle w:val="APVMATableText"/>
              <w:keepNext/>
              <w:keepLines/>
              <w:jc w:val="right"/>
            </w:pPr>
            <w:r w:rsidRPr="00A50446">
              <w:rPr>
                <w:rFonts w:eastAsia="Calibri"/>
              </w:rPr>
              <w:t>T0.03</w:t>
            </w:r>
          </w:p>
        </w:tc>
      </w:tr>
      <w:tr w:rsidR="006D36C8" w14:paraId="24561D69" w14:textId="77777777" w:rsidTr="00E63AC3">
        <w:trPr>
          <w:cantSplit/>
        </w:trPr>
        <w:tc>
          <w:tcPr>
            <w:tcW w:w="1613" w:type="pct"/>
            <w:tcBorders>
              <w:top w:val="single" w:sz="4" w:space="0" w:color="auto"/>
              <w:left w:val="nil"/>
              <w:bottom w:val="single" w:sz="4" w:space="0" w:color="auto"/>
              <w:right w:val="nil"/>
            </w:tcBorders>
          </w:tcPr>
          <w:p w14:paraId="5C9698E7" w14:textId="2B41CC6B" w:rsidR="006D36C8" w:rsidRPr="00A50446" w:rsidRDefault="007B1953" w:rsidP="00A50446">
            <w:pPr>
              <w:pStyle w:val="APVMATableText"/>
              <w:keepNext/>
              <w:keepLines/>
            </w:pPr>
            <w:r w:rsidRPr="00A50446">
              <w:t>Add:</w:t>
            </w:r>
          </w:p>
        </w:tc>
        <w:tc>
          <w:tcPr>
            <w:tcW w:w="2392" w:type="pct"/>
            <w:tcBorders>
              <w:top w:val="single" w:sz="4" w:space="0" w:color="auto"/>
              <w:left w:val="nil"/>
              <w:bottom w:val="single" w:sz="4" w:space="0" w:color="auto"/>
              <w:right w:val="nil"/>
            </w:tcBorders>
          </w:tcPr>
          <w:p w14:paraId="1874C21E" w14:textId="77777777" w:rsidR="006D36C8" w:rsidRPr="00A50446" w:rsidRDefault="006D36C8" w:rsidP="00A50446">
            <w:pPr>
              <w:pStyle w:val="APVMATableText"/>
              <w:keepNext/>
              <w:keepLines/>
            </w:pPr>
          </w:p>
        </w:tc>
        <w:tc>
          <w:tcPr>
            <w:tcW w:w="995" w:type="pct"/>
            <w:tcBorders>
              <w:top w:val="single" w:sz="4" w:space="0" w:color="auto"/>
              <w:left w:val="nil"/>
              <w:bottom w:val="single" w:sz="4" w:space="0" w:color="auto"/>
              <w:right w:val="nil"/>
            </w:tcBorders>
          </w:tcPr>
          <w:p w14:paraId="5247B776" w14:textId="77777777" w:rsidR="006D36C8" w:rsidRPr="00A50446" w:rsidRDefault="006D36C8" w:rsidP="00A50446">
            <w:pPr>
              <w:pStyle w:val="APVMATableText"/>
              <w:keepNext/>
              <w:keepLines/>
              <w:jc w:val="right"/>
            </w:pPr>
          </w:p>
        </w:tc>
      </w:tr>
      <w:tr w:rsidR="005A4163" w14:paraId="10ABB81C" w14:textId="77777777" w:rsidTr="003D21E7">
        <w:trPr>
          <w:cantSplit/>
        </w:trPr>
        <w:tc>
          <w:tcPr>
            <w:tcW w:w="1613" w:type="pct"/>
            <w:tcBorders>
              <w:top w:val="single" w:sz="4" w:space="0" w:color="auto"/>
              <w:left w:val="nil"/>
              <w:bottom w:val="single" w:sz="4" w:space="0" w:color="auto"/>
              <w:right w:val="nil"/>
            </w:tcBorders>
            <w:vAlign w:val="bottom"/>
          </w:tcPr>
          <w:p w14:paraId="16B2FC12" w14:textId="2EDFDD55" w:rsidR="005A4163" w:rsidRPr="00A50446" w:rsidRDefault="005A4163" w:rsidP="00A50446">
            <w:pPr>
              <w:pStyle w:val="APVMATableText"/>
            </w:pPr>
            <w:r w:rsidRPr="00A50446">
              <w:rPr>
                <w:rFonts w:eastAsia="Calibri"/>
              </w:rPr>
              <w:t>SO 0495</w:t>
            </w:r>
          </w:p>
        </w:tc>
        <w:tc>
          <w:tcPr>
            <w:tcW w:w="2392" w:type="pct"/>
            <w:tcBorders>
              <w:top w:val="single" w:sz="4" w:space="0" w:color="auto"/>
              <w:left w:val="nil"/>
              <w:bottom w:val="single" w:sz="4" w:space="0" w:color="auto"/>
              <w:right w:val="nil"/>
            </w:tcBorders>
            <w:vAlign w:val="bottom"/>
          </w:tcPr>
          <w:p w14:paraId="6B7CF77B" w14:textId="32C89401" w:rsidR="005A4163" w:rsidRPr="00A50446" w:rsidRDefault="005A4163" w:rsidP="00A50446">
            <w:pPr>
              <w:pStyle w:val="APVMATableText"/>
            </w:pPr>
            <w:r w:rsidRPr="00A50446">
              <w:rPr>
                <w:rFonts w:eastAsia="Calibri"/>
              </w:rPr>
              <w:t>Rape seed [canola]</w:t>
            </w:r>
          </w:p>
        </w:tc>
        <w:tc>
          <w:tcPr>
            <w:tcW w:w="995" w:type="pct"/>
            <w:tcBorders>
              <w:top w:val="single" w:sz="4" w:space="0" w:color="auto"/>
              <w:left w:val="nil"/>
              <w:bottom w:val="single" w:sz="4" w:space="0" w:color="auto"/>
              <w:right w:val="nil"/>
            </w:tcBorders>
            <w:vAlign w:val="bottom"/>
          </w:tcPr>
          <w:p w14:paraId="342F2BAF" w14:textId="3D379471" w:rsidR="005A4163" w:rsidRPr="00A50446" w:rsidRDefault="005A4163" w:rsidP="00A50446">
            <w:pPr>
              <w:pStyle w:val="APVMATableText"/>
              <w:jc w:val="right"/>
            </w:pPr>
            <w:r w:rsidRPr="00A50446">
              <w:rPr>
                <w:rFonts w:eastAsia="Calibri"/>
              </w:rPr>
              <w:t>0.03</w:t>
            </w:r>
          </w:p>
        </w:tc>
      </w:tr>
    </w:tbl>
    <w:p w14:paraId="66CE4A88" w14:textId="77777777" w:rsidR="006D36C8" w:rsidRPr="00A50446" w:rsidRDefault="006D36C8" w:rsidP="00A50446">
      <w:pPr>
        <w:pStyle w:val="Heading2"/>
      </w:pPr>
      <w:bookmarkStart w:id="50" w:name="_Toc231889751"/>
      <w:bookmarkStart w:id="51" w:name="_Toc2243854"/>
      <w:bookmarkStart w:id="52" w:name="_Toc127964748"/>
      <w:r w:rsidRPr="00A50446">
        <w:t>Potential risk to trade</w:t>
      </w:r>
      <w:bookmarkEnd w:id="50"/>
      <w:bookmarkEnd w:id="51"/>
      <w:bookmarkEnd w:id="52"/>
    </w:p>
    <w:p w14:paraId="6EF9DBD6" w14:textId="20A9ADBA" w:rsidR="001E77DF" w:rsidRPr="00A50446" w:rsidRDefault="001E77DF" w:rsidP="00A50446">
      <w:pPr>
        <w:pStyle w:val="APVMAText"/>
      </w:pPr>
      <w:r w:rsidRPr="00A50446">
        <w:t>Export of treated produce containing finite (measurable) residues of cyantraniliprole may pose a risk to Australian trade in situations where</w:t>
      </w:r>
      <w:r w:rsidR="00A50446">
        <w:t xml:space="preserve"> </w:t>
      </w:r>
      <w:r w:rsidRPr="00A50446">
        <w:t>(i) no residue tolerance (import tolerance) is established in the importing country or (ii) where residues in Australian produce are likely to exceed a residue tolerance (import tolerance) established in the importing country.</w:t>
      </w:r>
    </w:p>
    <w:p w14:paraId="0751BEE5" w14:textId="7D72C44D" w:rsidR="005A4163" w:rsidRPr="00A50446" w:rsidRDefault="001E77DF" w:rsidP="00A50446">
      <w:pPr>
        <w:pStyle w:val="APVMAText"/>
        <w:sectPr w:rsidR="005A4163" w:rsidRPr="00A50446" w:rsidSect="00A50446">
          <w:headerReference w:type="even" r:id="rId27"/>
          <w:pgSz w:w="11906" w:h="16838" w:code="9"/>
          <w:pgMar w:top="2835" w:right="1134" w:bottom="1134" w:left="1134" w:header="1701" w:footer="680" w:gutter="0"/>
          <w:cols w:space="708"/>
          <w:docGrid w:linePitch="360"/>
        </w:sectPr>
      </w:pPr>
      <w:r w:rsidRPr="00A50446">
        <w:t>The STMR for treated canola seed was &lt;0.01</w:t>
      </w:r>
      <w:r w:rsidR="00A50446">
        <w:t> </w:t>
      </w:r>
      <w:r w:rsidRPr="00A50446">
        <w:t>mg/kg. In addition, the recommended Australian rape seed MRL is lower than that established by Codex and other major export destinations including China and the EU. The risk to trade is expected to be low</w:t>
      </w:r>
      <w:r w:rsidR="00665E31" w:rsidRPr="00A50446">
        <w:t>.</w:t>
      </w:r>
    </w:p>
    <w:p w14:paraId="66150D10" w14:textId="664325A4" w:rsidR="002E20AC" w:rsidRPr="00A50446" w:rsidRDefault="007B1953" w:rsidP="00A50446">
      <w:pPr>
        <w:pStyle w:val="Heading1"/>
      </w:pPr>
      <w:bookmarkStart w:id="53" w:name="_Toc127964749"/>
      <w:r w:rsidRPr="00A50446">
        <w:lastRenderedPageBreak/>
        <w:t>C</w:t>
      </w:r>
      <w:r w:rsidR="006D36C8" w:rsidRPr="00A50446">
        <w:t>onclusion</w:t>
      </w:r>
      <w:bookmarkEnd w:id="53"/>
    </w:p>
    <w:p w14:paraId="1A9C68A4" w14:textId="46467184" w:rsidR="009D452E" w:rsidRDefault="00BA610F" w:rsidP="00A50446">
      <w:pPr>
        <w:pStyle w:val="APVMAText"/>
      </w:pPr>
      <w:r w:rsidRPr="00BA610F">
        <w:t>FMC Australasia Pty Ltd has applied for approval of new use</w:t>
      </w:r>
      <w:r w:rsidR="00B43A5B">
        <w:t>s</w:t>
      </w:r>
      <w:r w:rsidRPr="00BA610F">
        <w:t xml:space="preserve"> of Exirel Insecticide containing cyantraniliprole on canola.</w:t>
      </w:r>
      <w:r>
        <w:t xml:space="preserve"> Comment is sought on the potential for the proposed </w:t>
      </w:r>
      <w:r w:rsidR="00B7636A">
        <w:t xml:space="preserve">new </w:t>
      </w:r>
      <w:r>
        <w:t>use</w:t>
      </w:r>
      <w:r w:rsidR="00B43A5B">
        <w:t>s</w:t>
      </w:r>
      <w:r w:rsidR="00B7636A">
        <w:t xml:space="preserve"> of cyantraniliprole on canola</w:t>
      </w:r>
      <w:r>
        <w:t xml:space="preserve"> to prejudice Australian trade.</w:t>
      </w:r>
    </w:p>
    <w:sectPr w:rsidR="009D452E">
      <w:headerReference w:type="even" r:id="rId28"/>
      <w:headerReference w:type="default" r:id="rId29"/>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06A3" w14:textId="77777777" w:rsidR="00E21C58" w:rsidRDefault="00E21C58">
      <w:r>
        <w:separator/>
      </w:r>
    </w:p>
    <w:p w14:paraId="053B615A" w14:textId="77777777" w:rsidR="00E21C58" w:rsidRDefault="00E21C58"/>
    <w:p w14:paraId="52126DC5" w14:textId="77777777" w:rsidR="00E21C58" w:rsidRDefault="00E21C58"/>
  </w:endnote>
  <w:endnote w:type="continuationSeparator" w:id="0">
    <w:p w14:paraId="22ED0F8C" w14:textId="77777777" w:rsidR="00E21C58" w:rsidRDefault="00E21C58">
      <w:r>
        <w:continuationSeparator/>
      </w:r>
    </w:p>
    <w:p w14:paraId="7B7A3F14" w14:textId="77777777" w:rsidR="00E21C58" w:rsidRDefault="00E21C58"/>
    <w:p w14:paraId="1BD2DE93" w14:textId="77777777" w:rsidR="00E21C58" w:rsidRDefault="00E21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010BD" w14:textId="77777777" w:rsidR="00E21C58" w:rsidRDefault="00E21C58">
      <w:r>
        <w:separator/>
      </w:r>
    </w:p>
  </w:footnote>
  <w:footnote w:type="continuationSeparator" w:id="0">
    <w:p w14:paraId="597AC0FE" w14:textId="77777777" w:rsidR="00E21C58" w:rsidRDefault="00E21C58">
      <w:pPr>
        <w:spacing w:line="180" w:lineRule="exact"/>
        <w:rPr>
          <w:sz w:val="16"/>
        </w:rPr>
      </w:pPr>
      <w:r>
        <w:rPr>
          <w:sz w:val="16"/>
        </w:rPr>
        <w:continuationSeparator/>
      </w:r>
    </w:p>
    <w:p w14:paraId="554AB4FA" w14:textId="77777777" w:rsidR="00E21C58" w:rsidRDefault="00E21C58"/>
    <w:p w14:paraId="2E0DB975" w14:textId="77777777" w:rsidR="00E21C58" w:rsidRDefault="00E21C58"/>
  </w:footnote>
  <w:footnote w:type="continuationNotice" w:id="1">
    <w:p w14:paraId="45A9A391" w14:textId="77777777" w:rsidR="00E21C58" w:rsidRDefault="00E21C58"/>
    <w:p w14:paraId="17F4D7E1" w14:textId="77777777" w:rsidR="00E21C58" w:rsidRDefault="00E21C58"/>
    <w:p w14:paraId="270AA34A" w14:textId="77777777" w:rsidR="00E21C58" w:rsidRDefault="00E21C58"/>
  </w:footnote>
  <w:footnote w:id="2">
    <w:p w14:paraId="7D0D9B04" w14:textId="60A185DE" w:rsidR="00C33B4C" w:rsidRDefault="00C33B4C" w:rsidP="00C33B4C">
      <w:pPr>
        <w:pStyle w:val="FootnoteText"/>
      </w:pPr>
      <w:r>
        <w:rPr>
          <w:rStyle w:val="FootnoteReference"/>
        </w:rPr>
        <w:footnoteRef/>
      </w:r>
      <w:r>
        <w:t xml:space="preserve"> Australian Pesticides and Veterinary Medicines Authority, </w:t>
      </w:r>
      <w:hyperlink r:id="rId1" w:history="1">
        <w:r w:rsidRPr="00927953">
          <w:rPr>
            <w:rStyle w:val="Hyperlink"/>
            <w:i/>
            <w:iCs/>
          </w:rPr>
          <w:t xml:space="preserve">APVMA Regulatory Guidelines – Data Guidelines: Agricultural </w:t>
        </w:r>
        <w:r w:rsidR="00E51E99">
          <w:rPr>
            <w:rStyle w:val="Hyperlink"/>
            <w:i/>
            <w:iCs/>
          </w:rPr>
          <w:t>–</w:t>
        </w:r>
        <w:r w:rsidRPr="00927953">
          <w:rPr>
            <w:rStyle w:val="Hyperlink"/>
            <w:i/>
            <w:iCs/>
          </w:rPr>
          <w:t xml:space="preserve"> Overseas trade (Part 5B)</w:t>
        </w:r>
      </w:hyperlink>
      <w:r>
        <w:t>, APVMA website, 20 July 2020, accessed January 2023.</w:t>
      </w:r>
    </w:p>
  </w:footnote>
  <w:footnote w:id="3">
    <w:p w14:paraId="246A898F" w14:textId="2242447D" w:rsidR="00C33B4C" w:rsidRDefault="00C33B4C" w:rsidP="00C33B4C">
      <w:pPr>
        <w:pStyle w:val="FootnoteText"/>
      </w:pPr>
      <w:r>
        <w:rPr>
          <w:rStyle w:val="FootnoteReference"/>
        </w:rPr>
        <w:footnoteRef/>
      </w:r>
      <w:r>
        <w:t xml:space="preserve"> </w:t>
      </w:r>
      <w:r w:rsidR="000D542F" w:rsidRPr="000D542F">
        <w:t>Australian Bureau of Agricultural and Resource Economics and Sciences</w:t>
      </w:r>
      <w:r>
        <w:t xml:space="preserve">, </w:t>
      </w:r>
      <w:hyperlink r:id="rId2" w:anchor="2021" w:history="1">
        <w:r w:rsidRPr="00A50446">
          <w:rPr>
            <w:rStyle w:val="Hyperlink"/>
            <w:i/>
            <w:iCs/>
          </w:rPr>
          <w:t>Agricultural commodities and trade data</w:t>
        </w:r>
      </w:hyperlink>
      <w:r>
        <w:t>, accessed January 2023</w:t>
      </w:r>
    </w:p>
  </w:footnote>
  <w:footnote w:id="4">
    <w:p w14:paraId="21C0A2ED" w14:textId="5E39A0F0" w:rsidR="000A3CFA" w:rsidRDefault="000A3CFA">
      <w:pPr>
        <w:pStyle w:val="FootnoteText"/>
      </w:pPr>
      <w:r>
        <w:rPr>
          <w:rStyle w:val="FootnoteReference"/>
        </w:rPr>
        <w:footnoteRef/>
      </w:r>
      <w:r w:rsidR="000D542F">
        <w:t>Grains Research &amp; Development Corporation,</w:t>
      </w:r>
      <w:r>
        <w:t xml:space="preserve"> </w:t>
      </w:r>
      <w:hyperlink r:id="rId3" w:history="1">
        <w:r w:rsidR="00A50446" w:rsidRPr="00A50446">
          <w:rPr>
            <w:rStyle w:val="Hyperlink"/>
            <w:i/>
            <w:iCs/>
          </w:rPr>
          <w:t xml:space="preserve">GRDC Grownotes: </w:t>
        </w:r>
        <w:r w:rsidRPr="00A50446">
          <w:rPr>
            <w:rStyle w:val="Hyperlink"/>
            <w:i/>
            <w:iCs/>
          </w:rPr>
          <w:t>Canola</w:t>
        </w:r>
        <w:r w:rsidR="00A50446" w:rsidRPr="00A50446">
          <w:rPr>
            <w:rStyle w:val="Hyperlink"/>
            <w:i/>
            <w:iCs/>
          </w:rPr>
          <w:t xml:space="preserve"> – Section 11, </w:t>
        </w:r>
        <w:r w:rsidRPr="00A50446">
          <w:rPr>
            <w:rStyle w:val="Hyperlink"/>
            <w:i/>
            <w:iCs/>
          </w:rPr>
          <w:t>Crop Desiccation/Spray out</w:t>
        </w:r>
      </w:hyperlink>
      <w:r>
        <w:t>, G</w:t>
      </w:r>
      <w:r w:rsidR="000D542F">
        <w:t>RDC website</w:t>
      </w:r>
      <w:r>
        <w:t>, accessed January 2023</w:t>
      </w:r>
    </w:p>
  </w:footnote>
  <w:footnote w:id="5">
    <w:p w14:paraId="7A1D897D" w14:textId="1F3AD3D3" w:rsidR="000A3CFA" w:rsidRDefault="000A3CFA">
      <w:pPr>
        <w:pStyle w:val="FootnoteText"/>
      </w:pPr>
      <w:r>
        <w:rPr>
          <w:rStyle w:val="FootnoteReference"/>
        </w:rPr>
        <w:footnoteRef/>
      </w:r>
      <w:r w:rsidR="000D542F" w:rsidRPr="000D542F">
        <w:t>Australian Pesticides and Veterinary Medicines Authority</w:t>
      </w:r>
      <w:r w:rsidR="000D542F">
        <w:t>,</w:t>
      </w:r>
      <w:r>
        <w:t xml:space="preserve"> </w:t>
      </w:r>
      <w:hyperlink r:id="rId4" w:history="1">
        <w:r w:rsidR="00A50446" w:rsidRPr="00A50446">
          <w:rPr>
            <w:rStyle w:val="Hyperlink"/>
            <w:i/>
            <w:iCs/>
          </w:rPr>
          <w:t xml:space="preserve">Agricultural data guidelines – </w:t>
        </w:r>
        <w:r w:rsidRPr="00A50446">
          <w:rPr>
            <w:rStyle w:val="Hyperlink"/>
            <w:i/>
            <w:iCs/>
          </w:rPr>
          <w:t>Withholding periods (residues)</w:t>
        </w:r>
      </w:hyperlink>
      <w:r w:rsidR="00A50446">
        <w:t>,</w:t>
      </w:r>
      <w:r>
        <w:t xml:space="preserve"> APVMA website, </w:t>
      </w:r>
      <w:r w:rsidR="00A50446">
        <w:t xml:space="preserve">13 January 2013, </w:t>
      </w:r>
      <w:r>
        <w:t>accessed January 2023</w:t>
      </w:r>
    </w:p>
  </w:footnote>
  <w:footnote w:id="6">
    <w:p w14:paraId="18EB1B45" w14:textId="2F0E80C9" w:rsidR="0083282C" w:rsidRDefault="0083282C" w:rsidP="0083282C">
      <w:pPr>
        <w:pStyle w:val="FootnoteText"/>
      </w:pPr>
      <w:r>
        <w:rPr>
          <w:rStyle w:val="FootnoteReference"/>
        </w:rPr>
        <w:footnoteRef/>
      </w:r>
      <w:r>
        <w:t xml:space="preserve"> United States Department of Agriculture, Foreign Agricultural Service, </w:t>
      </w:r>
      <w:hyperlink r:id="rId5" w:tgtFrame="_blank" w:history="1">
        <w:r w:rsidRPr="00927953">
          <w:rPr>
            <w:rStyle w:val="Hyperlink"/>
            <w:i/>
            <w:iCs/>
          </w:rPr>
          <w:t xml:space="preserve">Translation of Maximum Residue Limits for Pesticides in Foods. Beijing, China </w:t>
        </w:r>
        <w:r w:rsidR="00E51E99">
          <w:rPr>
            <w:rStyle w:val="Hyperlink"/>
            <w:i/>
            <w:iCs/>
          </w:rPr>
          <w:t>–</w:t>
        </w:r>
        <w:r w:rsidRPr="00927953">
          <w:rPr>
            <w:rStyle w:val="Hyperlink"/>
            <w:i/>
            <w:iCs/>
          </w:rPr>
          <w:t xml:space="preserve"> People's Republic of</w:t>
        </w:r>
      </w:hyperlink>
      <w:r>
        <w:rPr>
          <w:rStyle w:val="Hyperlink"/>
          <w:color w:val="337AB7"/>
          <w:u w:val="none"/>
        </w:rPr>
        <w:t xml:space="preserve">, </w:t>
      </w:r>
      <w:r>
        <w:rPr>
          <w:rStyle w:val="Hyperlink"/>
          <w:color w:val="auto"/>
          <w:u w:val="none"/>
        </w:rPr>
        <w:t>USDA website 24 August 2021</w:t>
      </w:r>
      <w:r w:rsidRPr="00533C73">
        <w:rPr>
          <w:rStyle w:val="Hyperlink"/>
          <w:color w:val="auto"/>
          <w:u w:val="none"/>
        </w:rPr>
        <w:t xml:space="preserve">, </w:t>
      </w:r>
      <w:r w:rsidRPr="00DB2344">
        <w:rPr>
          <w:rStyle w:val="Hyperlink"/>
          <w:color w:val="auto"/>
          <w:u w:val="none"/>
        </w:rPr>
        <w:t xml:space="preserve">accessed </w:t>
      </w:r>
      <w:r>
        <w:rPr>
          <w:rStyle w:val="Hyperlink"/>
          <w:color w:val="auto"/>
          <w:u w:val="none"/>
        </w:rPr>
        <w:t>January 2023.</w:t>
      </w:r>
    </w:p>
  </w:footnote>
  <w:footnote w:id="7">
    <w:p w14:paraId="79963D8E" w14:textId="596D6E1B" w:rsidR="0083282C" w:rsidRDefault="0083282C" w:rsidP="0083282C">
      <w:pPr>
        <w:pStyle w:val="FootnoteText"/>
      </w:pPr>
      <w:r>
        <w:rPr>
          <w:rStyle w:val="FootnoteReference"/>
        </w:rPr>
        <w:footnoteRef/>
      </w:r>
      <w:r>
        <w:t xml:space="preserve"> Food and Agriculture Organisation of the United Nations, </w:t>
      </w:r>
      <w:hyperlink r:id="rId6" w:history="1">
        <w:r w:rsidRPr="00FD3FA5">
          <w:rPr>
            <w:rStyle w:val="Hyperlink"/>
            <w:i/>
          </w:rPr>
          <w:t>Codex Alimentarius, International Food Standards</w:t>
        </w:r>
        <w:r w:rsidRPr="00FD3FA5">
          <w:rPr>
            <w:rStyle w:val="Hyperlink"/>
          </w:rPr>
          <w:t>,</w:t>
        </w:r>
      </w:hyperlink>
      <w:r>
        <w:t xml:space="preserve"> FAO website, accessed January 2023.</w:t>
      </w:r>
    </w:p>
  </w:footnote>
  <w:footnote w:id="8">
    <w:p w14:paraId="2C545754" w14:textId="25B793D3" w:rsidR="0083282C" w:rsidRDefault="0083282C" w:rsidP="0083282C">
      <w:pPr>
        <w:pStyle w:val="FootnoteText"/>
      </w:pPr>
      <w:r>
        <w:rPr>
          <w:rStyle w:val="FootnoteReference"/>
        </w:rPr>
        <w:footnoteRef/>
      </w:r>
      <w:r>
        <w:t xml:space="preserve"> European Commission,</w:t>
      </w:r>
      <w:r w:rsidR="00982F9F">
        <w:t xml:space="preserve"> </w:t>
      </w:r>
      <w:hyperlink r:id="rId7" w:history="1">
        <w:r w:rsidR="00982F9F" w:rsidRPr="00A50446">
          <w:rPr>
            <w:rStyle w:val="Hyperlink"/>
            <w:i/>
            <w:iCs/>
          </w:rPr>
          <w:t>EU Pesticides Database</w:t>
        </w:r>
      </w:hyperlink>
      <w:r w:rsidR="00982F9F">
        <w:t>,</w:t>
      </w:r>
      <w:r>
        <w:t xml:space="preserve"> European Commission website, </w:t>
      </w:r>
      <w:r w:rsidR="00A50446">
        <w:t xml:space="preserve">2016, </w:t>
      </w:r>
      <w:r>
        <w:t>accessed January 2023.</w:t>
      </w:r>
    </w:p>
  </w:footnote>
  <w:footnote w:id="9">
    <w:p w14:paraId="6C0AAAF1" w14:textId="5D697B85" w:rsidR="00413875" w:rsidRDefault="00413875" w:rsidP="00413875">
      <w:pPr>
        <w:pStyle w:val="FootnoteText"/>
      </w:pPr>
      <w:r>
        <w:rPr>
          <w:rStyle w:val="FootnoteReference"/>
        </w:rPr>
        <w:footnoteRef/>
      </w:r>
      <w:r>
        <w:t xml:space="preserve"> Japanese Food Chemistry Research Foundation, </w:t>
      </w:r>
      <w:hyperlink r:id="rId8" w:history="1">
        <w:r w:rsidRPr="00FD3FA5">
          <w:rPr>
            <w:rStyle w:val="Hyperlink"/>
            <w:i/>
          </w:rPr>
          <w:t>Table of MRLs for Agricultural Chemicals,</w:t>
        </w:r>
      </w:hyperlink>
      <w:r>
        <w:rPr>
          <w:i/>
        </w:rPr>
        <w:t xml:space="preserve"> </w:t>
      </w:r>
      <w:r>
        <w:t>JFCRPF website, accessed January 2023</w:t>
      </w:r>
    </w:p>
  </w:footnote>
  <w:footnote w:id="10">
    <w:p w14:paraId="107DAE42" w14:textId="75ED7A7B" w:rsidR="00413875" w:rsidRDefault="00413875" w:rsidP="00413875">
      <w:pPr>
        <w:pStyle w:val="FootnoteText"/>
      </w:pPr>
      <w:r>
        <w:rPr>
          <w:rStyle w:val="FootnoteReference"/>
        </w:rPr>
        <w:footnoteRef/>
      </w:r>
      <w:r>
        <w:t xml:space="preserve"> Ministry of Food and Drug Safety Korea, </w:t>
      </w:r>
      <w:hyperlink r:id="rId9" w:history="1">
        <w:r w:rsidRPr="00A50446">
          <w:rPr>
            <w:rStyle w:val="Hyperlink"/>
            <w:i/>
            <w:iCs/>
          </w:rPr>
          <w:t>MRLs in Pesticides</w:t>
        </w:r>
      </w:hyperlink>
      <w:r>
        <w:t xml:space="preserve">, </w:t>
      </w:r>
      <w:r w:rsidR="00A50446">
        <w:t xml:space="preserve">2015, </w:t>
      </w:r>
      <w:r>
        <w:t>accessed January 2023</w:t>
      </w:r>
    </w:p>
  </w:footnote>
  <w:footnote w:id="11">
    <w:p w14:paraId="4FC56BDA" w14:textId="101A308B" w:rsidR="00413875" w:rsidRDefault="00413875" w:rsidP="00413875">
      <w:pPr>
        <w:pStyle w:val="FootnoteText"/>
      </w:pPr>
      <w:r>
        <w:rPr>
          <w:rStyle w:val="FootnoteReference"/>
        </w:rPr>
        <w:footnoteRef/>
      </w:r>
      <w:r>
        <w:t xml:space="preserve"> Electronic Code of Federal Regulations,</w:t>
      </w:r>
      <w:r w:rsidRPr="00FD3FA5">
        <w:rPr>
          <w:i/>
        </w:rPr>
        <w:t xml:space="preserve"> </w:t>
      </w:r>
      <w:hyperlink r:id="rId10" w:history="1">
        <w:r w:rsidRPr="00FD3FA5">
          <w:rPr>
            <w:rStyle w:val="Hyperlink"/>
            <w:i/>
          </w:rPr>
          <w:t>USA Electronic Code of Federal Regulations,</w:t>
        </w:r>
      </w:hyperlink>
      <w:r>
        <w:rPr>
          <w:i/>
        </w:rPr>
        <w:t xml:space="preserve"> </w:t>
      </w:r>
      <w:r w:rsidRPr="00FD3FA5">
        <w:t>eCFR</w:t>
      </w:r>
      <w:r>
        <w:t xml:space="preserve"> website, accessed January 2023.</w:t>
      </w:r>
    </w:p>
  </w:footnote>
  <w:footnote w:id="12">
    <w:p w14:paraId="2D51E198" w14:textId="2AA1C681" w:rsidR="00A50446" w:rsidRDefault="00A50446">
      <w:pPr>
        <w:pStyle w:val="FootnoteText"/>
      </w:pPr>
      <w:r>
        <w:rPr>
          <w:rStyle w:val="FootnoteReference"/>
        </w:rPr>
        <w:footnoteRef/>
      </w:r>
      <w:r>
        <w:t xml:space="preserve"> </w:t>
      </w:r>
      <w:r w:rsidRPr="0083282C">
        <w:rPr>
          <w:szCs w:val="16"/>
        </w:rPr>
        <w:t>The MRL is the temporary limit</w:t>
      </w:r>
      <w:r>
        <w:rPr>
          <w:szCs w:val="16"/>
        </w:rPr>
        <w:t xml:space="preserve">. </w:t>
      </w:r>
      <w:r w:rsidRPr="0083282C">
        <w:rPr>
          <w:szCs w:val="16"/>
        </w:rPr>
        <w:t>An MRL for cyantraniliprole in Rape seed is not established in Taiwan</w:t>
      </w:r>
      <w:r>
        <w:rPr>
          <w:szCs w:val="16"/>
        </w:rPr>
        <w:t xml:space="preserve"> (see </w:t>
      </w:r>
      <w:r w:rsidRPr="00A50446">
        <w:rPr>
          <w:rStyle w:val="Hyperlink"/>
          <w:i/>
          <w:iCs/>
        </w:rPr>
        <w:fldChar w:fldCharType="begin"/>
      </w:r>
      <w:r w:rsidRPr="00A50446">
        <w:rPr>
          <w:rStyle w:val="Hyperlink"/>
          <w:i/>
          <w:iCs/>
        </w:rPr>
        <w:instrText xml:space="preserve"> NOTEREF _Ref127789483 \h  \* MERGEFORMAT </w:instrText>
      </w:r>
      <w:r w:rsidRPr="00A50446">
        <w:rPr>
          <w:rStyle w:val="Hyperlink"/>
          <w:i/>
          <w:iCs/>
        </w:rPr>
      </w:r>
      <w:r w:rsidRPr="00A50446">
        <w:rPr>
          <w:rStyle w:val="Hyperlink"/>
          <w:i/>
          <w:iCs/>
        </w:rPr>
        <w:fldChar w:fldCharType="separate"/>
      </w:r>
      <w:r w:rsidRPr="00A50446">
        <w:rPr>
          <w:rStyle w:val="Hyperlink"/>
          <w:i/>
          <w:iCs/>
        </w:rPr>
        <w:t>12</w:t>
      </w:r>
      <w:r w:rsidRPr="00A50446">
        <w:rPr>
          <w:rStyle w:val="Hyperlink"/>
          <w:i/>
          <w:iCs/>
        </w:rPr>
        <w:fldChar w:fldCharType="end"/>
      </w:r>
      <w:r>
        <w:rPr>
          <w:szCs w:val="16"/>
        </w:rPr>
        <w:t xml:space="preserve"> below)</w:t>
      </w:r>
    </w:p>
  </w:footnote>
  <w:footnote w:id="13">
    <w:p w14:paraId="0DBB8E4E" w14:textId="3A2D12E5" w:rsidR="00A50446" w:rsidRDefault="00A50446">
      <w:pPr>
        <w:pStyle w:val="FootnoteText"/>
      </w:pPr>
      <w:r>
        <w:rPr>
          <w:rStyle w:val="FootnoteReference"/>
        </w:rPr>
        <w:footnoteRef/>
      </w:r>
      <w:r>
        <w:t xml:space="preserve"> Taiwan Food and Drug Administration, </w:t>
      </w:r>
      <w:hyperlink r:id="rId11" w:history="1">
        <w:r w:rsidRPr="00A50446">
          <w:rPr>
            <w:rStyle w:val="Hyperlink"/>
            <w:i/>
            <w:iCs/>
          </w:rPr>
          <w:t>Standards for Pesticide Residue Limits in Foods</w:t>
        </w:r>
      </w:hyperlink>
      <w:r>
        <w:t>, accessed January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02E9EDB6" w:rsidR="007B1953" w:rsidRPr="002E0769" w:rsidRDefault="002E0769" w:rsidP="002E0769">
    <w:pPr>
      <w:pStyle w:val="APVMAOddHeader"/>
    </w:pPr>
    <w:r>
      <w:tab/>
    </w:r>
    <w:r w:rsidRPr="002E0769">
      <w:t>Preface</w:t>
    </w:r>
    <w:r>
      <w:tab/>
    </w:r>
    <w:r>
      <w:rPr>
        <w:rStyle w:val="PageNumber"/>
        <w:rFonts w:cs="Times New Roman"/>
        <w:b/>
        <w:bCs w:val="0"/>
        <w:caps/>
        <w:szCs w:val="24"/>
      </w:rPr>
      <w:fldChar w:fldCharType="begin"/>
    </w:r>
    <w:r>
      <w:rPr>
        <w:rStyle w:val="PageNumber"/>
        <w:rFonts w:cs="Times New Roman"/>
        <w:bCs w:val="0"/>
        <w:szCs w:val="24"/>
      </w:rPr>
      <w:instrText xml:space="preserve"> PAGE </w:instrText>
    </w:r>
    <w:r>
      <w:rPr>
        <w:rStyle w:val="PageNumber"/>
        <w:rFonts w:cs="Times New Roman"/>
        <w:b/>
        <w:bCs w:val="0"/>
        <w:caps/>
        <w:szCs w:val="24"/>
      </w:rPr>
      <w:fldChar w:fldCharType="separate"/>
    </w:r>
    <w:r>
      <w:rPr>
        <w:rStyle w:val="PageNumber"/>
        <w:b/>
        <w:bCs w:val="0"/>
        <w:caps/>
      </w:rPr>
      <w:t>1</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2DB67BFA" w:rsidR="007B1953" w:rsidRPr="002E0769" w:rsidRDefault="002E0769" w:rsidP="002E0769">
    <w:pPr>
      <w:pStyle w:val="APVMAEvenHeader"/>
    </w:pPr>
    <w:r>
      <w:rPr>
        <w:rStyle w:val="PageNumber"/>
        <w:b/>
        <w:caps/>
        <w:szCs w:val="24"/>
      </w:rPr>
      <w:fldChar w:fldCharType="begin"/>
    </w:r>
    <w:r>
      <w:rPr>
        <w:rStyle w:val="PageNumber"/>
        <w:szCs w:val="24"/>
      </w:rPr>
      <w:instrText xml:space="preserve"> PAGE </w:instrText>
    </w:r>
    <w:r>
      <w:rPr>
        <w:rStyle w:val="PageNumber"/>
        <w:b/>
        <w:caps/>
        <w:szCs w:val="24"/>
      </w:rPr>
      <w:fldChar w:fldCharType="separate"/>
    </w:r>
    <w:r>
      <w:rPr>
        <w:rStyle w:val="PageNumber"/>
        <w:b/>
        <w:caps/>
        <w:szCs w:val="24"/>
      </w:rPr>
      <w:t>2</w:t>
    </w:r>
    <w:r>
      <w:rPr>
        <w:rStyle w:val="PageNumber"/>
        <w:b/>
        <w:caps/>
        <w:szCs w:val="24"/>
      </w:rPr>
      <w:fldChar w:fldCharType="end"/>
    </w:r>
    <w:r>
      <w:tab/>
    </w:r>
    <w:r w:rsidRPr="002E0769">
      <w:t>Trade Advice Notice on cyantraniliprole in the product Exirel Insecticide</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1387" w14:textId="74D38DE9" w:rsidR="002E0769" w:rsidRPr="002E0769" w:rsidRDefault="002E0769" w:rsidP="002E0769">
    <w:pPr>
      <w:pStyle w:val="APVMAOddHeader"/>
    </w:pPr>
    <w:r>
      <w:tab/>
    </w:r>
    <w:r w:rsidRPr="002E0769">
      <w:t>Trade considerations</w:t>
    </w:r>
    <w:r>
      <w:tab/>
    </w:r>
    <w:r>
      <w:rPr>
        <w:rStyle w:val="PageNumber"/>
        <w:rFonts w:cs="Times New Roman"/>
        <w:b/>
        <w:bCs w:val="0"/>
        <w:caps/>
        <w:szCs w:val="24"/>
      </w:rPr>
      <w:fldChar w:fldCharType="begin"/>
    </w:r>
    <w:r>
      <w:rPr>
        <w:rStyle w:val="PageNumber"/>
        <w:rFonts w:cs="Times New Roman"/>
        <w:bCs w:val="0"/>
        <w:szCs w:val="24"/>
      </w:rPr>
      <w:instrText xml:space="preserve"> PAGE </w:instrText>
    </w:r>
    <w:r>
      <w:rPr>
        <w:rStyle w:val="PageNumber"/>
        <w:rFonts w:cs="Times New Roman"/>
        <w:b/>
        <w:bCs w:val="0"/>
        <w:caps/>
        <w:szCs w:val="24"/>
      </w:rPr>
      <w:fldChar w:fldCharType="separate"/>
    </w:r>
    <w:r>
      <w:rPr>
        <w:rStyle w:val="PageNumber"/>
        <w:b/>
        <w:bCs w:val="0"/>
        <w:caps/>
      </w:rPr>
      <w:t>1</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BC8E" w14:textId="520DD23C" w:rsidR="00A50446" w:rsidRPr="002E0769" w:rsidRDefault="002E0769" w:rsidP="002E0769">
    <w:pPr>
      <w:pStyle w:val="APVMAOddHeader"/>
      <w:tabs>
        <w:tab w:val="clear" w:pos="9072"/>
        <w:tab w:val="clear" w:pos="9638"/>
        <w:tab w:val="right" w:pos="14034"/>
        <w:tab w:val="right" w:pos="14570"/>
      </w:tabs>
    </w:pPr>
    <w:r>
      <w:tab/>
    </w:r>
    <w:r w:rsidRPr="002E0769">
      <w:t>Trade considerations</w:t>
    </w:r>
    <w:r>
      <w:tab/>
    </w:r>
    <w:r>
      <w:rPr>
        <w:rStyle w:val="PageNumber"/>
        <w:rFonts w:cs="Times New Roman"/>
        <w:b/>
        <w:bCs w:val="0"/>
        <w:caps/>
        <w:szCs w:val="24"/>
      </w:rPr>
      <w:fldChar w:fldCharType="begin"/>
    </w:r>
    <w:r>
      <w:rPr>
        <w:rStyle w:val="PageNumber"/>
        <w:rFonts w:cs="Times New Roman"/>
        <w:bCs w:val="0"/>
        <w:szCs w:val="24"/>
      </w:rPr>
      <w:instrText xml:space="preserve"> PAGE </w:instrText>
    </w:r>
    <w:r>
      <w:rPr>
        <w:rStyle w:val="PageNumber"/>
        <w:rFonts w:cs="Times New Roman"/>
        <w:b/>
        <w:bCs w:val="0"/>
        <w:caps/>
        <w:szCs w:val="24"/>
      </w:rPr>
      <w:fldChar w:fldCharType="separate"/>
    </w:r>
    <w:r>
      <w:rPr>
        <w:rStyle w:val="PageNumber"/>
        <w:b/>
        <w:bCs w:val="0"/>
        <w:caps/>
      </w:rPr>
      <w:t>3</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9E2D" w14:textId="3C3D7939" w:rsidR="002E0769" w:rsidRPr="002E0769" w:rsidRDefault="002E0769" w:rsidP="002E0769">
    <w:pPr>
      <w:pStyle w:val="APVMAOddHeader"/>
    </w:pPr>
    <w:r>
      <w:tab/>
    </w:r>
    <w:r w:rsidRPr="002E0769">
      <w:t>Trade considerations</w:t>
    </w:r>
    <w:r>
      <w:tab/>
    </w:r>
    <w:r>
      <w:rPr>
        <w:rStyle w:val="PageNumber"/>
        <w:rFonts w:cs="Times New Roman"/>
        <w:b/>
        <w:bCs w:val="0"/>
        <w:caps/>
        <w:szCs w:val="24"/>
      </w:rPr>
      <w:fldChar w:fldCharType="begin"/>
    </w:r>
    <w:r>
      <w:rPr>
        <w:rStyle w:val="PageNumber"/>
        <w:rFonts w:cs="Times New Roman"/>
        <w:bCs w:val="0"/>
        <w:szCs w:val="24"/>
      </w:rPr>
      <w:instrText xml:space="preserve"> PAGE </w:instrText>
    </w:r>
    <w:r>
      <w:rPr>
        <w:rStyle w:val="PageNumber"/>
        <w:rFonts w:cs="Times New Roman"/>
        <w:b/>
        <w:bCs w:val="0"/>
        <w:caps/>
        <w:szCs w:val="24"/>
      </w:rPr>
      <w:fldChar w:fldCharType="separate"/>
    </w:r>
    <w:r>
      <w:rPr>
        <w:rStyle w:val="PageNumber"/>
        <w:b/>
        <w:bCs w:val="0"/>
        <w:caps/>
      </w:rPr>
      <w:t>3</w:t>
    </w:r>
    <w:r>
      <w:rPr>
        <w:rStyle w:val="PageNumber"/>
        <w:rFonts w:cs="Times New Roman"/>
        <w:b/>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9C29" w14:textId="56DA75F7" w:rsidR="002E0769" w:rsidRPr="002E0769" w:rsidRDefault="002E0769" w:rsidP="002E0769">
    <w:pPr>
      <w:pStyle w:val="APVMAOddHeader"/>
    </w:pPr>
    <w:r>
      <w:tab/>
      <w:t>Conclusion</w:t>
    </w:r>
    <w:r>
      <w:tab/>
    </w:r>
    <w:r>
      <w:rPr>
        <w:rStyle w:val="PageNumber"/>
        <w:rFonts w:cs="Times New Roman"/>
        <w:b/>
        <w:bCs w:val="0"/>
        <w:caps/>
        <w:szCs w:val="24"/>
      </w:rPr>
      <w:fldChar w:fldCharType="begin"/>
    </w:r>
    <w:r>
      <w:rPr>
        <w:rStyle w:val="PageNumber"/>
        <w:rFonts w:cs="Times New Roman"/>
        <w:bCs w:val="0"/>
        <w:szCs w:val="24"/>
      </w:rPr>
      <w:instrText xml:space="preserve"> PAGE </w:instrText>
    </w:r>
    <w:r>
      <w:rPr>
        <w:rStyle w:val="PageNumber"/>
        <w:rFonts w:cs="Times New Roman"/>
        <w:b/>
        <w:bCs w:val="0"/>
        <w:caps/>
        <w:szCs w:val="24"/>
      </w:rPr>
      <w:fldChar w:fldCharType="separate"/>
    </w:r>
    <w:r>
      <w:rPr>
        <w:rStyle w:val="PageNumber"/>
        <w:b/>
        <w:bCs w:val="0"/>
        <w:caps/>
      </w:rPr>
      <w:t>10</w:t>
    </w:r>
    <w:r>
      <w:rPr>
        <w:rStyle w:val="PageNumber"/>
        <w:rFonts w:cs="Times New Roman"/>
        <w:b/>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9BAC" w14:textId="762CABCD" w:rsidR="00BA67F0" w:rsidRDefault="00BA67F0">
    <w:pPr>
      <w:pStyle w:val="APVMAOddHeader"/>
    </w:pPr>
    <w:r>
      <w:tab/>
      <w:t>References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7B1953">
      <w:rPr>
        <w:rStyle w:val="PageNumber"/>
        <w:rFonts w:cs="Times New Roman"/>
        <w:b/>
        <w:bCs w:val="0"/>
        <w:noProof/>
        <w:szCs w:val="24"/>
      </w:rPr>
      <w:t>9</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8189373">
    <w:abstractNumId w:val="20"/>
  </w:num>
  <w:num w:numId="2" w16cid:durableId="1047991428">
    <w:abstractNumId w:val="20"/>
  </w:num>
  <w:num w:numId="3" w16cid:durableId="622884405">
    <w:abstractNumId w:val="17"/>
  </w:num>
  <w:num w:numId="4" w16cid:durableId="332880446">
    <w:abstractNumId w:val="18"/>
  </w:num>
  <w:num w:numId="5" w16cid:durableId="929505953">
    <w:abstractNumId w:val="17"/>
  </w:num>
  <w:num w:numId="6" w16cid:durableId="1154907694">
    <w:abstractNumId w:val="22"/>
  </w:num>
  <w:num w:numId="7" w16cid:durableId="895699762">
    <w:abstractNumId w:val="19"/>
  </w:num>
  <w:num w:numId="8" w16cid:durableId="574632171">
    <w:abstractNumId w:val="11"/>
  </w:num>
  <w:num w:numId="9" w16cid:durableId="878978070">
    <w:abstractNumId w:val="10"/>
  </w:num>
  <w:num w:numId="10" w16cid:durableId="2008440883">
    <w:abstractNumId w:val="13"/>
  </w:num>
  <w:num w:numId="11" w16cid:durableId="263730749">
    <w:abstractNumId w:val="16"/>
  </w:num>
  <w:num w:numId="12" w16cid:durableId="1782535172">
    <w:abstractNumId w:val="22"/>
  </w:num>
  <w:num w:numId="13" w16cid:durableId="1673870499">
    <w:abstractNumId w:val="22"/>
  </w:num>
  <w:num w:numId="14" w16cid:durableId="213473346">
    <w:abstractNumId w:val="17"/>
  </w:num>
  <w:num w:numId="15" w16cid:durableId="1798647901">
    <w:abstractNumId w:val="11"/>
  </w:num>
  <w:num w:numId="16" w16cid:durableId="407844447">
    <w:abstractNumId w:val="18"/>
  </w:num>
  <w:num w:numId="17" w16cid:durableId="552156359">
    <w:abstractNumId w:val="10"/>
  </w:num>
  <w:num w:numId="18" w16cid:durableId="1029839554">
    <w:abstractNumId w:val="13"/>
  </w:num>
  <w:num w:numId="19" w16cid:durableId="941183374">
    <w:abstractNumId w:val="20"/>
  </w:num>
  <w:num w:numId="20" w16cid:durableId="1538161894">
    <w:abstractNumId w:val="23"/>
  </w:num>
  <w:num w:numId="21" w16cid:durableId="347875974">
    <w:abstractNumId w:val="12"/>
  </w:num>
  <w:num w:numId="22" w16cid:durableId="874580099">
    <w:abstractNumId w:val="24"/>
  </w:num>
  <w:num w:numId="23" w16cid:durableId="190148434">
    <w:abstractNumId w:val="15"/>
  </w:num>
  <w:num w:numId="24" w16cid:durableId="1484856856">
    <w:abstractNumId w:val="9"/>
  </w:num>
  <w:num w:numId="25" w16cid:durableId="683748900">
    <w:abstractNumId w:val="7"/>
  </w:num>
  <w:num w:numId="26" w16cid:durableId="1346858286">
    <w:abstractNumId w:val="6"/>
  </w:num>
  <w:num w:numId="27" w16cid:durableId="1442451597">
    <w:abstractNumId w:val="5"/>
  </w:num>
  <w:num w:numId="28" w16cid:durableId="8720925">
    <w:abstractNumId w:val="4"/>
  </w:num>
  <w:num w:numId="29" w16cid:durableId="154540445">
    <w:abstractNumId w:val="8"/>
  </w:num>
  <w:num w:numId="30" w16cid:durableId="2000495908">
    <w:abstractNumId w:val="3"/>
  </w:num>
  <w:num w:numId="31" w16cid:durableId="173301858">
    <w:abstractNumId w:val="2"/>
  </w:num>
  <w:num w:numId="32" w16cid:durableId="670985387">
    <w:abstractNumId w:val="1"/>
  </w:num>
  <w:num w:numId="33" w16cid:durableId="1882597845">
    <w:abstractNumId w:val="0"/>
  </w:num>
  <w:num w:numId="34" w16cid:durableId="2068602284">
    <w:abstractNumId w:val="21"/>
  </w:num>
  <w:num w:numId="35" w16cid:durableId="2056155425">
    <w:abstractNumId w:val="14"/>
  </w:num>
  <w:num w:numId="36" w16cid:durableId="10400078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1A6A"/>
    <w:rsid w:val="00024BAB"/>
    <w:rsid w:val="0002551F"/>
    <w:rsid w:val="00032787"/>
    <w:rsid w:val="000642F7"/>
    <w:rsid w:val="00067828"/>
    <w:rsid w:val="000765C1"/>
    <w:rsid w:val="0008350E"/>
    <w:rsid w:val="00084EE1"/>
    <w:rsid w:val="00096163"/>
    <w:rsid w:val="000A3CFA"/>
    <w:rsid w:val="000A7EF6"/>
    <w:rsid w:val="000C2C1B"/>
    <w:rsid w:val="000C5EB1"/>
    <w:rsid w:val="000D49ED"/>
    <w:rsid w:val="000D542F"/>
    <w:rsid w:val="000F7E0A"/>
    <w:rsid w:val="001004E6"/>
    <w:rsid w:val="00116540"/>
    <w:rsid w:val="00120E00"/>
    <w:rsid w:val="00125B8E"/>
    <w:rsid w:val="001534D8"/>
    <w:rsid w:val="00161E04"/>
    <w:rsid w:val="0016652E"/>
    <w:rsid w:val="00167BB3"/>
    <w:rsid w:val="00174E15"/>
    <w:rsid w:val="00184190"/>
    <w:rsid w:val="00193533"/>
    <w:rsid w:val="0019690F"/>
    <w:rsid w:val="001A128B"/>
    <w:rsid w:val="001B335C"/>
    <w:rsid w:val="001B7360"/>
    <w:rsid w:val="001C6607"/>
    <w:rsid w:val="001D3257"/>
    <w:rsid w:val="001D6F5B"/>
    <w:rsid w:val="001E3678"/>
    <w:rsid w:val="001E77DF"/>
    <w:rsid w:val="001F0620"/>
    <w:rsid w:val="001F354E"/>
    <w:rsid w:val="00216C49"/>
    <w:rsid w:val="0022038D"/>
    <w:rsid w:val="0024289A"/>
    <w:rsid w:val="0026493F"/>
    <w:rsid w:val="00273344"/>
    <w:rsid w:val="00280720"/>
    <w:rsid w:val="00282A32"/>
    <w:rsid w:val="00283574"/>
    <w:rsid w:val="002A69DD"/>
    <w:rsid w:val="002B4618"/>
    <w:rsid w:val="002B5703"/>
    <w:rsid w:val="002B661B"/>
    <w:rsid w:val="002D7779"/>
    <w:rsid w:val="002E0769"/>
    <w:rsid w:val="002E20AC"/>
    <w:rsid w:val="002E49F4"/>
    <w:rsid w:val="002F4591"/>
    <w:rsid w:val="0030255E"/>
    <w:rsid w:val="0031487D"/>
    <w:rsid w:val="003207F2"/>
    <w:rsid w:val="00322786"/>
    <w:rsid w:val="003228D4"/>
    <w:rsid w:val="00347883"/>
    <w:rsid w:val="003506C5"/>
    <w:rsid w:val="003521D4"/>
    <w:rsid w:val="00364192"/>
    <w:rsid w:val="00372B36"/>
    <w:rsid w:val="00381544"/>
    <w:rsid w:val="00382B7C"/>
    <w:rsid w:val="00383003"/>
    <w:rsid w:val="003A1BD7"/>
    <w:rsid w:val="003A2363"/>
    <w:rsid w:val="003A558F"/>
    <w:rsid w:val="003C0891"/>
    <w:rsid w:val="003F20B5"/>
    <w:rsid w:val="004070E1"/>
    <w:rsid w:val="00407597"/>
    <w:rsid w:val="00407F4C"/>
    <w:rsid w:val="0041228F"/>
    <w:rsid w:val="00413875"/>
    <w:rsid w:val="004305F9"/>
    <w:rsid w:val="00431189"/>
    <w:rsid w:val="00435A00"/>
    <w:rsid w:val="00444045"/>
    <w:rsid w:val="004616C8"/>
    <w:rsid w:val="00461D26"/>
    <w:rsid w:val="00470304"/>
    <w:rsid w:val="004A145E"/>
    <w:rsid w:val="004A49AF"/>
    <w:rsid w:val="004D2C4F"/>
    <w:rsid w:val="004D48AF"/>
    <w:rsid w:val="004E1991"/>
    <w:rsid w:val="004E4CD7"/>
    <w:rsid w:val="004F66B0"/>
    <w:rsid w:val="00500F39"/>
    <w:rsid w:val="005010BF"/>
    <w:rsid w:val="005064D5"/>
    <w:rsid w:val="005148C0"/>
    <w:rsid w:val="00515F03"/>
    <w:rsid w:val="00520963"/>
    <w:rsid w:val="00522E27"/>
    <w:rsid w:val="00545A0A"/>
    <w:rsid w:val="005527B9"/>
    <w:rsid w:val="00556804"/>
    <w:rsid w:val="00560E83"/>
    <w:rsid w:val="00563297"/>
    <w:rsid w:val="00566590"/>
    <w:rsid w:val="00596616"/>
    <w:rsid w:val="00596F1D"/>
    <w:rsid w:val="005A4163"/>
    <w:rsid w:val="005A7AF5"/>
    <w:rsid w:val="005D00D1"/>
    <w:rsid w:val="005D1A47"/>
    <w:rsid w:val="006110AE"/>
    <w:rsid w:val="0062466B"/>
    <w:rsid w:val="00637AB9"/>
    <w:rsid w:val="00641B1B"/>
    <w:rsid w:val="00643052"/>
    <w:rsid w:val="00657A28"/>
    <w:rsid w:val="0066107B"/>
    <w:rsid w:val="00665E31"/>
    <w:rsid w:val="0067749E"/>
    <w:rsid w:val="006963EC"/>
    <w:rsid w:val="006A792F"/>
    <w:rsid w:val="006C08BC"/>
    <w:rsid w:val="006D2D92"/>
    <w:rsid w:val="006D36C8"/>
    <w:rsid w:val="006E33F7"/>
    <w:rsid w:val="00700C27"/>
    <w:rsid w:val="00702B7D"/>
    <w:rsid w:val="00704C88"/>
    <w:rsid w:val="007275CF"/>
    <w:rsid w:val="007310A1"/>
    <w:rsid w:val="00731659"/>
    <w:rsid w:val="007368E2"/>
    <w:rsid w:val="00753ED8"/>
    <w:rsid w:val="00770B96"/>
    <w:rsid w:val="00772D8F"/>
    <w:rsid w:val="0078163F"/>
    <w:rsid w:val="0079772A"/>
    <w:rsid w:val="007B1953"/>
    <w:rsid w:val="007B2C31"/>
    <w:rsid w:val="007F0146"/>
    <w:rsid w:val="008052DE"/>
    <w:rsid w:val="00811F20"/>
    <w:rsid w:val="00814579"/>
    <w:rsid w:val="0083282C"/>
    <w:rsid w:val="00832D38"/>
    <w:rsid w:val="008362F6"/>
    <w:rsid w:val="00836556"/>
    <w:rsid w:val="008366A3"/>
    <w:rsid w:val="00847050"/>
    <w:rsid w:val="00860B66"/>
    <w:rsid w:val="00862E63"/>
    <w:rsid w:val="0086444B"/>
    <w:rsid w:val="00880485"/>
    <w:rsid w:val="008836D1"/>
    <w:rsid w:val="00884D0E"/>
    <w:rsid w:val="00892292"/>
    <w:rsid w:val="008B2E83"/>
    <w:rsid w:val="008B44C3"/>
    <w:rsid w:val="008C5C0D"/>
    <w:rsid w:val="008C6B9D"/>
    <w:rsid w:val="008D01CF"/>
    <w:rsid w:val="008D1A7E"/>
    <w:rsid w:val="008D411E"/>
    <w:rsid w:val="008F14C4"/>
    <w:rsid w:val="009054A8"/>
    <w:rsid w:val="00915C81"/>
    <w:rsid w:val="00934696"/>
    <w:rsid w:val="00955394"/>
    <w:rsid w:val="0095647E"/>
    <w:rsid w:val="00957A91"/>
    <w:rsid w:val="00966603"/>
    <w:rsid w:val="00972247"/>
    <w:rsid w:val="00982F9F"/>
    <w:rsid w:val="00997280"/>
    <w:rsid w:val="009A4448"/>
    <w:rsid w:val="009A64B4"/>
    <w:rsid w:val="009A70E8"/>
    <w:rsid w:val="009A7614"/>
    <w:rsid w:val="009B6ACE"/>
    <w:rsid w:val="009D0E59"/>
    <w:rsid w:val="009D452E"/>
    <w:rsid w:val="009E228D"/>
    <w:rsid w:val="009F16FF"/>
    <w:rsid w:val="00A03801"/>
    <w:rsid w:val="00A06E8E"/>
    <w:rsid w:val="00A11221"/>
    <w:rsid w:val="00A1629F"/>
    <w:rsid w:val="00A23729"/>
    <w:rsid w:val="00A2448D"/>
    <w:rsid w:val="00A25290"/>
    <w:rsid w:val="00A30CBD"/>
    <w:rsid w:val="00A478D0"/>
    <w:rsid w:val="00A50446"/>
    <w:rsid w:val="00A5136D"/>
    <w:rsid w:val="00A60905"/>
    <w:rsid w:val="00A60AF1"/>
    <w:rsid w:val="00A6283D"/>
    <w:rsid w:val="00A77CE7"/>
    <w:rsid w:val="00A81500"/>
    <w:rsid w:val="00A82202"/>
    <w:rsid w:val="00A87101"/>
    <w:rsid w:val="00AA13BC"/>
    <w:rsid w:val="00AA1B1E"/>
    <w:rsid w:val="00AB659C"/>
    <w:rsid w:val="00AF232A"/>
    <w:rsid w:val="00B061D3"/>
    <w:rsid w:val="00B15647"/>
    <w:rsid w:val="00B22F9F"/>
    <w:rsid w:val="00B27675"/>
    <w:rsid w:val="00B30CA7"/>
    <w:rsid w:val="00B32E0B"/>
    <w:rsid w:val="00B43A5B"/>
    <w:rsid w:val="00B50074"/>
    <w:rsid w:val="00B54227"/>
    <w:rsid w:val="00B7636A"/>
    <w:rsid w:val="00BA400B"/>
    <w:rsid w:val="00BA610F"/>
    <w:rsid w:val="00BA67F0"/>
    <w:rsid w:val="00BB6323"/>
    <w:rsid w:val="00BC5423"/>
    <w:rsid w:val="00BD021C"/>
    <w:rsid w:val="00BD0287"/>
    <w:rsid w:val="00BD2289"/>
    <w:rsid w:val="00BD55DB"/>
    <w:rsid w:val="00BD62F9"/>
    <w:rsid w:val="00BD70E8"/>
    <w:rsid w:val="00BD7C8B"/>
    <w:rsid w:val="00C01FCE"/>
    <w:rsid w:val="00C103B2"/>
    <w:rsid w:val="00C204FE"/>
    <w:rsid w:val="00C31557"/>
    <w:rsid w:val="00C33B4C"/>
    <w:rsid w:val="00C40BBA"/>
    <w:rsid w:val="00C53C96"/>
    <w:rsid w:val="00C67102"/>
    <w:rsid w:val="00C73D24"/>
    <w:rsid w:val="00C860F9"/>
    <w:rsid w:val="00C95323"/>
    <w:rsid w:val="00C9656F"/>
    <w:rsid w:val="00CA17DC"/>
    <w:rsid w:val="00CD6650"/>
    <w:rsid w:val="00CE3E56"/>
    <w:rsid w:val="00CE456A"/>
    <w:rsid w:val="00CE6C51"/>
    <w:rsid w:val="00D10F59"/>
    <w:rsid w:val="00D22CCB"/>
    <w:rsid w:val="00D23E36"/>
    <w:rsid w:val="00D34F87"/>
    <w:rsid w:val="00D4143D"/>
    <w:rsid w:val="00D41CA6"/>
    <w:rsid w:val="00D505AD"/>
    <w:rsid w:val="00D67788"/>
    <w:rsid w:val="00D70A54"/>
    <w:rsid w:val="00D874AA"/>
    <w:rsid w:val="00D9318E"/>
    <w:rsid w:val="00D942C8"/>
    <w:rsid w:val="00DB3BF5"/>
    <w:rsid w:val="00E203CD"/>
    <w:rsid w:val="00E21C58"/>
    <w:rsid w:val="00E318E3"/>
    <w:rsid w:val="00E35DE7"/>
    <w:rsid w:val="00E41FED"/>
    <w:rsid w:val="00E51E99"/>
    <w:rsid w:val="00E63AC3"/>
    <w:rsid w:val="00E70840"/>
    <w:rsid w:val="00E830F0"/>
    <w:rsid w:val="00E84BA9"/>
    <w:rsid w:val="00E94024"/>
    <w:rsid w:val="00E97570"/>
    <w:rsid w:val="00EE0D34"/>
    <w:rsid w:val="00EE297E"/>
    <w:rsid w:val="00EE5B09"/>
    <w:rsid w:val="00EE6B92"/>
    <w:rsid w:val="00EF33D8"/>
    <w:rsid w:val="00F154B9"/>
    <w:rsid w:val="00F30BA1"/>
    <w:rsid w:val="00F30BDA"/>
    <w:rsid w:val="00F34959"/>
    <w:rsid w:val="00F453FE"/>
    <w:rsid w:val="00F51AA7"/>
    <w:rsid w:val="00F565B4"/>
    <w:rsid w:val="00F56C76"/>
    <w:rsid w:val="00F6733A"/>
    <w:rsid w:val="00F74FA6"/>
    <w:rsid w:val="00F81727"/>
    <w:rsid w:val="00FC09D2"/>
    <w:rsid w:val="00FC198C"/>
    <w:rsid w:val="00FC359F"/>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116540"/>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uiPriority w:val="4"/>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Bullet2">
    <w:name w:val="Bullet2"/>
    <w:basedOn w:val="Bullet1"/>
    <w:uiPriority w:val="4"/>
    <w:qFormat/>
    <w:rsid w:val="00731659"/>
    <w:pPr>
      <w:numPr>
        <w:numId w:val="8"/>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character" w:customStyle="1" w:styleId="FootnoteTextChar">
    <w:name w:val="Footnote Text Char"/>
    <w:aliases w:val="APVMA_Footnote Char,DAR001 Char,Tabellenanmerkung Char"/>
    <w:basedOn w:val="DefaultParagraphFont"/>
    <w:link w:val="FootnoteText"/>
    <w:uiPriority w:val="99"/>
    <w:rsid w:val="00C33B4C"/>
    <w:rPr>
      <w:rFonts w:ascii="Arial" w:hAnsi="Arial" w:cs="Arial"/>
      <w:spacing w:val="6"/>
      <w:kern w:val="20"/>
      <w:sz w:val="16"/>
      <w:u w:color="000000"/>
      <w:lang w:eastAsia="en-US"/>
    </w:rPr>
  </w:style>
  <w:style w:type="character" w:styleId="UnresolvedMention">
    <w:name w:val="Unresolved Mention"/>
    <w:basedOn w:val="DefaultParagraphFont"/>
    <w:uiPriority w:val="99"/>
    <w:semiHidden/>
    <w:unhideWhenUsed/>
    <w:rsid w:val="000A3CFA"/>
    <w:rPr>
      <w:color w:val="605E5C"/>
      <w:shd w:val="clear" w:color="auto" w:fill="E1DFDD"/>
    </w:rPr>
  </w:style>
  <w:style w:type="paragraph" w:styleId="Revision">
    <w:name w:val="Revision"/>
    <w:hidden/>
    <w:uiPriority w:val="99"/>
    <w:semiHidden/>
    <w:rsid w:val="00435A00"/>
    <w:rPr>
      <w:rFonts w:ascii="Arial" w:hAnsi="Arial"/>
      <w:szCs w:val="24"/>
      <w:lang w:eastAsia="en-US"/>
    </w:rPr>
  </w:style>
  <w:style w:type="paragraph" w:customStyle="1" w:styleId="OddHeader">
    <w:name w:val="Odd_Header"/>
    <w:basedOn w:val="NormalText"/>
    <w:uiPriority w:val="4"/>
    <w:rsid w:val="002E0769"/>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EvenHeader">
    <w:name w:val="Even_Header"/>
    <w:basedOn w:val="OddHeader"/>
    <w:uiPriority w:val="4"/>
    <w:rsid w:val="002E0769"/>
    <w:pPr>
      <w:tabs>
        <w:tab w:val="clear" w:pos="9072"/>
        <w:tab w:val="left" w:pos="567"/>
      </w:tabs>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mailto:enquiries@apvma.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www.apvma.gov.au/node/72856"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pvma.gov.au/" TargetMode="External"/><Relationship Id="rId5" Type="http://schemas.openxmlformats.org/officeDocument/2006/relationships/settings" Target="settings.xml"/><Relationship Id="rId15" Type="http://schemas.openxmlformats.org/officeDocument/2006/relationships/hyperlink" Target="https://www.pmc.gov.au/publications/commonwealth-coat-arms-information-and-guidelines" TargetMode="External"/><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hyperlink" Target="https://www.apvma.gov.au/node/72856"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b.ffcr.or.jp/front/" TargetMode="External"/><Relationship Id="rId3" Type="http://schemas.openxmlformats.org/officeDocument/2006/relationships/hyperlink" Target="https://grdc.com.au/resources-and-publications/grownotes/crop-agronomy/canola-south/GrowNote-Canola-South-11-Desiccation.pdf" TargetMode="External"/><Relationship Id="rId7" Type="http://schemas.openxmlformats.org/officeDocument/2006/relationships/hyperlink" Target="https://food.ec.europa.eu/plants/pesticides/eu-pesticides-database_en" TargetMode="External"/><Relationship Id="rId2" Type="http://schemas.openxmlformats.org/officeDocument/2006/relationships/hyperlink" Target="https://www.agriculture.gov.au/abares/research-topics/agricultural-outlook/data" TargetMode="External"/><Relationship Id="rId1" Type="http://schemas.openxmlformats.org/officeDocument/2006/relationships/hyperlink" Target="https://apvma.gov.au/node/1017" TargetMode="External"/><Relationship Id="rId6" Type="http://schemas.openxmlformats.org/officeDocument/2006/relationships/hyperlink" Target="https://www.fao.org/fao-who-codexalimentarius/codex-texts/dbs/pestres/pesticides/en/" TargetMode="External"/><Relationship Id="rId11" Type="http://schemas.openxmlformats.org/officeDocument/2006/relationships/hyperlink" Target="https://www.fda.gov.tw/ENG/law.aspx?cid=16&amp;cr=1451204496" TargetMode="External"/><Relationship Id="rId5" Type="http://schemas.openxmlformats.org/officeDocument/2006/relationships/hyperlink" Target="https://apps.fas.usda.gov/newgainapi/api/Report/DownloadReportByFileName?fileName=Translation%20of%20Maximum%20Residue%20Limits%20for%20Pesticides%20in%20Foods_Beijing_China%20-%20People%27s%20Republic%20of_08-22-2021" TargetMode="External"/><Relationship Id="rId10" Type="http://schemas.openxmlformats.org/officeDocument/2006/relationships/hyperlink" Target="https://www.ecfr.gov/current/title-40/chapter-I/subchapter-E/part-180" TargetMode="External"/><Relationship Id="rId4" Type="http://schemas.openxmlformats.org/officeDocument/2006/relationships/hyperlink" Target="https://apvma.gov.au/node/1020" TargetMode="External"/><Relationship Id="rId9" Type="http://schemas.openxmlformats.org/officeDocument/2006/relationships/hyperlink" Target="http://www.foodsafetykorea.go.kr/residue/prd/mrls/list.do?menuKey=1&amp;subMenuKey=1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A2972573</value>
    </field>
    <field name="Objective-Title">
      <value order="0">Trade Advice Notice on cyantraniliprole in the product Exirel Insecticide for use on canola</value>
    </field>
    <field name="Objective-Description">
      <value order="0"/>
    </field>
    <field name="Objective-CreationStamp">
      <value order="0">2023-02-19T21:56:15Z</value>
    </field>
    <field name="Objective-IsApproved">
      <value order="0">false</value>
    </field>
    <field name="Objective-IsPublished">
      <value order="0">false</value>
    </field>
    <field name="Objective-DatePublished">
      <value order="0"/>
    </field>
    <field name="Objective-ModificationStamp">
      <value order="0">2023-02-22T02:48:11Z</value>
    </field>
    <field name="Objective-Owner">
      <value order="0">Maudie Beissel</value>
    </field>
    <field name="Objective-Path">
      <value order="0">APVMA:PUBLIC AFFAIRS AND COMMUNICATION:03 - Public Affairs and Communications - Digital Communications:04 - Digital Communications - Website - Publishing Records - 2020-2025:2023:044 - TAN on cyantraniliprole in the product Exirel Insecticide for use on canola</value>
    </field>
    <field name="Objective-Parent">
      <value order="0">044 - TAN on cyantraniliprole in the product Exirel Insecticide for use on canola</value>
    </field>
    <field name="Objective-State">
      <value order="0">Being Drafted</value>
    </field>
    <field name="Objective-VersionId">
      <value order="0">vA4389027</value>
    </field>
    <field name="Objective-Version">
      <value order="0">0.12</value>
    </field>
    <field name="Objective-VersionNumber">
      <value order="0">12</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1</TotalTime>
  <Pages>16</Pages>
  <Words>3068</Words>
  <Characters>19021</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Trade Advice Notice on cyantraniliprole in the product Exirel Insecticide for use on canola</vt:lpstr>
    </vt:vector>
  </TitlesOfParts>
  <Manager/>
  <Company>Australian Pesticides and Veterinary Medicines Authority</Company>
  <LinksUpToDate>false</LinksUpToDate>
  <CharactersWithSpaces>22045</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cyantraniliprole in the product Exirel Insecticide for use on canola</dc:title>
  <dc:subject/>
  <dc:creator>APVMA</dc:creator>
  <cp:keywords/>
  <dc:description/>
  <cp:lastModifiedBy>ELLIOTT, Amy</cp:lastModifiedBy>
  <cp:revision>2</cp:revision>
  <cp:lastPrinted>2019-04-25T12:55:00Z</cp:lastPrinted>
  <dcterms:created xsi:type="dcterms:W3CDTF">2023-02-22T03:34:00Z</dcterms:created>
  <dcterms:modified xsi:type="dcterms:W3CDTF">2023-02-22T03:34:00Z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A2972573</vt:lpwstr>
  </property>
  <property fmtid="{D5CDD505-2E9C-101B-9397-08002B2CF9AE}" pid="4" name="Objective-Title">
    <vt:lpwstr>Trade Advice Notice on cyantraniliprole in the product Exirel Insecticide for use on canola</vt:lpwstr>
  </property>
  <property fmtid="{D5CDD505-2E9C-101B-9397-08002B2CF9AE}" pid="5" name="Objective-Comment">
    <vt:lpwstr/>
  </property>
  <property fmtid="{D5CDD505-2E9C-101B-9397-08002B2CF9AE}" pid="6" name="Objective-CreationStamp">
    <vt:filetime>2023-02-19T21:56:19Z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2023-02-22T02:48:11Z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- 2020-2025:2023:044 - TAN on cyantraniliprole in the product Exirel Insecticide for use on canola:</vt:lpwstr>
  </property>
  <property fmtid="{D5CDD505-2E9C-101B-9397-08002B2CF9AE}" pid="13" name="Objective-Parent">
    <vt:lpwstr>044 - TAN on cyantraniliprole in the product Exirel Insecticide for use on canola</vt:lpwstr>
  </property>
  <property fmtid="{D5CDD505-2E9C-101B-9397-08002B2CF9AE}" pid="14" name="Objective-State">
    <vt:lpwstr>Being Drafted</vt:lpwstr>
  </property>
  <property fmtid="{D5CDD505-2E9C-101B-9397-08002B2CF9AE}" pid="15" name="Objective-Version">
    <vt:lpwstr>0.12</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vA4389027</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